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i w:val="0"/>
          <w:color w:val="1F4D78"/>
          <w:sz w:val="48"/>
        </w:rPr>
        <w:t>Follow My Voice IRB Source-to-Submission Comparison</w:t>
      </w:r>
    </w:p>
    <w:p>
      <w:pPr>
        <w:spacing w:after="280"/>
      </w:pPr>
      <w:r>
        <w:rPr>
          <w:b w:val="0"/>
          <w:i w:val="0"/>
          <w:color w:val="475467"/>
          <w:sz w:val="26"/>
        </w:rPr>
        <w:t>A consolidated audit of the supplied motor-control IRB folder, the current paper-aligned packet, and the remaining UCF requirements</w:t>
      </w:r>
    </w:p>
    <w:tbl>
      <w:tblPr>
        <w:tblStyle w:val="TableGrid"/>
        <w:tblW w:type="dxa" w:w="9360"/>
        <w:jc w:val="center"/>
        <w:tblLayout w:type="fixed"/>
        <w:tblLook w:firstColumn="1" w:firstRow="1" w:lastColumn="0" w:lastRow="0" w:noHBand="0" w:noVBand="1" w:val="04A0"/>
      </w:tblPr>
      <w:tblGrid>
        <w:gridCol w:w="1900"/>
        <w:gridCol w:w="7460"/>
      </w:tblGrid>
      <w:tr>
        <w:trPr>
          <w:tblHeader w:val="true"/>
          <w:cantSplit/>
        </w:trPr>
        <w:tc>
          <w:tcPr>
            <w:tcW w:type="dxa" w:w="1900"/>
            <w:shd w:fill="EAF2F8"/>
            <w:vAlign w:val="center"/>
          </w:tcPr>
          <w:p>
            <w:pPr>
              <w:spacing w:after="0"/>
            </w:pPr>
            <w:r>
              <w:rPr>
                <w:b/>
                <w:color w:val="1F4D78"/>
                <w:sz w:val="19"/>
              </w:rPr>
              <w:t>Field</w:t>
            </w:r>
          </w:p>
        </w:tc>
        <w:tc>
          <w:tcPr>
            <w:tcW w:type="dxa" w:w="7460"/>
            <w:shd w:fill="EAF2F8"/>
            <w:vAlign w:val="center"/>
          </w:tcPr>
          <w:p>
            <w:pPr>
              <w:spacing w:after="0"/>
            </w:pPr>
            <w:r>
              <w:rPr>
                <w:b/>
                <w:color w:val="1F4D78"/>
                <w:sz w:val="19"/>
              </w:rPr>
              <w:t>Value</w:t>
            </w:r>
          </w:p>
        </w:tc>
      </w:tr>
      <w:tr>
        <w:trPr>
          <w:cantSplit/>
        </w:trPr>
        <w:tc>
          <w:tcPr>
            <w:tcW w:type="dxa" w:w="1900"/>
            <w:vAlign w:val="top"/>
            <w:tcMar>
              <w:top w:w="80" w:type="dxa"/>
              <w:start w:w="120" w:type="dxa"/>
              <w:bottom w:w="80" w:type="dxa"/>
              <w:end w:w="120" w:type="dxa"/>
            </w:tcMar>
          </w:tcPr>
          <w:p>
            <w:pPr>
              <w:spacing w:after="0"/>
            </w:pPr>
            <w:r>
              <w:rPr>
                <w:sz w:val="19"/>
              </w:rPr>
              <w:t>Study</w:t>
            </w:r>
          </w:p>
        </w:tc>
        <w:tc>
          <w:tcPr>
            <w:tcW w:type="dxa" w:w="7460"/>
            <w:vAlign w:val="top"/>
            <w:tcMar>
              <w:top w:w="80" w:type="dxa"/>
              <w:start w:w="120" w:type="dxa"/>
              <w:bottom w:w="80" w:type="dxa"/>
              <w:end w:w="120" w:type="dxa"/>
            </w:tcMar>
          </w:tcPr>
          <w:p>
            <w:pPr>
              <w:spacing w:after="0"/>
            </w:pPr>
            <w:r>
              <w:rPr>
                <w:sz w:val="19"/>
              </w:rPr>
              <w:t>Follow My Voice: Gaze-Contingent XR Search with a Self-Similar Agent</w:t>
            </w:r>
          </w:p>
        </w:tc>
      </w:tr>
      <w:tr>
        <w:trPr>
          <w:cantSplit/>
        </w:trPr>
        <w:tc>
          <w:tcPr>
            <w:tcW w:type="dxa" w:w="1900"/>
            <w:vAlign w:val="top"/>
            <w:tcMar>
              <w:top w:w="80" w:type="dxa"/>
              <w:start w:w="120" w:type="dxa"/>
              <w:bottom w:w="80" w:type="dxa"/>
              <w:end w:w="120" w:type="dxa"/>
            </w:tcMar>
          </w:tcPr>
          <w:p>
            <w:pPr>
              <w:spacing w:after="0"/>
            </w:pPr>
            <w:r>
              <w:rPr>
                <w:sz w:val="19"/>
              </w:rPr>
              <w:t>Prepared</w:t>
            </w:r>
          </w:p>
        </w:tc>
        <w:tc>
          <w:tcPr>
            <w:tcW w:type="dxa" w:w="7460"/>
            <w:vAlign w:val="top"/>
            <w:tcMar>
              <w:top w:w="80" w:type="dxa"/>
              <w:start w:w="120" w:type="dxa"/>
              <w:bottom w:w="80" w:type="dxa"/>
              <w:end w:w="120" w:type="dxa"/>
            </w:tcMar>
          </w:tcPr>
          <w:p>
            <w:pPr>
              <w:spacing w:after="0"/>
            </w:pPr>
            <w:r>
              <w:rPr>
                <w:sz w:val="19"/>
              </w:rPr>
              <w:t>August 14, 2026</w:t>
            </w:r>
          </w:p>
        </w:tc>
      </w:tr>
      <w:tr>
        <w:trPr>
          <w:cantSplit/>
        </w:trPr>
        <w:tc>
          <w:tcPr>
            <w:tcW w:type="dxa" w:w="1900"/>
            <w:vAlign w:val="top"/>
            <w:tcMar>
              <w:top w:w="80" w:type="dxa"/>
              <w:start w:w="120" w:type="dxa"/>
              <w:bottom w:w="80" w:type="dxa"/>
              <w:end w:w="120" w:type="dxa"/>
            </w:tcMar>
          </w:tcPr>
          <w:p>
            <w:pPr>
              <w:spacing w:after="0"/>
            </w:pPr>
            <w:r>
              <w:rPr>
                <w:sz w:val="19"/>
              </w:rPr>
              <w:t>Compared sources</w:t>
            </w:r>
          </w:p>
        </w:tc>
        <w:tc>
          <w:tcPr>
            <w:tcW w:type="dxa" w:w="7460"/>
            <w:vAlign w:val="top"/>
            <w:tcMar>
              <w:top w:w="80" w:type="dxa"/>
              <w:start w:w="120" w:type="dxa"/>
              <w:bottom w:w="80" w:type="dxa"/>
              <w:end w:w="120" w:type="dxa"/>
            </w:tcMar>
          </w:tcPr>
          <w:p>
            <w:pPr>
              <w:spacing w:after="0"/>
            </w:pPr>
            <w:r>
              <w:rPr>
                <w:sz w:val="19"/>
              </w:rPr>
              <w:t>25 supplied reference files; 8 current submission drafts; current UCF IRB guidance</w:t>
            </w:r>
          </w:p>
        </w:tc>
      </w:tr>
      <w:tr>
        <w:trPr>
          <w:cantSplit/>
        </w:trPr>
        <w:tc>
          <w:tcPr>
            <w:tcW w:type="dxa" w:w="1900"/>
            <w:vAlign w:val="top"/>
            <w:tcMar>
              <w:top w:w="80" w:type="dxa"/>
              <w:start w:w="120" w:type="dxa"/>
              <w:bottom w:w="80" w:type="dxa"/>
              <w:end w:w="120" w:type="dxa"/>
            </w:tcMar>
          </w:tcPr>
          <w:p>
            <w:pPr>
              <w:spacing w:after="0"/>
            </w:pPr>
            <w:r>
              <w:rPr>
                <w:sz w:val="19"/>
              </w:rPr>
              <w:t>Status</w:t>
            </w:r>
          </w:p>
        </w:tc>
        <w:tc>
          <w:tcPr>
            <w:tcW w:type="dxa" w:w="7460"/>
            <w:vAlign w:val="top"/>
            <w:tcMar>
              <w:top w:w="80" w:type="dxa"/>
              <w:start w:w="120" w:type="dxa"/>
              <w:bottom w:w="80" w:type="dxa"/>
              <w:end w:w="120" w:type="dxa"/>
            </w:tcMar>
          </w:tcPr>
          <w:p>
            <w:pPr>
              <w:spacing w:after="0"/>
            </w:pPr>
            <w:r>
              <w:rPr>
                <w:sz w:val="19"/>
              </w:rPr>
              <w:t>Internal comparison draft — not an approval or an institutional determination</w:t>
            </w:r>
          </w:p>
        </w:tc>
      </w:tr>
    </w:tbl>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AF4EA"/>
            <w:tcMar>
              <w:top w:w="110" w:type="dxa"/>
              <w:start w:w="150" w:type="dxa"/>
              <w:bottom w:w="110" w:type="dxa"/>
              <w:end w:w="150" w:type="dxa"/>
            </w:tcMar>
          </w:tcPr>
          <w:p>
            <w:pPr>
              <w:spacing w:after="0"/>
            </w:pPr>
            <w:r>
              <w:rPr>
                <w:b/>
                <w:i w:val="0"/>
                <w:color w:val="1F4D78"/>
              </w:rPr>
              <w:t xml:space="preserve">Bottom line: </w:t>
            </w:r>
            <w:r>
              <w:rPr>
                <w:b w:val="0"/>
                <w:i w:val="0"/>
              </w:rPr>
              <w:t>Your current packet is substantially better aligned to the planned gaze-contingent, self-similar-voice experiment than the supplied folder. The supplied folder is valuable as a UCF-format precedent, but it describes a different standing Meta Quest motor-control study and cannot be reused as approval, evidence of applicability, or a current submission template.</w:t>
            </w:r>
          </w:p>
        </w:tc>
      </w:tr>
    </w:tbl>
    <w:p>
      <w:pPr>
        <w:keepLines/>
      </w:pPr>
      <w:r>
        <w:rPr>
          <w:b w:val="0"/>
          <w:i w:val="0"/>
        </w:rPr>
        <w:t>This document distinguishes three evidence levels throughout:</w:t>
      </w:r>
    </w:p>
    <w:p>
      <w:pPr>
        <w:pStyle w:val="ListBullet"/>
        <w:keepLines/>
      </w:pPr>
      <w:r>
        <w:rPr>
          <w:b/>
          <w:i w:val="0"/>
        </w:rPr>
        <w:t>Implemented</w:t>
      </w:r>
      <w:r>
        <w:rPr>
          <w:b w:val="0"/>
          <w:i w:val="0"/>
        </w:rPr>
        <w:t xml:space="preserve"> — verified behavior of the current Unity prototype or an existing administrative artifact.</w:t>
      </w:r>
    </w:p>
    <w:p>
      <w:pPr>
        <w:pStyle w:val="ListBullet"/>
        <w:keepLines/>
      </w:pPr>
      <w:r>
        <w:rPr>
          <w:b/>
          <w:i w:val="0"/>
        </w:rPr>
        <w:t>Protocol proposal</w:t>
      </w:r>
      <w:r>
        <w:rPr>
          <w:b w:val="0"/>
          <w:i w:val="0"/>
        </w:rPr>
        <w:t xml:space="preserve"> — the intended 360-degree, four-block study that still must be implemented, verified, and approved.</w:t>
      </w:r>
    </w:p>
    <w:p>
      <w:pPr>
        <w:pStyle w:val="ListBullet"/>
        <w:keepLines/>
      </w:pPr>
      <w:r>
        <w:rPr>
          <w:b/>
          <w:i w:val="0"/>
        </w:rPr>
        <w:t>Open decision</w:t>
      </w:r>
      <w:r>
        <w:rPr>
          <w:b w:val="0"/>
          <w:i w:val="0"/>
        </w:rPr>
        <w:t xml:space="preserve"> — information the PI, faculty advisor, UCF IRB, or another institutional reviewer must resolve before submission or enrollment.</w:t>
      </w:r>
    </w:p>
    <w:p>
      <w:r>
        <w:br w:type="page"/>
      </w:r>
    </w:p>
    <w:p>
      <w:pPr>
        <w:pStyle w:val="Heading1"/>
        <w:keepNext/>
      </w:pPr>
      <w:r>
        <w:t>1. Executive assessment</w:t>
      </w:r>
    </w:p>
    <w:p>
      <w:pPr>
        <w:pStyle w:val="Heading2"/>
        <w:keepNext/>
      </w:pPr>
      <w:r>
        <w:t>1.1 What the supplied folder is—and is not</w:t>
      </w:r>
    </w:p>
    <w:p>
      <w:pPr>
        <w:keepLines/>
      </w:pPr>
      <w:r>
        <w:rPr>
          <w:b w:val="0"/>
          <w:i w:val="0"/>
        </w:rPr>
        <w:t>The supplied folder contains 25 substantive files plus one temporary Word lock file. It is a useful example of how another UCF virtual-reality study organized a protocol, consent form, recruitment email, safety screening, questionnaires, and interview prompts. It is not the approved packet for this project, and nothing in the folder establishes that its instruments, thresholds, consent approach, compensation, sample size, or data practices are appropriate for the present study.</w:t>
      </w:r>
    </w:p>
    <w:p>
      <w:pPr>
        <w:keepLines/>
      </w:pPr>
      <w:r>
        <w:rPr>
          <w:b w:val="0"/>
          <w:i w:val="0"/>
        </w:rPr>
        <w:t>The two HRP-503 files describe a broad motor-control/timeflow study using a Meta Quest 3, standing controller tasks, up to 300 participants, and possible $15 compensation. The file labeled as IRB edits adds a pregnancy rationale and explicit filenames for questionnaires. Both HRP-503 files contain tracked insertion markup, so neither is a clean current-template upload.</w:t>
      </w:r>
    </w:p>
    <w:p>
      <w:pPr>
        <w:pStyle w:val="Heading2"/>
        <w:keepNext/>
      </w:pPr>
      <w:r>
        <w:t>1.2 What the current packet does better</w:t>
      </w:r>
    </w:p>
    <w:p>
      <w:pPr>
        <w:pStyle w:val="ListBullet"/>
        <w:keepLines/>
      </w:pPr>
      <w:r>
        <w:rPr>
          <w:b w:val="0"/>
          <w:i w:val="0"/>
        </w:rPr>
        <w:t>Uses the actual planned title, headset, seated 360-degree geometry, 2 × 2 within-participant design, four 16-trial blocks, and Williams counterbalancing.</w:t>
      </w:r>
    </w:p>
    <w:p>
      <w:pPr>
        <w:pStyle w:val="ListBullet"/>
        <w:keepLines/>
      </w:pPr>
      <w:r>
        <w:rPr>
          <w:b w:val="0"/>
          <w:i w:val="0"/>
        </w:rPr>
        <w:t>Separately discloses eye-gaze telemetry, voice recording, third-party voice cloning, synthetic speech generation, privacy risks, and deletion limits.</w:t>
      </w:r>
    </w:p>
    <w:p>
      <w:pPr>
        <w:pStyle w:val="ListBullet"/>
        <w:keepLines/>
      </w:pPr>
      <w:r>
        <w:rPr>
          <w:b w:val="0"/>
          <w:i w:val="0"/>
        </w:rPr>
        <w:t>Includes operational materials missing from the supplied folder: a voice script, session/event record, explicit data-transfer and deletion record, and post-participation information.</w:t>
      </w:r>
    </w:p>
    <w:p>
      <w:pPr>
        <w:pStyle w:val="ListBullet"/>
        <w:keepLines/>
      </w:pPr>
      <w:r>
        <w:rPr>
          <w:b w:val="0"/>
          <w:i w:val="0"/>
        </w:rPr>
        <w:t>Separates current implementation from proposed protocol behavior so the IRB packet does not falsely claim that the release build already implements the planned study.</w:t>
      </w:r>
    </w:p>
    <w:p>
      <w:pPr>
        <w:pStyle w:val="ListBullet"/>
        <w:keepLines/>
      </w:pPr>
      <w:r>
        <w:rPr>
          <w:b w:val="0"/>
          <w:i w:val="0"/>
        </w:rPr>
        <w:t>Uses study-specific manipulation and mechanism checks rather than importing ping-pong, timeflow, avatar-embodiment, or story/game items that do not match the research questions.</w:t>
      </w:r>
    </w:p>
    <w:p>
      <w:pPr>
        <w:pStyle w:val="Heading2"/>
        <w:keepNext/>
      </w:pPr>
      <w:r>
        <w:t>1.3 Current readiness verdict</w:t>
      </w:r>
    </w:p>
    <w:tbl>
      <w:tblPr>
        <w:tblStyle w:val="TableGrid"/>
        <w:tblW w:type="dxa" w:w="9360"/>
        <w:jc w:val="center"/>
        <w:tblLayout w:type="fixed"/>
        <w:tblLook w:firstColumn="1" w:firstRow="1" w:lastColumn="0" w:lastRow="0" w:noHBand="0" w:noVBand="1" w:val="04A0"/>
      </w:tblPr>
      <w:tblGrid>
        <w:gridCol w:w="2300"/>
        <w:gridCol w:w="1700"/>
        <w:gridCol w:w="5360"/>
      </w:tblGrid>
      <w:tr>
        <w:trPr>
          <w:tblHeader w:val="true"/>
          <w:cantSplit/>
        </w:trPr>
        <w:tc>
          <w:tcPr>
            <w:tcW w:type="dxa" w:w="2300"/>
            <w:shd w:fill="F2F4F7"/>
            <w:vAlign w:val="center"/>
          </w:tcPr>
          <w:p>
            <w:pPr>
              <w:spacing w:after="0"/>
            </w:pPr>
            <w:r>
              <w:rPr>
                <w:b/>
                <w:color w:val="1F4D78"/>
                <w:sz w:val="17"/>
              </w:rPr>
              <w:t>Area</w:t>
            </w:r>
          </w:p>
        </w:tc>
        <w:tc>
          <w:tcPr>
            <w:tcW w:type="dxa" w:w="1700"/>
            <w:shd w:fill="F2F4F7"/>
            <w:vAlign w:val="center"/>
          </w:tcPr>
          <w:p>
            <w:pPr>
              <w:spacing w:after="0"/>
            </w:pPr>
            <w:r>
              <w:rPr>
                <w:b/>
                <w:color w:val="1F4D78"/>
                <w:sz w:val="17"/>
              </w:rPr>
              <w:t>Status</w:t>
            </w:r>
          </w:p>
        </w:tc>
        <w:tc>
          <w:tcPr>
            <w:tcW w:type="dxa" w:w="5360"/>
            <w:shd w:fill="F2F4F7"/>
            <w:vAlign w:val="center"/>
          </w:tcPr>
          <w:p>
            <w:pPr>
              <w:spacing w:after="0"/>
            </w:pPr>
            <w:r>
              <w:rPr>
                <w:b/>
                <w:color w:val="1F4D78"/>
                <w:sz w:val="17"/>
              </w:rPr>
              <w:t>Why</w:t>
            </w:r>
          </w:p>
        </w:tc>
      </w:tr>
      <w:tr>
        <w:trPr>
          <w:cantSplit/>
        </w:trPr>
        <w:tc>
          <w:tcPr>
            <w:tcW w:type="dxa" w:w="2300"/>
            <w:vAlign w:val="top"/>
            <w:tcMar>
              <w:top w:w="80" w:type="dxa"/>
              <w:start w:w="120" w:type="dxa"/>
              <w:bottom w:w="80" w:type="dxa"/>
              <w:end w:w="120" w:type="dxa"/>
            </w:tcMar>
          </w:tcPr>
          <w:p>
            <w:pPr>
              <w:spacing w:after="0"/>
            </w:pPr>
            <w:r>
              <w:rPr>
                <w:sz w:val="17"/>
              </w:rPr>
              <w:t>Scientific protocol</w:t>
            </w:r>
          </w:p>
        </w:tc>
        <w:tc>
          <w:tcPr>
            <w:tcW w:type="dxa" w:w="1700"/>
            <w:vAlign w:val="top"/>
            <w:tcMar>
              <w:top w:w="80" w:type="dxa"/>
              <w:start w:w="120" w:type="dxa"/>
              <w:bottom w:w="80" w:type="dxa"/>
              <w:end w:w="120" w:type="dxa"/>
            </w:tcMar>
            <w:shd w:fill="FFF4CE"/>
          </w:tcPr>
          <w:p>
            <w:pPr>
              <w:spacing w:after="0"/>
            </w:pPr>
            <w:r>
              <w:rPr>
                <w:sz w:val="17"/>
              </w:rPr>
              <w:t>Mostly drafted</w:t>
            </w:r>
          </w:p>
        </w:tc>
        <w:tc>
          <w:tcPr>
            <w:tcW w:type="dxa" w:w="5360"/>
            <w:vAlign w:val="top"/>
            <w:tcMar>
              <w:top w:w="80" w:type="dxa"/>
              <w:start w:w="120" w:type="dxa"/>
              <w:bottom w:w="80" w:type="dxa"/>
              <w:end w:w="120" w:type="dxa"/>
            </w:tcMar>
          </w:tcPr>
          <w:p>
            <w:pPr>
              <w:spacing w:after="0"/>
            </w:pPr>
            <w:r>
              <w:rPr>
                <w:sz w:val="17"/>
              </w:rPr>
              <w:t>Strong structure and detailed design; power/sensitivity, enrolled maximum, exclusions, and several thresholds remain open.</w:t>
            </w:r>
          </w:p>
        </w:tc>
      </w:tr>
      <w:tr>
        <w:trPr>
          <w:cantSplit/>
        </w:trPr>
        <w:tc>
          <w:tcPr>
            <w:tcW w:type="dxa" w:w="2300"/>
            <w:vAlign w:val="top"/>
            <w:tcMar>
              <w:top w:w="80" w:type="dxa"/>
              <w:start w:w="120" w:type="dxa"/>
              <w:bottom w:w="80" w:type="dxa"/>
              <w:end w:w="120" w:type="dxa"/>
            </w:tcMar>
          </w:tcPr>
          <w:p>
            <w:pPr>
              <w:spacing w:after="0"/>
            </w:pPr>
            <w:r>
              <w:rPr>
                <w:sz w:val="17"/>
              </w:rPr>
              <w:t>Consent</w:t>
            </w:r>
          </w:p>
        </w:tc>
        <w:tc>
          <w:tcPr>
            <w:tcW w:type="dxa" w:w="1700"/>
            <w:vAlign w:val="top"/>
            <w:tcMar>
              <w:top w:w="80" w:type="dxa"/>
              <w:start w:w="120" w:type="dxa"/>
              <w:bottom w:w="80" w:type="dxa"/>
              <w:end w:w="120" w:type="dxa"/>
            </w:tcMar>
            <w:shd w:fill="FFF4CE"/>
          </w:tcPr>
          <w:p>
            <w:pPr>
              <w:spacing w:after="0"/>
            </w:pPr>
            <w:r>
              <w:rPr>
                <w:sz w:val="17"/>
              </w:rPr>
              <w:t>Mostly drafted</w:t>
            </w:r>
          </w:p>
        </w:tc>
        <w:tc>
          <w:tcPr>
            <w:tcW w:type="dxa" w:w="5360"/>
            <w:vAlign w:val="top"/>
            <w:tcMar>
              <w:top w:w="80" w:type="dxa"/>
              <w:start w:w="120" w:type="dxa"/>
              <w:bottom w:w="80" w:type="dxa"/>
              <w:end w:w="120" w:type="dxa"/>
            </w:tcMar>
          </w:tcPr>
          <w:p>
            <w:pPr>
              <w:spacing w:after="0"/>
            </w:pPr>
            <w:r>
              <w:rPr>
                <w:sz w:val="17"/>
              </w:rPr>
              <w:t>Appropriately discloses gaze and synthetic voice risks; PI/contact, duration, compensation, storage, vendor, and retention remain open.</w:t>
            </w:r>
          </w:p>
        </w:tc>
      </w:tr>
      <w:tr>
        <w:trPr>
          <w:cantSplit/>
        </w:trPr>
        <w:tc>
          <w:tcPr>
            <w:tcW w:type="dxa" w:w="2300"/>
            <w:vAlign w:val="top"/>
            <w:tcMar>
              <w:top w:w="80" w:type="dxa"/>
              <w:start w:w="120" w:type="dxa"/>
              <w:bottom w:w="80" w:type="dxa"/>
              <w:end w:w="120" w:type="dxa"/>
            </w:tcMar>
          </w:tcPr>
          <w:p>
            <w:pPr>
              <w:spacing w:after="0"/>
            </w:pPr>
            <w:r>
              <w:rPr>
                <w:sz w:val="17"/>
              </w:rPr>
              <w:t>Recruitment</w:t>
            </w:r>
          </w:p>
        </w:tc>
        <w:tc>
          <w:tcPr>
            <w:tcW w:type="dxa" w:w="1700"/>
            <w:vAlign w:val="top"/>
            <w:tcMar>
              <w:top w:w="80" w:type="dxa"/>
              <w:start w:w="120" w:type="dxa"/>
              <w:bottom w:w="80" w:type="dxa"/>
              <w:end w:w="120" w:type="dxa"/>
            </w:tcMar>
            <w:shd w:fill="FFF4CE"/>
          </w:tcPr>
          <w:p>
            <w:pPr>
              <w:spacing w:after="0"/>
            </w:pPr>
            <w:r>
              <w:rPr>
                <w:sz w:val="17"/>
              </w:rPr>
              <w:t>Drafted with gaps</w:t>
            </w:r>
          </w:p>
        </w:tc>
        <w:tc>
          <w:tcPr>
            <w:tcW w:type="dxa" w:w="5360"/>
            <w:vAlign w:val="top"/>
            <w:tcMar>
              <w:top w:w="80" w:type="dxa"/>
              <w:start w:w="120" w:type="dxa"/>
              <w:bottom w:w="80" w:type="dxa"/>
              <w:end w:w="120" w:type="dxa"/>
            </w:tcMar>
          </w:tcPr>
          <w:p>
            <w:pPr>
              <w:spacing w:after="0"/>
            </w:pPr>
            <w:r>
              <w:rPr>
                <w:sz w:val="17"/>
              </w:rPr>
              <w:t>Contains core disclosures; investigator/contact, final duration, location, compensation, and approved channel/link remain open.</w:t>
            </w:r>
          </w:p>
        </w:tc>
      </w:tr>
      <w:tr>
        <w:trPr>
          <w:cantSplit/>
        </w:trPr>
        <w:tc>
          <w:tcPr>
            <w:tcW w:type="dxa" w:w="2300"/>
            <w:vAlign w:val="top"/>
            <w:tcMar>
              <w:top w:w="80" w:type="dxa"/>
              <w:start w:w="120" w:type="dxa"/>
              <w:bottom w:w="80" w:type="dxa"/>
              <w:end w:w="120" w:type="dxa"/>
            </w:tcMar>
          </w:tcPr>
          <w:p>
            <w:pPr>
              <w:spacing w:after="0"/>
            </w:pPr>
            <w:r>
              <w:rPr>
                <w:sz w:val="17"/>
              </w:rPr>
              <w:t>Questionnaires</w:t>
            </w:r>
          </w:p>
        </w:tc>
        <w:tc>
          <w:tcPr>
            <w:tcW w:type="dxa" w:w="1700"/>
            <w:vAlign w:val="top"/>
            <w:tcMar>
              <w:top w:w="80" w:type="dxa"/>
              <w:start w:w="120" w:type="dxa"/>
              <w:bottom w:w="80" w:type="dxa"/>
              <w:end w:w="120" w:type="dxa"/>
            </w:tcMar>
            <w:shd w:fill="FDE9E7"/>
          </w:tcPr>
          <w:p>
            <w:pPr>
              <w:spacing w:after="0"/>
            </w:pPr>
            <w:r>
              <w:rPr>
                <w:sz w:val="17"/>
              </w:rPr>
              <w:t>Not frozen</w:t>
            </w:r>
          </w:p>
        </w:tc>
        <w:tc>
          <w:tcPr>
            <w:tcW w:type="dxa" w:w="5360"/>
            <w:vAlign w:val="top"/>
            <w:tcMar>
              <w:top w:w="80" w:type="dxa"/>
              <w:start w:w="120" w:type="dxa"/>
              <w:bottom w:w="80" w:type="dxa"/>
              <w:end w:w="120" w:type="dxa"/>
            </w:tcMar>
          </w:tcPr>
          <w:p>
            <w:pPr>
              <w:spacing w:after="0"/>
            </w:pPr>
            <w:r>
              <w:rPr>
                <w:sz w:val="17"/>
              </w:rPr>
              <w:t>NASA-TLX and study-specific items are present; SSQ versus adapted symptom check and inclusion of SUS remain unresolved.</w:t>
            </w:r>
          </w:p>
        </w:tc>
      </w:tr>
      <w:tr>
        <w:trPr>
          <w:cantSplit/>
        </w:trPr>
        <w:tc>
          <w:tcPr>
            <w:tcW w:type="dxa" w:w="2300"/>
            <w:vAlign w:val="top"/>
            <w:tcMar>
              <w:top w:w="80" w:type="dxa"/>
              <w:start w:w="120" w:type="dxa"/>
              <w:bottom w:w="80" w:type="dxa"/>
              <w:end w:w="120" w:type="dxa"/>
            </w:tcMar>
          </w:tcPr>
          <w:p>
            <w:pPr>
              <w:spacing w:after="0"/>
            </w:pPr>
            <w:r>
              <w:rPr>
                <w:sz w:val="17"/>
              </w:rPr>
              <w:t>Voice vendor/data path</w:t>
            </w:r>
          </w:p>
        </w:tc>
        <w:tc>
          <w:tcPr>
            <w:tcW w:type="dxa" w:w="1700"/>
            <w:vAlign w:val="top"/>
            <w:tcMar>
              <w:top w:w="80" w:type="dxa"/>
              <w:start w:w="120" w:type="dxa"/>
              <w:bottom w:w="80" w:type="dxa"/>
              <w:end w:w="120" w:type="dxa"/>
            </w:tcMar>
            <w:shd w:fill="FDE9E7"/>
          </w:tcPr>
          <w:p>
            <w:pPr>
              <w:spacing w:after="0"/>
            </w:pPr>
            <w:r>
              <w:rPr>
                <w:sz w:val="17"/>
              </w:rPr>
              <w:t>Blocking decision</w:t>
            </w:r>
          </w:p>
        </w:tc>
        <w:tc>
          <w:tcPr>
            <w:tcW w:type="dxa" w:w="5360"/>
            <w:vAlign w:val="top"/>
            <w:tcMar>
              <w:top w:w="80" w:type="dxa"/>
              <w:start w:w="120" w:type="dxa"/>
              <w:bottom w:w="80" w:type="dxa"/>
              <w:end w:w="120" w:type="dxa"/>
            </w:tcMar>
          </w:tcPr>
          <w:p>
            <w:pPr>
              <w:spacing w:after="0"/>
            </w:pPr>
            <w:r>
              <w:rPr>
                <w:sz w:val="17"/>
              </w:rPr>
              <w:t>Provider approval, security/privacy review, retention/deletion behavior, account controls, and fallback path are not final.</w:t>
            </w:r>
          </w:p>
        </w:tc>
      </w:tr>
      <w:tr>
        <w:trPr>
          <w:cantSplit/>
        </w:trPr>
        <w:tc>
          <w:tcPr>
            <w:tcW w:type="dxa" w:w="2300"/>
            <w:vAlign w:val="top"/>
            <w:tcMar>
              <w:top w:w="80" w:type="dxa"/>
              <w:start w:w="120" w:type="dxa"/>
              <w:bottom w:w="80" w:type="dxa"/>
              <w:end w:w="120" w:type="dxa"/>
            </w:tcMar>
          </w:tcPr>
          <w:p>
            <w:pPr>
              <w:spacing w:after="0"/>
            </w:pPr>
            <w:r>
              <w:rPr>
                <w:sz w:val="17"/>
              </w:rPr>
              <w:t>Runtime match</w:t>
            </w:r>
          </w:p>
        </w:tc>
        <w:tc>
          <w:tcPr>
            <w:tcW w:type="dxa" w:w="1700"/>
            <w:vAlign w:val="top"/>
            <w:tcMar>
              <w:top w:w="80" w:type="dxa"/>
              <w:start w:w="120" w:type="dxa"/>
              <w:bottom w:w="80" w:type="dxa"/>
              <w:end w:w="120" w:type="dxa"/>
            </w:tcMar>
            <w:shd w:fill="FDE9E7"/>
          </w:tcPr>
          <w:p>
            <w:pPr>
              <w:spacing w:after="0"/>
            </w:pPr>
            <w:r>
              <w:rPr>
                <w:sz w:val="17"/>
              </w:rPr>
              <w:t>Not ready</w:t>
            </w:r>
          </w:p>
        </w:tc>
        <w:tc>
          <w:tcPr>
            <w:tcW w:type="dxa" w:w="5360"/>
            <w:vAlign w:val="top"/>
            <w:tcMar>
              <w:top w:w="80" w:type="dxa"/>
              <w:start w:w="120" w:type="dxa"/>
              <w:bottom w:w="80" w:type="dxa"/>
              <w:end w:w="120" w:type="dxa"/>
            </w:tcMar>
          </w:tcPr>
          <w:p>
            <w:pPr>
              <w:spacing w:after="0"/>
            </w:pPr>
            <w:r>
              <w:rPr>
                <w:sz w:val="17"/>
              </w:rPr>
              <w:t>Implemented 14-round bookshelf prototype does not yet match the proposed 64-trial, eight-plane, four-condition protocol.</w:t>
            </w:r>
          </w:p>
        </w:tc>
      </w:tr>
      <w:tr>
        <w:trPr>
          <w:cantSplit/>
        </w:trPr>
        <w:tc>
          <w:tcPr>
            <w:tcW w:type="dxa" w:w="2300"/>
            <w:vAlign w:val="top"/>
            <w:tcMar>
              <w:top w:w="80" w:type="dxa"/>
              <w:start w:w="120" w:type="dxa"/>
              <w:bottom w:w="80" w:type="dxa"/>
              <w:end w:w="120" w:type="dxa"/>
            </w:tcMar>
          </w:tcPr>
          <w:p>
            <w:pPr>
              <w:spacing w:after="0"/>
            </w:pPr>
            <w:r>
              <w:rPr>
                <w:sz w:val="17"/>
              </w:rPr>
              <w:t>Submission administration</w:t>
            </w:r>
          </w:p>
        </w:tc>
        <w:tc>
          <w:tcPr>
            <w:tcW w:type="dxa" w:w="1700"/>
            <w:vAlign w:val="top"/>
            <w:tcMar>
              <w:top w:w="80" w:type="dxa"/>
              <w:start w:w="120" w:type="dxa"/>
              <w:bottom w:w="80" w:type="dxa"/>
              <w:end w:w="120" w:type="dxa"/>
            </w:tcMar>
            <w:shd w:fill="FDE9E7"/>
          </w:tcPr>
          <w:p>
            <w:pPr>
              <w:spacing w:after="0"/>
            </w:pPr>
            <w:r>
              <w:rPr>
                <w:sz w:val="17"/>
              </w:rPr>
              <w:t>Not confirmed</w:t>
            </w:r>
          </w:p>
        </w:tc>
        <w:tc>
          <w:tcPr>
            <w:tcW w:type="dxa" w:w="5360"/>
            <w:vAlign w:val="top"/>
            <w:tcMar>
              <w:top w:w="80" w:type="dxa"/>
              <w:start w:w="120" w:type="dxa"/>
              <w:bottom w:w="80" w:type="dxa"/>
              <w:end w:w="120" w:type="dxa"/>
            </w:tcMar>
          </w:tcPr>
          <w:p>
            <w:pPr>
              <w:spacing w:after="0"/>
            </w:pPr>
            <w:r>
              <w:rPr>
                <w:sz w:val="17"/>
              </w:rPr>
              <w:t>PI/faculty advisor, CITI/training status, Huron record, ancillary reviews, lab location, funding, dates, and departmental sign-off are unknown.</w:t>
            </w:r>
          </w:p>
        </w:tc>
      </w:tr>
    </w:tbl>
    <w:p>
      <w:pPr>
        <w:pStyle w:val="Heading2"/>
        <w:keepNext/>
      </w:pPr>
      <w:r>
        <w:t>1.4 Recommended path</w:t>
      </w:r>
    </w:p>
    <w:p>
      <w:pPr>
        <w:pStyle w:val="ListNumber"/>
        <w:keepLines/>
      </w:pPr>
      <w:r>
        <w:rPr>
          <w:b w:val="0"/>
          <w:i w:val="0"/>
        </w:rPr>
        <w:t>Treat the current eight-document packet as the working source of truth; use the supplied folder only to check UCF form structure and participant-facing clarity.</w:t>
      </w:r>
    </w:p>
    <w:p>
      <w:pPr>
        <w:pStyle w:val="ListNumber"/>
        <w:keepLines/>
      </w:pPr>
      <w:r>
        <w:rPr>
          <w:b w:val="0"/>
          <w:i w:val="0"/>
        </w:rPr>
        <w:t>Resolve the high-impact open decisions before spending time polishing Word formatting: voice provider, storage/retention, compensation, duration/location, enrollment ceiling, survey battery, stop thresholds, and PI/faculty-advisor roles.</w:t>
      </w:r>
    </w:p>
    <w:p>
      <w:pPr>
        <w:pStyle w:val="ListNumber"/>
        <w:keepLines/>
      </w:pPr>
      <w:r>
        <w:rPr>
          <w:b w:val="0"/>
          <w:i w:val="0"/>
        </w:rPr>
        <w:t>Obtain an early UCF IRB/privacy consultation about the identifiable voice-cloning workflow. The voice path, not ordinary headset discomfort, is the study’s main review uncertainty.</w:t>
      </w:r>
    </w:p>
    <w:p>
      <w:pPr>
        <w:pStyle w:val="ListNumber"/>
        <w:keepLines/>
      </w:pPr>
      <w:r>
        <w:rPr>
          <w:b w:val="0"/>
          <w:i w:val="0"/>
        </w:rPr>
        <w:t>Implement and verify the approved 64-trial protocol using synthetic/developer data only; do not recruit, consent, record voices, or run human pilot sessions before UCF approval or formal determination.</w:t>
      </w:r>
    </w:p>
    <w:p>
      <w:pPr>
        <w:pStyle w:val="Heading1"/>
        <w:keepNext/>
      </w:pPr>
      <w:r>
        <w:t>2. Current study snapshot</w:t>
      </w:r>
    </w:p>
    <w:tbl>
      <w:tblPr>
        <w:tblStyle w:val="TableGrid"/>
        <w:tblW w:type="dxa" w:w="9360"/>
        <w:jc w:val="center"/>
        <w:tblLayout w:type="fixed"/>
        <w:tblLook w:firstColumn="1" w:firstRow="1" w:lastColumn="0" w:lastRow="0" w:noHBand="0" w:noVBand="1" w:val="04A0"/>
      </w:tblPr>
      <w:tblGrid>
        <w:gridCol w:w="2200"/>
        <w:gridCol w:w="7160"/>
      </w:tblGrid>
      <w:tr>
        <w:trPr>
          <w:tblHeader w:val="true"/>
          <w:cantSplit/>
        </w:trPr>
        <w:tc>
          <w:tcPr>
            <w:tcW w:type="dxa" w:w="2200"/>
            <w:shd w:fill="F2F4F7"/>
            <w:vAlign w:val="center"/>
          </w:tcPr>
          <w:p>
            <w:pPr>
              <w:spacing w:after="0"/>
            </w:pPr>
            <w:r>
              <w:rPr>
                <w:b/>
                <w:color w:val="1F4D78"/>
                <w:sz w:val="18"/>
              </w:rPr>
              <w:t>Element</w:t>
            </w:r>
          </w:p>
        </w:tc>
        <w:tc>
          <w:tcPr>
            <w:tcW w:type="dxa" w:w="7160"/>
            <w:shd w:fill="F2F4F7"/>
            <w:vAlign w:val="center"/>
          </w:tcPr>
          <w:p>
            <w:pPr>
              <w:spacing w:after="0"/>
            </w:pPr>
            <w:r>
              <w:rPr>
                <w:b/>
                <w:color w:val="1F4D78"/>
                <w:sz w:val="18"/>
              </w:rPr>
              <w:t>Current project position</w:t>
            </w:r>
          </w:p>
        </w:tc>
      </w:tr>
      <w:tr>
        <w:trPr>
          <w:cantSplit/>
        </w:trPr>
        <w:tc>
          <w:tcPr>
            <w:tcW w:type="dxa" w:w="2200"/>
            <w:vAlign w:val="top"/>
            <w:tcMar>
              <w:top w:w="80" w:type="dxa"/>
              <w:start w:w="120" w:type="dxa"/>
              <w:bottom w:w="80" w:type="dxa"/>
              <w:end w:w="120" w:type="dxa"/>
            </w:tcMar>
          </w:tcPr>
          <w:p>
            <w:pPr>
              <w:spacing w:after="0"/>
            </w:pPr>
            <w:r>
              <w:rPr>
                <w:sz w:val="18"/>
              </w:rPr>
              <w:t>Research question</w:t>
            </w:r>
          </w:p>
        </w:tc>
        <w:tc>
          <w:tcPr>
            <w:tcW w:type="dxa" w:w="7160"/>
            <w:vAlign w:val="top"/>
            <w:tcMar>
              <w:top w:w="80" w:type="dxa"/>
              <w:start w:w="120" w:type="dxa"/>
              <w:bottom w:w="80" w:type="dxa"/>
              <w:end w:w="120" w:type="dxa"/>
            </w:tcMar>
          </w:tcPr>
          <w:p>
            <w:pPr>
              <w:spacing w:after="0"/>
            </w:pPr>
            <w:r>
              <w:rPr>
                <w:sz w:val="18"/>
              </w:rPr>
              <w:t>Whether gaze-contingent two-step spoken guidance and a participant-derived self-similar voice affect XR visual-search performance, workload, trust, and experience.</w:t>
            </w:r>
          </w:p>
        </w:tc>
      </w:tr>
      <w:tr>
        <w:trPr>
          <w:cantSplit/>
        </w:trPr>
        <w:tc>
          <w:tcPr>
            <w:tcW w:type="dxa" w:w="2200"/>
            <w:vAlign w:val="top"/>
            <w:tcMar>
              <w:top w:w="80" w:type="dxa"/>
              <w:start w:w="120" w:type="dxa"/>
              <w:bottom w:w="80" w:type="dxa"/>
              <w:end w:w="120" w:type="dxa"/>
            </w:tcMar>
          </w:tcPr>
          <w:p>
            <w:pPr>
              <w:spacing w:after="0"/>
            </w:pPr>
            <w:r>
              <w:rPr>
                <w:sz w:val="18"/>
              </w:rPr>
              <w:t>Design</w:t>
            </w:r>
          </w:p>
        </w:tc>
        <w:tc>
          <w:tcPr>
            <w:tcW w:type="dxa" w:w="7160"/>
            <w:vAlign w:val="top"/>
            <w:tcMar>
              <w:top w:w="80" w:type="dxa"/>
              <w:start w:w="120" w:type="dxa"/>
              <w:bottom w:w="80" w:type="dxa"/>
              <w:end w:w="120" w:type="dxa"/>
            </w:tcMar>
          </w:tcPr>
          <w:p>
            <w:pPr>
              <w:spacing w:after="0"/>
            </w:pPr>
            <w:r>
              <w:rPr>
                <w:sz w:val="18"/>
              </w:rPr>
              <w:t>Protocol proposal: 2 × 2 within participant—gaze-contingent vs noncontingent guidance × generic vs self-similar voice.</w:t>
            </w:r>
          </w:p>
        </w:tc>
      </w:tr>
      <w:tr>
        <w:trPr>
          <w:cantSplit/>
        </w:trPr>
        <w:tc>
          <w:tcPr>
            <w:tcW w:type="dxa" w:w="2200"/>
            <w:vAlign w:val="top"/>
            <w:tcMar>
              <w:top w:w="80" w:type="dxa"/>
              <w:start w:w="120" w:type="dxa"/>
              <w:bottom w:w="80" w:type="dxa"/>
              <w:end w:w="120" w:type="dxa"/>
            </w:tcMar>
          </w:tcPr>
          <w:p>
            <w:pPr>
              <w:spacing w:after="0"/>
            </w:pPr>
            <w:r>
              <w:rPr>
                <w:sz w:val="18"/>
              </w:rPr>
              <w:t>Sample</w:t>
            </w:r>
          </w:p>
        </w:tc>
        <w:tc>
          <w:tcPr>
            <w:tcW w:type="dxa" w:w="7160"/>
            <w:vAlign w:val="top"/>
            <w:tcMar>
              <w:top w:w="80" w:type="dxa"/>
              <w:start w:w="120" w:type="dxa"/>
              <w:bottom w:w="80" w:type="dxa"/>
              <w:end w:w="120" w:type="dxa"/>
            </w:tcMar>
          </w:tcPr>
          <w:p>
            <w:pPr>
              <w:spacing w:after="0"/>
            </w:pPr>
            <w:r>
              <w:rPr>
                <w:sz w:val="18"/>
              </w:rPr>
              <w:t>Protocol proposal: 48 complete datasets; enrolled maximum remains an open decision after power/sensitivity and attrition planning.</w:t>
            </w:r>
          </w:p>
        </w:tc>
      </w:tr>
      <w:tr>
        <w:trPr>
          <w:cantSplit/>
        </w:trPr>
        <w:tc>
          <w:tcPr>
            <w:tcW w:type="dxa" w:w="2200"/>
            <w:vAlign w:val="top"/>
            <w:tcMar>
              <w:top w:w="80" w:type="dxa"/>
              <w:start w:w="120" w:type="dxa"/>
              <w:bottom w:w="80" w:type="dxa"/>
              <w:end w:w="120" w:type="dxa"/>
            </w:tcMar>
          </w:tcPr>
          <w:p>
            <w:pPr>
              <w:spacing w:after="0"/>
            </w:pPr>
            <w:r>
              <w:rPr>
                <w:sz w:val="18"/>
              </w:rPr>
              <w:t>Trials</w:t>
            </w:r>
          </w:p>
        </w:tc>
        <w:tc>
          <w:tcPr>
            <w:tcW w:type="dxa" w:w="7160"/>
            <w:vAlign w:val="top"/>
            <w:tcMar>
              <w:top w:w="80" w:type="dxa"/>
              <w:start w:w="120" w:type="dxa"/>
              <w:bottom w:w="80" w:type="dxa"/>
              <w:end w:w="120" w:type="dxa"/>
            </w:tcMar>
          </w:tcPr>
          <w:p>
            <w:pPr>
              <w:spacing w:after="0"/>
            </w:pPr>
            <w:r>
              <w:rPr>
                <w:sz w:val="18"/>
              </w:rPr>
              <w:t>Protocol proposal: four 16-trial blocks, 64 analyzed trials, with up to eight nonanalyzed practice trials.</w:t>
            </w:r>
          </w:p>
        </w:tc>
      </w:tr>
      <w:tr>
        <w:trPr>
          <w:cantSplit/>
        </w:trPr>
        <w:tc>
          <w:tcPr>
            <w:tcW w:type="dxa" w:w="2200"/>
            <w:vAlign w:val="top"/>
            <w:tcMar>
              <w:top w:w="80" w:type="dxa"/>
              <w:start w:w="120" w:type="dxa"/>
              <w:bottom w:w="80" w:type="dxa"/>
              <w:end w:w="120" w:type="dxa"/>
            </w:tcMar>
          </w:tcPr>
          <w:p>
            <w:pPr>
              <w:spacing w:after="0"/>
            </w:pPr>
            <w:r>
              <w:rPr>
                <w:sz w:val="18"/>
              </w:rPr>
              <w:t>Search field</w:t>
            </w:r>
          </w:p>
        </w:tc>
        <w:tc>
          <w:tcPr>
            <w:tcW w:type="dxa" w:w="7160"/>
            <w:vAlign w:val="top"/>
            <w:tcMar>
              <w:top w:w="80" w:type="dxa"/>
              <w:start w:w="120" w:type="dxa"/>
              <w:bottom w:w="80" w:type="dxa"/>
              <w:end w:w="120" w:type="dxa"/>
            </w:tcMar>
          </w:tcPr>
          <w:p>
            <w:pPr>
              <w:spacing w:after="0"/>
            </w:pPr>
            <w:r>
              <w:rPr>
                <w:sz w:val="18"/>
              </w:rPr>
              <w:t>Protocol proposal: 56 colored shapes on eight vertical planes at 45-degree intervals around a seated participant in a swivel chair.</w:t>
            </w:r>
          </w:p>
        </w:tc>
      </w:tr>
      <w:tr>
        <w:trPr>
          <w:cantSplit/>
        </w:trPr>
        <w:tc>
          <w:tcPr>
            <w:tcW w:type="dxa" w:w="2200"/>
            <w:vAlign w:val="top"/>
            <w:tcMar>
              <w:top w:w="80" w:type="dxa"/>
              <w:start w:w="120" w:type="dxa"/>
              <w:bottom w:w="80" w:type="dxa"/>
              <w:end w:w="120" w:type="dxa"/>
            </w:tcMar>
          </w:tcPr>
          <w:p>
            <w:pPr>
              <w:spacing w:after="0"/>
            </w:pPr>
            <w:r>
              <w:rPr>
                <w:sz w:val="18"/>
              </w:rPr>
              <w:t>Counterbalancing</w:t>
            </w:r>
          </w:p>
        </w:tc>
        <w:tc>
          <w:tcPr>
            <w:tcW w:type="dxa" w:w="7160"/>
            <w:vAlign w:val="top"/>
            <w:tcMar>
              <w:top w:w="80" w:type="dxa"/>
              <w:start w:w="120" w:type="dxa"/>
              <w:bottom w:w="80" w:type="dxa"/>
              <w:end w:w="120" w:type="dxa"/>
            </w:tcMar>
          </w:tcPr>
          <w:p>
            <w:pPr>
              <w:spacing w:after="0"/>
            </w:pPr>
            <w:r>
              <w:rPr>
                <w:sz w:val="18"/>
              </w:rPr>
              <w:t>Protocol proposal: four-sequence Williams design—A-B-D-C, B-C-A-D, C-D-B-A, D-A-C-B—with 12 complete datasets per sequence.</w:t>
            </w:r>
          </w:p>
        </w:tc>
      </w:tr>
      <w:tr>
        <w:trPr>
          <w:cantSplit/>
        </w:trPr>
        <w:tc>
          <w:tcPr>
            <w:tcW w:type="dxa" w:w="2200"/>
            <w:vAlign w:val="top"/>
            <w:tcMar>
              <w:top w:w="80" w:type="dxa"/>
              <w:start w:w="120" w:type="dxa"/>
              <w:bottom w:w="80" w:type="dxa"/>
              <w:end w:w="120" w:type="dxa"/>
            </w:tcMar>
          </w:tcPr>
          <w:p>
            <w:pPr>
              <w:spacing w:after="0"/>
            </w:pPr>
            <w:r>
              <w:rPr>
                <w:sz w:val="18"/>
              </w:rPr>
              <w:t>Guidance</w:t>
            </w:r>
          </w:p>
        </w:tc>
        <w:tc>
          <w:tcPr>
            <w:tcW w:type="dxa" w:w="7160"/>
            <w:vAlign w:val="top"/>
            <w:tcMar>
              <w:top w:w="80" w:type="dxa"/>
              <w:start w:w="120" w:type="dxa"/>
              <w:bottom w:w="80" w:type="dxa"/>
              <w:end w:w="120" w:type="dxa"/>
            </w:tcMar>
          </w:tcPr>
          <w:p>
            <w:pPr>
              <w:spacing w:after="0"/>
            </w:pPr>
            <w:r>
              <w:rPr>
                <w:sz w:val="18"/>
              </w:rPr>
              <w:t>Protocol proposal: matched hint opportunities; coarse target-plane direction followed by fine angular closer/farther feedback.</w:t>
            </w:r>
          </w:p>
        </w:tc>
      </w:tr>
      <w:tr>
        <w:trPr>
          <w:cantSplit/>
        </w:trPr>
        <w:tc>
          <w:tcPr>
            <w:tcW w:type="dxa" w:w="2200"/>
            <w:vAlign w:val="top"/>
            <w:tcMar>
              <w:top w:w="80" w:type="dxa"/>
              <w:start w:w="120" w:type="dxa"/>
              <w:bottom w:w="80" w:type="dxa"/>
              <w:end w:w="120" w:type="dxa"/>
            </w:tcMar>
          </w:tcPr>
          <w:p>
            <w:pPr>
              <w:spacing w:after="0"/>
            </w:pPr>
            <w:r>
              <w:rPr>
                <w:sz w:val="18"/>
              </w:rPr>
              <w:t>Voice</w:t>
            </w:r>
          </w:p>
        </w:tc>
        <w:tc>
          <w:tcPr>
            <w:tcW w:type="dxa" w:w="7160"/>
            <w:vAlign w:val="top"/>
            <w:tcMar>
              <w:top w:w="80" w:type="dxa"/>
              <w:start w:w="120" w:type="dxa"/>
              <w:bottom w:w="80" w:type="dxa"/>
              <w:end w:w="120" w:type="dxa"/>
            </w:tcMar>
          </w:tcPr>
          <w:p>
            <w:pPr>
              <w:spacing w:after="0"/>
            </w:pPr>
            <w:r>
              <w:rPr>
                <w:sz w:val="18"/>
              </w:rPr>
              <w:t>Protocol proposal: 1–2 minute participant recording, private synthetic voice, fixed study prompts only, staff-controlled generation, no provider credential on headset.</w:t>
            </w:r>
          </w:p>
        </w:tc>
      </w:tr>
      <w:tr>
        <w:trPr>
          <w:cantSplit/>
        </w:trPr>
        <w:tc>
          <w:tcPr>
            <w:tcW w:type="dxa" w:w="2200"/>
            <w:vAlign w:val="top"/>
            <w:tcMar>
              <w:top w:w="80" w:type="dxa"/>
              <w:start w:w="120" w:type="dxa"/>
              <w:bottom w:w="80" w:type="dxa"/>
              <w:end w:w="120" w:type="dxa"/>
            </w:tcMar>
          </w:tcPr>
          <w:p>
            <w:pPr>
              <w:spacing w:after="0"/>
            </w:pPr>
            <w:r>
              <w:rPr>
                <w:sz w:val="18"/>
              </w:rPr>
              <w:t>Primary outcome</w:t>
            </w:r>
          </w:p>
        </w:tc>
        <w:tc>
          <w:tcPr>
            <w:tcW w:type="dxa" w:w="7160"/>
            <w:vAlign w:val="top"/>
            <w:tcMar>
              <w:top w:w="80" w:type="dxa"/>
              <w:start w:w="120" w:type="dxa"/>
              <w:bottom w:w="80" w:type="dxa"/>
              <w:end w:w="120" w:type="dxa"/>
            </w:tcMar>
          </w:tcPr>
          <w:p>
            <w:pPr>
              <w:spacing w:after="0"/>
            </w:pPr>
            <w:r>
              <w:rPr>
                <w:sz w:val="18"/>
              </w:rPr>
              <w:t>Protocol proposal: search time from explicit search-onset event through correct gaze-dwell capture, including preceding wrong captures.</w:t>
            </w:r>
          </w:p>
        </w:tc>
      </w:tr>
      <w:tr>
        <w:trPr>
          <w:cantSplit/>
        </w:trPr>
        <w:tc>
          <w:tcPr>
            <w:tcW w:type="dxa" w:w="2200"/>
            <w:vAlign w:val="top"/>
            <w:tcMar>
              <w:top w:w="80" w:type="dxa"/>
              <w:start w:w="120" w:type="dxa"/>
              <w:bottom w:w="80" w:type="dxa"/>
              <w:end w:w="120" w:type="dxa"/>
            </w:tcMar>
          </w:tcPr>
          <w:p>
            <w:pPr>
              <w:spacing w:after="0"/>
            </w:pPr>
            <w:r>
              <w:rPr>
                <w:sz w:val="18"/>
              </w:rPr>
              <w:t>Current build</w:t>
            </w:r>
          </w:p>
        </w:tc>
        <w:tc>
          <w:tcPr>
            <w:tcW w:type="dxa" w:w="7160"/>
            <w:vAlign w:val="top"/>
            <w:tcMar>
              <w:top w:w="80" w:type="dxa"/>
              <w:start w:w="120" w:type="dxa"/>
              <w:bottom w:w="80" w:type="dxa"/>
              <w:end w:w="120" w:type="dxa"/>
            </w:tcMar>
          </w:tcPr>
          <w:p>
            <w:pPr>
              <w:spacing w:after="0"/>
            </w:pPr>
            <w:r>
              <w:rPr>
                <w:sz w:val="18"/>
              </w:rPr>
              <w:t>Implemented: 14 deterministic front-facing bookshelf rounds, alternating gaze conditions, fixed generic voice; not yet the proposed experiment.</w:t>
            </w:r>
          </w:p>
        </w:tc>
      </w:tr>
    </w:tbl>
    <w:p>
      <w:r>
        <w:br w:type="page"/>
      </w:r>
    </w:p>
    <w:p>
      <w:pPr>
        <w:pStyle w:val="Heading1"/>
        <w:keepNext/>
      </w:pPr>
      <w:r>
        <w:t>3. Master file-by-file crosswalk</w:t>
      </w:r>
    </w:p>
    <w:p>
      <w:pPr>
        <w:keepLines/>
      </w:pPr>
      <w:r>
        <w:rPr>
          <w:b w:val="0"/>
          <w:i w:val="0"/>
        </w:rPr>
        <w:t>The decisions below preserve the useful methodological role of each supplied file without importing another study’s task, participants, risk rationale, contacts, compensation, or instrument claims.</w:t>
      </w:r>
    </w:p>
    <w:tbl>
      <w:tblPr>
        <w:tblStyle w:val="TableGrid"/>
        <w:tblW w:type="dxa" w:w="9360"/>
        <w:jc w:val="center"/>
        <w:tblLayout w:type="fixed"/>
        <w:tblLook w:firstColumn="1" w:firstRow="1" w:lastColumn="0" w:lastRow="0" w:noHBand="0" w:noVBand="1" w:val="04A0"/>
      </w:tblPr>
      <w:tblGrid>
        <w:gridCol w:w="2250"/>
        <w:gridCol w:w="2050"/>
        <w:gridCol w:w="2220"/>
        <w:gridCol w:w="2840"/>
      </w:tblGrid>
      <w:tr>
        <w:trPr>
          <w:tblHeader w:val="true"/>
          <w:cantSplit/>
        </w:trPr>
        <w:tc>
          <w:tcPr>
            <w:tcW w:type="dxa" w:w="2250"/>
            <w:shd w:fill="F2F4F7"/>
            <w:vAlign w:val="center"/>
          </w:tcPr>
          <w:p>
            <w:pPr>
              <w:spacing w:after="0"/>
            </w:pPr>
            <w:r>
              <w:rPr>
                <w:b/>
                <w:color w:val="1F4D78"/>
                <w:sz w:val="15"/>
              </w:rPr>
              <w:t>Supplied file</w:t>
            </w:r>
          </w:p>
        </w:tc>
        <w:tc>
          <w:tcPr>
            <w:tcW w:type="dxa" w:w="2050"/>
            <w:shd w:fill="F2F4F7"/>
            <w:vAlign w:val="center"/>
          </w:tcPr>
          <w:p>
            <w:pPr>
              <w:spacing w:after="0"/>
            </w:pPr>
            <w:r>
              <w:rPr>
                <w:b/>
                <w:color w:val="1F4D78"/>
                <w:sz w:val="15"/>
              </w:rPr>
              <w:t>Useful role</w:t>
            </w:r>
          </w:p>
        </w:tc>
        <w:tc>
          <w:tcPr>
            <w:tcW w:type="dxa" w:w="2220"/>
            <w:shd w:fill="F2F4F7"/>
            <w:vAlign w:val="center"/>
          </w:tcPr>
          <w:p>
            <w:pPr>
              <w:spacing w:after="0"/>
            </w:pPr>
            <w:r>
              <w:rPr>
                <w:b/>
                <w:color w:val="1F4D78"/>
                <w:sz w:val="15"/>
              </w:rPr>
              <w:t>Current counterpart</w:t>
            </w:r>
          </w:p>
        </w:tc>
        <w:tc>
          <w:tcPr>
            <w:tcW w:type="dxa" w:w="2840"/>
            <w:shd w:fill="F2F4F7"/>
            <w:vAlign w:val="center"/>
          </w:tcPr>
          <w:p>
            <w:pPr>
              <w:spacing w:after="0"/>
            </w:pPr>
            <w:r>
              <w:rPr>
                <w:b/>
                <w:color w:val="1F4D78"/>
                <w:sz w:val="15"/>
              </w:rPr>
              <w:t>Decision</w:t>
            </w:r>
          </w:p>
        </w:tc>
      </w:tr>
      <w:tr>
        <w:trPr>
          <w:cantSplit/>
        </w:trPr>
        <w:tc>
          <w:tcPr>
            <w:tcW w:type="dxa" w:w="2250"/>
            <w:vAlign w:val="top"/>
            <w:tcMar>
              <w:top w:w="80" w:type="dxa"/>
              <w:start w:w="120" w:type="dxa"/>
              <w:bottom w:w="80" w:type="dxa"/>
              <w:end w:w="120" w:type="dxa"/>
            </w:tcMar>
          </w:tcPr>
          <w:p>
            <w:pPr>
              <w:spacing w:after="0"/>
            </w:pPr>
            <w:r>
              <w:rPr>
                <w:sz w:val="15"/>
              </w:rPr>
              <w:t>HRP-502_Motor_Control_and_Timeflow_Feedback.docx</w:t>
            </w:r>
          </w:p>
        </w:tc>
        <w:tc>
          <w:tcPr>
            <w:tcW w:type="dxa" w:w="2050"/>
            <w:vAlign w:val="top"/>
            <w:tcMar>
              <w:top w:w="80" w:type="dxa"/>
              <w:start w:w="120" w:type="dxa"/>
              <w:bottom w:w="80" w:type="dxa"/>
              <w:end w:w="120" w:type="dxa"/>
            </w:tcMar>
          </w:tcPr>
          <w:p>
            <w:pPr>
              <w:spacing w:after="0"/>
            </w:pPr>
            <w:r>
              <w:rPr>
                <w:sz w:val="15"/>
              </w:rPr>
              <w:t>Adult consent structure and plain-language order.</w:t>
            </w:r>
          </w:p>
        </w:tc>
        <w:tc>
          <w:tcPr>
            <w:tcW w:type="dxa" w:w="2220"/>
            <w:vAlign w:val="top"/>
            <w:tcMar>
              <w:top w:w="80" w:type="dxa"/>
              <w:start w:w="120" w:type="dxa"/>
              <w:bottom w:w="80" w:type="dxa"/>
              <w:end w:w="120" w:type="dxa"/>
            </w:tcMar>
          </w:tcPr>
          <w:p>
            <w:pPr>
              <w:spacing w:after="0"/>
            </w:pPr>
            <w:r>
              <w:rPr>
                <w:sz w:val="15"/>
              </w:rPr>
              <w:t>HRP-502_Gaze_Contingency_Adult_Consent_DRAFT.docx</w:t>
            </w:r>
          </w:p>
        </w:tc>
        <w:tc>
          <w:tcPr>
            <w:tcW w:type="dxa" w:w="2840"/>
            <w:vAlign w:val="top"/>
            <w:tcMar>
              <w:top w:w="80" w:type="dxa"/>
              <w:start w:w="120" w:type="dxa"/>
              <w:bottom w:w="80" w:type="dxa"/>
              <w:end w:w="120" w:type="dxa"/>
            </w:tcMar>
          </w:tcPr>
          <w:p>
            <w:pPr>
              <w:spacing w:after="0"/>
            </w:pPr>
            <w:r>
              <w:rPr>
                <w:sz w:val="15"/>
              </w:rPr>
              <w:t>Adapt structure only. Replace all study-specific content; current signed-consent approach is more conservative than the source waiver/verbal-consent approach.</w:t>
            </w:r>
          </w:p>
        </w:tc>
      </w:tr>
      <w:tr>
        <w:trPr>
          <w:cantSplit/>
        </w:trPr>
        <w:tc>
          <w:tcPr>
            <w:tcW w:type="dxa" w:w="2250"/>
            <w:vAlign w:val="top"/>
            <w:tcMar>
              <w:top w:w="80" w:type="dxa"/>
              <w:start w:w="120" w:type="dxa"/>
              <w:bottom w:w="80" w:type="dxa"/>
              <w:end w:w="120" w:type="dxa"/>
            </w:tcMar>
          </w:tcPr>
          <w:p>
            <w:pPr>
              <w:spacing w:after="0"/>
            </w:pPr>
            <w:r>
              <w:rPr>
                <w:sz w:val="15"/>
              </w:rPr>
              <w:t>HRP-503_Motor_Control_and_Timeflow_Feedback.docx</w:t>
            </w:r>
          </w:p>
        </w:tc>
        <w:tc>
          <w:tcPr>
            <w:tcW w:type="dxa" w:w="2050"/>
            <w:vAlign w:val="top"/>
            <w:tcMar>
              <w:top w:w="80" w:type="dxa"/>
              <w:start w:w="120" w:type="dxa"/>
              <w:bottom w:w="80" w:type="dxa"/>
              <w:end w:w="120" w:type="dxa"/>
            </w:tcMar>
          </w:tcPr>
          <w:p>
            <w:pPr>
              <w:spacing w:after="0"/>
            </w:pPr>
            <w:r>
              <w:rPr>
                <w:sz w:val="15"/>
              </w:rPr>
              <w:t>UCF protocol section order and level of procedural detail.</w:t>
            </w:r>
          </w:p>
        </w:tc>
        <w:tc>
          <w:tcPr>
            <w:tcW w:type="dxa" w:w="2220"/>
            <w:vAlign w:val="top"/>
            <w:tcMar>
              <w:top w:w="80" w:type="dxa"/>
              <w:start w:w="120" w:type="dxa"/>
              <w:bottom w:w="80" w:type="dxa"/>
              <w:end w:w="120" w:type="dxa"/>
            </w:tcMar>
          </w:tcPr>
          <w:p>
            <w:pPr>
              <w:spacing w:after="0"/>
            </w:pPr>
            <w:r>
              <w:rPr>
                <w:sz w:val="15"/>
              </w:rPr>
              <w:t>HRP-503_Gaze_Contingency_Protocol_DRAFT.docx</w:t>
            </w:r>
          </w:p>
        </w:tc>
        <w:tc>
          <w:tcPr>
            <w:tcW w:type="dxa" w:w="2840"/>
            <w:vAlign w:val="top"/>
            <w:tcMar>
              <w:top w:w="80" w:type="dxa"/>
              <w:start w:w="120" w:type="dxa"/>
              <w:bottom w:w="80" w:type="dxa"/>
              <w:end w:w="120" w:type="dxa"/>
            </w:tcMar>
          </w:tcPr>
          <w:p>
            <w:pPr>
              <w:spacing w:after="0"/>
            </w:pPr>
            <w:r>
              <w:rPr>
                <w:sz w:val="15"/>
              </w:rPr>
              <w:t>Adapt structure only. Source is Meta Quest, standing, controller-based, broad umbrella research; it is not scientifically transferable.</w:t>
            </w:r>
          </w:p>
        </w:tc>
      </w:tr>
      <w:tr>
        <w:trPr>
          <w:cantSplit/>
        </w:trPr>
        <w:tc>
          <w:tcPr>
            <w:tcW w:type="dxa" w:w="2250"/>
            <w:vAlign w:val="top"/>
            <w:tcMar>
              <w:top w:w="80" w:type="dxa"/>
              <w:start w:w="120" w:type="dxa"/>
              <w:bottom w:w="80" w:type="dxa"/>
              <w:end w:w="120" w:type="dxa"/>
            </w:tcMar>
          </w:tcPr>
          <w:p>
            <w:pPr>
              <w:spacing w:after="0"/>
            </w:pPr>
            <w:r>
              <w:rPr>
                <w:sz w:val="15"/>
              </w:rPr>
              <w:t>Study 9491 HRP-503…IRB edits.docx</w:t>
            </w:r>
          </w:p>
        </w:tc>
        <w:tc>
          <w:tcPr>
            <w:tcW w:type="dxa" w:w="2050"/>
            <w:vAlign w:val="top"/>
            <w:tcMar>
              <w:top w:w="80" w:type="dxa"/>
              <w:start w:w="120" w:type="dxa"/>
              <w:bottom w:w="80" w:type="dxa"/>
              <w:end w:w="120" w:type="dxa"/>
            </w:tcMar>
          </w:tcPr>
          <w:p>
            <w:pPr>
              <w:spacing w:after="0"/>
            </w:pPr>
            <w:r>
              <w:rPr>
                <w:sz w:val="15"/>
              </w:rPr>
              <w:t>Shows what was added during another drafting/review cycle: pregnancy rationale and named attachments.</w:t>
            </w:r>
          </w:p>
        </w:tc>
        <w:tc>
          <w:tcPr>
            <w:tcW w:type="dxa" w:w="2220"/>
            <w:vAlign w:val="top"/>
            <w:tcMar>
              <w:top w:w="80" w:type="dxa"/>
              <w:start w:w="120" w:type="dxa"/>
              <w:bottom w:w="80" w:type="dxa"/>
              <w:end w:w="120" w:type="dxa"/>
            </w:tcMar>
          </w:tcPr>
          <w:p>
            <w:pPr>
              <w:spacing w:after="0"/>
            </w:pPr>
            <w:r>
              <w:rPr>
                <w:sz w:val="15"/>
              </w:rPr>
              <w:t>Current protocol + attachment list</w:t>
            </w:r>
          </w:p>
        </w:tc>
        <w:tc>
          <w:tcPr>
            <w:tcW w:type="dxa" w:w="2840"/>
            <w:vAlign w:val="top"/>
            <w:tcMar>
              <w:top w:w="80" w:type="dxa"/>
              <w:start w:w="120" w:type="dxa"/>
              <w:bottom w:w="80" w:type="dxa"/>
              <w:end w:w="120" w:type="dxa"/>
            </w:tcMar>
          </w:tcPr>
          <w:p>
            <w:pPr>
              <w:spacing w:after="0"/>
            </w:pPr>
            <w:r>
              <w:rPr>
                <w:sz w:val="15"/>
              </w:rPr>
              <w:t>Use as a review-expectation clue only. It contains tracked insertions and is not proof of approval or a clean template.</w:t>
            </w:r>
          </w:p>
        </w:tc>
      </w:tr>
      <w:tr>
        <w:trPr>
          <w:cantSplit/>
        </w:trPr>
        <w:tc>
          <w:tcPr>
            <w:tcW w:type="dxa" w:w="2250"/>
            <w:vAlign w:val="top"/>
            <w:tcMar>
              <w:top w:w="80" w:type="dxa"/>
              <w:start w:w="120" w:type="dxa"/>
              <w:bottom w:w="80" w:type="dxa"/>
              <w:end w:w="120" w:type="dxa"/>
            </w:tcMar>
          </w:tcPr>
          <w:p>
            <w:pPr>
              <w:spacing w:after="0"/>
            </w:pPr>
            <w:r>
              <w:rPr>
                <w:sz w:val="15"/>
              </w:rPr>
              <w:t>VR_Study_Recruitment_Email_Simple.pdf</w:t>
            </w:r>
          </w:p>
        </w:tc>
        <w:tc>
          <w:tcPr>
            <w:tcW w:type="dxa" w:w="2050"/>
            <w:vAlign w:val="top"/>
            <w:tcMar>
              <w:top w:w="80" w:type="dxa"/>
              <w:start w:w="120" w:type="dxa"/>
              <w:bottom w:w="80" w:type="dxa"/>
              <w:end w:w="120" w:type="dxa"/>
            </w:tcMar>
          </w:tcPr>
          <w:p>
            <w:pPr>
              <w:spacing w:after="0"/>
            </w:pPr>
            <w:r>
              <w:rPr>
                <w:sz w:val="15"/>
              </w:rPr>
              <w:t>Concise recruitment pattern: purpose, duration, eligibility, compensation, link.</w:t>
            </w:r>
          </w:p>
        </w:tc>
        <w:tc>
          <w:tcPr>
            <w:tcW w:type="dxa" w:w="2220"/>
            <w:vAlign w:val="top"/>
            <w:tcMar>
              <w:top w:w="80" w:type="dxa"/>
              <w:start w:w="120" w:type="dxa"/>
              <w:bottom w:w="80" w:type="dxa"/>
              <w:end w:w="120" w:type="dxa"/>
            </w:tcMar>
          </w:tcPr>
          <w:p>
            <w:pPr>
              <w:spacing w:after="0"/>
            </w:pPr>
            <w:r>
              <w:rPr>
                <w:sz w:val="15"/>
              </w:rPr>
              <w:t>Recruitment_Materials_DRAFT.docx</w:t>
            </w:r>
          </w:p>
        </w:tc>
        <w:tc>
          <w:tcPr>
            <w:tcW w:type="dxa" w:w="2840"/>
            <w:vAlign w:val="top"/>
            <w:tcMar>
              <w:top w:w="80" w:type="dxa"/>
              <w:start w:w="120" w:type="dxa"/>
              <w:bottom w:w="80" w:type="dxa"/>
              <w:end w:w="120" w:type="dxa"/>
            </w:tcMar>
          </w:tcPr>
          <w:p>
            <w:pPr>
              <w:spacing w:after="0"/>
            </w:pPr>
            <w:r>
              <w:rPr>
                <w:sz w:val="15"/>
              </w:rPr>
              <w:t>Adapt. Current version must add eye tracking, voice recording/cloning, seated turning, exact location, and final duration/payment.</w:t>
            </w:r>
          </w:p>
        </w:tc>
      </w:tr>
      <w:tr>
        <w:trPr>
          <w:cantSplit/>
        </w:trPr>
        <w:tc>
          <w:tcPr>
            <w:tcW w:type="dxa" w:w="2250"/>
            <w:vAlign w:val="top"/>
            <w:tcMar>
              <w:top w:w="80" w:type="dxa"/>
              <w:start w:w="120" w:type="dxa"/>
              <w:bottom w:w="80" w:type="dxa"/>
              <w:end w:w="120" w:type="dxa"/>
            </w:tcMar>
          </w:tcPr>
          <w:p>
            <w:pPr>
              <w:spacing w:after="0"/>
            </w:pPr>
            <w:r>
              <w:rPr>
                <w:sz w:val="15"/>
              </w:rPr>
              <w:t>demographics.pdf</w:t>
            </w:r>
          </w:p>
        </w:tc>
        <w:tc>
          <w:tcPr>
            <w:tcW w:type="dxa" w:w="2050"/>
            <w:vAlign w:val="top"/>
            <w:tcMar>
              <w:top w:w="80" w:type="dxa"/>
              <w:start w:w="120" w:type="dxa"/>
              <w:bottom w:w="80" w:type="dxa"/>
              <w:end w:w="120" w:type="dxa"/>
            </w:tcMar>
          </w:tcPr>
          <w:p>
            <w:pPr>
              <w:spacing w:after="0"/>
            </w:pPr>
            <w:r>
              <w:rPr>
                <w:sz w:val="15"/>
              </w:rPr>
              <w:t>Age, gender, field/level, handedness, vision.</w:t>
            </w:r>
          </w:p>
        </w:tc>
        <w:tc>
          <w:tcPr>
            <w:tcW w:type="dxa" w:w="2220"/>
            <w:vAlign w:val="top"/>
            <w:tcMar>
              <w:top w:w="80" w:type="dxa"/>
              <w:start w:w="120" w:type="dxa"/>
              <w:bottom w:w="80" w:type="dxa"/>
              <w:end w:w="120" w:type="dxa"/>
            </w:tcMar>
          </w:tcPr>
          <w:p>
            <w:pPr>
              <w:spacing w:after="0"/>
            </w:pPr>
            <w:r>
              <w:rPr>
                <w:sz w:val="15"/>
              </w:rPr>
              <w:t>Participant_Questionnaires_DRAFT.docx</w:t>
            </w:r>
          </w:p>
        </w:tc>
        <w:tc>
          <w:tcPr>
            <w:tcW w:type="dxa" w:w="2840"/>
            <w:vAlign w:val="top"/>
            <w:tcMar>
              <w:top w:w="80" w:type="dxa"/>
              <w:start w:w="120" w:type="dxa"/>
              <w:bottom w:w="80" w:type="dxa"/>
              <w:end w:w="120" w:type="dxa"/>
            </w:tcMar>
          </w:tcPr>
          <w:p>
            <w:pPr>
              <w:spacing w:after="0"/>
            </w:pPr>
            <w:r>
              <w:rPr>
                <w:sz w:val="15"/>
              </w:rPr>
              <w:t>Reduce to scientifically necessary items. Current draft appropriately omits major, level, and handedness unless justified.</w:t>
            </w:r>
          </w:p>
        </w:tc>
      </w:tr>
      <w:tr>
        <w:trPr>
          <w:cantSplit/>
        </w:trPr>
        <w:tc>
          <w:tcPr>
            <w:tcW w:type="dxa" w:w="2250"/>
            <w:vAlign w:val="top"/>
            <w:tcMar>
              <w:top w:w="80" w:type="dxa"/>
              <w:start w:w="120" w:type="dxa"/>
              <w:bottom w:w="80" w:type="dxa"/>
              <w:end w:w="120" w:type="dxa"/>
            </w:tcMar>
          </w:tcPr>
          <w:p>
            <w:pPr>
              <w:spacing w:after="0"/>
            </w:pPr>
            <w:r>
              <w:rPr>
                <w:sz w:val="15"/>
              </w:rPr>
              <w:t>experience.pdf</w:t>
            </w:r>
          </w:p>
        </w:tc>
        <w:tc>
          <w:tcPr>
            <w:tcW w:type="dxa" w:w="2050"/>
            <w:vAlign w:val="top"/>
            <w:tcMar>
              <w:top w:w="80" w:type="dxa"/>
              <w:start w:w="120" w:type="dxa"/>
              <w:bottom w:w="80" w:type="dxa"/>
              <w:end w:w="120" w:type="dxa"/>
            </w:tcMar>
          </w:tcPr>
          <w:p>
            <w:pPr>
              <w:spacing w:after="0"/>
            </w:pPr>
            <w:r>
              <w:rPr>
                <w:sz w:val="15"/>
              </w:rPr>
              <w:t>VR, headset, gaming, sport/task experience.</w:t>
            </w:r>
          </w:p>
        </w:tc>
        <w:tc>
          <w:tcPr>
            <w:tcW w:type="dxa" w:w="2220"/>
            <w:vAlign w:val="top"/>
            <w:tcMar>
              <w:top w:w="80" w:type="dxa"/>
              <w:start w:w="120" w:type="dxa"/>
              <w:bottom w:w="80" w:type="dxa"/>
              <w:end w:w="120" w:type="dxa"/>
            </w:tcMar>
          </w:tcPr>
          <w:p>
            <w:pPr>
              <w:spacing w:after="0"/>
            </w:pPr>
            <w:r>
              <w:rPr>
                <w:sz w:val="15"/>
              </w:rPr>
              <w:t>Background and Prior Experience</w:t>
            </w:r>
          </w:p>
        </w:tc>
        <w:tc>
          <w:tcPr>
            <w:tcW w:type="dxa" w:w="2840"/>
            <w:vAlign w:val="top"/>
            <w:tcMar>
              <w:top w:w="80" w:type="dxa"/>
              <w:start w:w="120" w:type="dxa"/>
              <w:bottom w:w="80" w:type="dxa"/>
              <w:end w:w="120" w:type="dxa"/>
            </w:tcMar>
          </w:tcPr>
          <w:p>
            <w:pPr>
              <w:spacing w:after="0"/>
            </w:pPr>
            <w:r>
              <w:rPr>
                <w:sz w:val="15"/>
              </w:rPr>
              <w:t>Retain XR exposure; remove Meta Quest, ping-pong, paddle sports, and motor-task items. Add eye-tracking and synthetic-voice familiarity.</w:t>
            </w:r>
          </w:p>
        </w:tc>
      </w:tr>
      <w:tr>
        <w:trPr>
          <w:cantSplit/>
        </w:trPr>
        <w:tc>
          <w:tcPr>
            <w:tcW w:type="dxa" w:w="2250"/>
            <w:vAlign w:val="top"/>
            <w:tcMar>
              <w:top w:w="80" w:type="dxa"/>
              <w:start w:w="120" w:type="dxa"/>
              <w:bottom w:w="80" w:type="dxa"/>
              <w:end w:w="120" w:type="dxa"/>
            </w:tcMar>
          </w:tcPr>
          <w:p>
            <w:pPr>
              <w:spacing w:after="0"/>
            </w:pPr>
            <w:r>
              <w:rPr>
                <w:sz w:val="15"/>
              </w:rPr>
              <w:t>experience_3.pdf</w:t>
            </w:r>
          </w:p>
        </w:tc>
        <w:tc>
          <w:tcPr>
            <w:tcW w:type="dxa" w:w="2050"/>
            <w:vAlign w:val="top"/>
            <w:tcMar>
              <w:top w:w="80" w:type="dxa"/>
              <w:start w:w="120" w:type="dxa"/>
              <w:bottom w:w="80" w:type="dxa"/>
              <w:end w:w="120" w:type="dxa"/>
            </w:tcMar>
          </w:tcPr>
          <w:p>
            <w:pPr>
              <w:spacing w:after="0"/>
            </w:pPr>
            <w:r>
              <w:rPr>
                <w:sz w:val="15"/>
              </w:rPr>
              <w:t>Baseline comfort/confidence expectations.</w:t>
            </w:r>
          </w:p>
        </w:tc>
        <w:tc>
          <w:tcPr>
            <w:tcW w:type="dxa" w:w="2220"/>
            <w:vAlign w:val="top"/>
            <w:tcMar>
              <w:top w:w="80" w:type="dxa"/>
              <w:start w:w="120" w:type="dxa"/>
              <w:bottom w:w="80" w:type="dxa"/>
              <w:end w:w="120" w:type="dxa"/>
            </w:tcMar>
          </w:tcPr>
          <w:p>
            <w:pPr>
              <w:spacing w:after="0"/>
            </w:pPr>
            <w:r>
              <w:rPr>
                <w:sz w:val="15"/>
              </w:rPr>
              <w:t>Background/practice workflow</w:t>
            </w:r>
          </w:p>
        </w:tc>
        <w:tc>
          <w:tcPr>
            <w:tcW w:type="dxa" w:w="2840"/>
            <w:vAlign w:val="top"/>
            <w:tcMar>
              <w:top w:w="80" w:type="dxa"/>
              <w:start w:w="120" w:type="dxa"/>
              <w:bottom w:w="80" w:type="dxa"/>
              <w:end w:w="120" w:type="dxa"/>
            </w:tcMar>
          </w:tcPr>
          <w:p>
            <w:pPr>
              <w:spacing w:after="0"/>
            </w:pPr>
            <w:r>
              <w:rPr>
                <w:sz w:val="15"/>
              </w:rPr>
              <w:t>Partially adapt only if expectancy is an analysis variable. Ping-pong and physical-coordination wording does not transfer.</w:t>
            </w:r>
          </w:p>
        </w:tc>
      </w:tr>
      <w:tr>
        <w:trPr>
          <w:cantSplit/>
        </w:trPr>
        <w:tc>
          <w:tcPr>
            <w:tcW w:type="dxa" w:w="2250"/>
            <w:vAlign w:val="top"/>
            <w:tcMar>
              <w:top w:w="80" w:type="dxa"/>
              <w:start w:w="120" w:type="dxa"/>
              <w:bottom w:w="80" w:type="dxa"/>
              <w:end w:w="120" w:type="dxa"/>
            </w:tcMar>
          </w:tcPr>
          <w:p>
            <w:pPr>
              <w:spacing w:after="0"/>
            </w:pPr>
            <w:r>
              <w:rPr>
                <w:sz w:val="15"/>
              </w:rPr>
              <w:t>experince_2.pdf</w:t>
            </w:r>
          </w:p>
        </w:tc>
        <w:tc>
          <w:tcPr>
            <w:tcW w:type="dxa" w:w="2050"/>
            <w:vAlign w:val="top"/>
            <w:tcMar>
              <w:top w:w="80" w:type="dxa"/>
              <w:start w:w="120" w:type="dxa"/>
              <w:bottom w:w="80" w:type="dxa"/>
              <w:end w:w="120" w:type="dxa"/>
            </w:tcMar>
          </w:tcPr>
          <w:p>
            <w:pPr>
              <w:spacing w:after="0"/>
            </w:pPr>
            <w:r>
              <w:rPr>
                <w:sz w:val="15"/>
              </w:rPr>
              <w:t>Hand-eye coordination and ping-pong skill.</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use. Task-specific and not required for the planned search hypotheses.</w:t>
            </w:r>
          </w:p>
        </w:tc>
      </w:tr>
      <w:tr>
        <w:trPr>
          <w:cantSplit/>
        </w:trPr>
        <w:tc>
          <w:tcPr>
            <w:tcW w:type="dxa" w:w="2250"/>
            <w:vAlign w:val="top"/>
            <w:tcMar>
              <w:top w:w="80" w:type="dxa"/>
              <w:start w:w="120" w:type="dxa"/>
              <w:bottom w:w="80" w:type="dxa"/>
              <w:end w:w="120" w:type="dxa"/>
            </w:tcMar>
          </w:tcPr>
          <w:p>
            <w:pPr>
              <w:spacing w:after="0"/>
            </w:pPr>
            <w:r>
              <w:rPr>
                <w:sz w:val="15"/>
              </w:rPr>
              <w:t>health_safety.pdf</w:t>
            </w:r>
          </w:p>
        </w:tc>
        <w:tc>
          <w:tcPr>
            <w:tcW w:type="dxa" w:w="2050"/>
            <w:vAlign w:val="top"/>
            <w:tcMar>
              <w:top w:w="80" w:type="dxa"/>
              <w:start w:w="120" w:type="dxa"/>
              <w:bottom w:w="80" w:type="dxa"/>
              <w:end w:w="120" w:type="dxa"/>
            </w:tcMar>
          </w:tcPr>
          <w:p>
            <w:pPr>
              <w:spacing w:after="0"/>
            </w:pPr>
            <w:r>
              <w:rPr>
                <w:sz w:val="15"/>
              </w:rPr>
              <w:t>VR symptom, vestibular, seizure, and physical-limitation screen.</w:t>
            </w:r>
          </w:p>
        </w:tc>
        <w:tc>
          <w:tcPr>
            <w:tcW w:type="dxa" w:w="2220"/>
            <w:vAlign w:val="top"/>
            <w:tcMar>
              <w:top w:w="80" w:type="dxa"/>
              <w:start w:w="120" w:type="dxa"/>
              <w:bottom w:w="80" w:type="dxa"/>
              <w:end w:w="120" w:type="dxa"/>
            </w:tcMar>
          </w:tcPr>
          <w:p>
            <w:pPr>
              <w:spacing w:after="0"/>
            </w:pPr>
            <w:r>
              <w:rPr>
                <w:sz w:val="15"/>
              </w:rPr>
              <w:t>Eligibility_and_Safety_Screening_DRAFT.docx</w:t>
            </w:r>
          </w:p>
        </w:tc>
        <w:tc>
          <w:tcPr>
            <w:tcW w:type="dxa" w:w="2840"/>
            <w:vAlign w:val="top"/>
            <w:tcMar>
              <w:top w:w="80" w:type="dxa"/>
              <w:start w:w="120" w:type="dxa"/>
              <w:bottom w:w="80" w:type="dxa"/>
              <w:end w:w="120" w:type="dxa"/>
            </w:tcMar>
          </w:tcPr>
          <w:p>
            <w:pPr>
              <w:spacing w:after="0"/>
            </w:pPr>
            <w:r>
              <w:rPr>
                <w:sz w:val="15"/>
              </w:rPr>
              <w:t>Adapt. Current seated-turning, headset fit, vision/color, hearing, calibration, and privacy questions are more appropriate.</w:t>
            </w:r>
          </w:p>
        </w:tc>
      </w:tr>
      <w:tr>
        <w:trPr>
          <w:cantSplit/>
        </w:trPr>
        <w:tc>
          <w:tcPr>
            <w:tcW w:type="dxa" w:w="2250"/>
            <w:vAlign w:val="top"/>
            <w:tcMar>
              <w:top w:w="80" w:type="dxa"/>
              <w:start w:w="120" w:type="dxa"/>
              <w:bottom w:w="80" w:type="dxa"/>
              <w:end w:w="120" w:type="dxa"/>
            </w:tcMar>
          </w:tcPr>
          <w:p>
            <w:pPr>
              <w:spacing w:after="0"/>
            </w:pPr>
            <w:r>
              <w:rPr>
                <w:sz w:val="15"/>
              </w:rPr>
              <w:t>Simulator Sickness Questionnaire…pdf</w:t>
            </w:r>
          </w:p>
        </w:tc>
        <w:tc>
          <w:tcPr>
            <w:tcW w:type="dxa" w:w="2050"/>
            <w:vAlign w:val="top"/>
            <w:tcMar>
              <w:top w:w="80" w:type="dxa"/>
              <w:start w:w="120" w:type="dxa"/>
              <w:bottom w:w="80" w:type="dxa"/>
              <w:end w:w="120" w:type="dxa"/>
            </w:tcMar>
          </w:tcPr>
          <w:p>
            <w:pPr>
              <w:spacing w:after="0"/>
            </w:pPr>
            <w:r>
              <w:rPr>
                <w:sz w:val="15"/>
              </w:rPr>
              <w:t>Full 16-item SSQ-style symptom inventory, 0–3 severity.</w:t>
            </w:r>
          </w:p>
        </w:tc>
        <w:tc>
          <w:tcPr>
            <w:tcW w:type="dxa" w:w="2220"/>
            <w:vAlign w:val="top"/>
            <w:tcMar>
              <w:top w:w="80" w:type="dxa"/>
              <w:start w:w="120" w:type="dxa"/>
              <w:bottom w:w="80" w:type="dxa"/>
              <w:end w:w="120" w:type="dxa"/>
            </w:tcMar>
          </w:tcPr>
          <w:p>
            <w:pPr>
              <w:spacing w:after="0"/>
            </w:pPr>
            <w:r>
              <w:rPr>
                <w:sz w:val="15"/>
              </w:rPr>
              <w:t>Current seven-item pre/post symptom check</w:t>
            </w:r>
          </w:p>
        </w:tc>
        <w:tc>
          <w:tcPr>
            <w:tcW w:type="dxa" w:w="2840"/>
            <w:vAlign w:val="top"/>
            <w:tcMar>
              <w:top w:w="80" w:type="dxa"/>
              <w:start w:w="120" w:type="dxa"/>
              <w:bottom w:w="80" w:type="dxa"/>
              <w:end w:w="120" w:type="dxa"/>
            </w:tcMar>
          </w:tcPr>
          <w:p>
            <w:pPr>
              <w:spacing w:after="0"/>
            </w:pPr>
            <w:r>
              <w:rPr>
                <w:sz w:val="15"/>
              </w:rPr>
              <w:t>Choose one approach. Use the full validated instrument if reporting SSQ scores; otherwise label the shorter form as an adapted symptom check.</w:t>
            </w:r>
          </w:p>
        </w:tc>
      </w:tr>
      <w:tr>
        <w:trPr>
          <w:cantSplit/>
        </w:trPr>
        <w:tc>
          <w:tcPr>
            <w:tcW w:type="dxa" w:w="2250"/>
            <w:vAlign w:val="top"/>
            <w:tcMar>
              <w:top w:w="80" w:type="dxa"/>
              <w:start w:w="120" w:type="dxa"/>
              <w:bottom w:w="80" w:type="dxa"/>
              <w:end w:w="120" w:type="dxa"/>
            </w:tcMar>
          </w:tcPr>
          <w:p>
            <w:pPr>
              <w:spacing w:after="0"/>
            </w:pPr>
            <w:r>
              <w:rPr>
                <w:sz w:val="15"/>
              </w:rPr>
              <w:t>Copy of Simulator Sickness Questionnaire…pdf</w:t>
            </w:r>
          </w:p>
        </w:tc>
        <w:tc>
          <w:tcPr>
            <w:tcW w:type="dxa" w:w="2050"/>
            <w:vAlign w:val="top"/>
            <w:tcMar>
              <w:top w:w="80" w:type="dxa"/>
              <w:start w:w="120" w:type="dxa"/>
              <w:bottom w:w="80" w:type="dxa"/>
              <w:end w:w="120" w:type="dxa"/>
            </w:tcMar>
          </w:tcPr>
          <w:p>
            <w:pPr>
              <w:spacing w:after="0"/>
            </w:pPr>
            <w:r>
              <w:rPr>
                <w:sz w:val="15"/>
              </w:rPr>
              <w:t>Duplicate of the same SSQ form.</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submit twice. Keep only one controlled version if selected.</w:t>
            </w:r>
          </w:p>
        </w:tc>
      </w:tr>
      <w:tr>
        <w:trPr>
          <w:cantSplit/>
        </w:trPr>
        <w:tc>
          <w:tcPr>
            <w:tcW w:type="dxa" w:w="2250"/>
            <w:vAlign w:val="top"/>
            <w:tcMar>
              <w:top w:w="80" w:type="dxa"/>
              <w:start w:w="120" w:type="dxa"/>
              <w:bottom w:w="80" w:type="dxa"/>
              <w:end w:w="120" w:type="dxa"/>
            </w:tcMar>
          </w:tcPr>
          <w:p>
            <w:pPr>
              <w:spacing w:after="0"/>
            </w:pPr>
            <w:r>
              <w:rPr>
                <w:sz w:val="15"/>
              </w:rPr>
              <w:t>nasa_tlx.pdf</w:t>
            </w:r>
          </w:p>
        </w:tc>
        <w:tc>
          <w:tcPr>
            <w:tcW w:type="dxa" w:w="2050"/>
            <w:vAlign w:val="top"/>
            <w:tcMar>
              <w:top w:w="80" w:type="dxa"/>
              <w:start w:w="120" w:type="dxa"/>
              <w:bottom w:w="80" w:type="dxa"/>
              <w:end w:w="120" w:type="dxa"/>
            </w:tcMar>
          </w:tcPr>
          <w:p>
            <w:pPr>
              <w:spacing w:after="0"/>
            </w:pPr>
            <w:r>
              <w:rPr>
                <w:sz w:val="15"/>
              </w:rPr>
              <w:t>Six workload dimensions after a phase; source uses 0–10.</w:t>
            </w:r>
          </w:p>
        </w:tc>
        <w:tc>
          <w:tcPr>
            <w:tcW w:type="dxa" w:w="2220"/>
            <w:vAlign w:val="top"/>
            <w:tcMar>
              <w:top w:w="80" w:type="dxa"/>
              <w:start w:w="120" w:type="dxa"/>
              <w:bottom w:w="80" w:type="dxa"/>
              <w:end w:w="120" w:type="dxa"/>
            </w:tcMar>
          </w:tcPr>
          <w:p>
            <w:pPr>
              <w:spacing w:after="0"/>
            </w:pPr>
            <w:r>
              <w:rPr>
                <w:sz w:val="15"/>
              </w:rPr>
              <w:t>Raw NASA-TLX after each block</w:t>
            </w:r>
          </w:p>
        </w:tc>
        <w:tc>
          <w:tcPr>
            <w:tcW w:type="dxa" w:w="2840"/>
            <w:vAlign w:val="top"/>
            <w:tcMar>
              <w:top w:w="80" w:type="dxa"/>
              <w:start w:w="120" w:type="dxa"/>
              <w:bottom w:w="80" w:type="dxa"/>
              <w:end w:w="120" w:type="dxa"/>
            </w:tcMar>
          </w:tcPr>
          <w:p>
            <w:pPr>
              <w:spacing w:after="0"/>
            </w:pPr>
            <w:r>
              <w:rPr>
                <w:sz w:val="15"/>
              </w:rPr>
              <w:t>Retain, but freeze standard wording, scale, scoring, and administration. Current 0–100 approach is defensible for raw TLX; do not silently mix it with the source 0–10 form.</w:t>
            </w:r>
          </w:p>
        </w:tc>
      </w:tr>
      <w:tr>
        <w:trPr>
          <w:cantSplit/>
        </w:trPr>
        <w:tc>
          <w:tcPr>
            <w:tcW w:type="dxa" w:w="2250"/>
            <w:vAlign w:val="top"/>
            <w:tcMar>
              <w:top w:w="80" w:type="dxa"/>
              <w:start w:w="120" w:type="dxa"/>
              <w:bottom w:w="80" w:type="dxa"/>
              <w:end w:w="120" w:type="dxa"/>
            </w:tcMar>
          </w:tcPr>
          <w:p>
            <w:pPr>
              <w:spacing w:after="0"/>
            </w:pPr>
            <w:r>
              <w:rPr>
                <w:sz w:val="15"/>
              </w:rPr>
              <w:t>System Usability Scale.pdf</w:t>
            </w:r>
          </w:p>
        </w:tc>
        <w:tc>
          <w:tcPr>
            <w:tcW w:type="dxa" w:w="2050"/>
            <w:vAlign w:val="top"/>
            <w:tcMar>
              <w:top w:w="80" w:type="dxa"/>
              <w:start w:w="120" w:type="dxa"/>
              <w:bottom w:w="80" w:type="dxa"/>
              <w:end w:w="120" w:type="dxa"/>
            </w:tcMar>
          </w:tcPr>
          <w:p>
            <w:pPr>
              <w:spacing w:after="0"/>
            </w:pPr>
            <w:r>
              <w:rPr>
                <w:sz w:val="15"/>
              </w:rPr>
              <w:t>Ten-item system-level usability scale.</w:t>
            </w:r>
          </w:p>
        </w:tc>
        <w:tc>
          <w:tcPr>
            <w:tcW w:type="dxa" w:w="2220"/>
            <w:vAlign w:val="top"/>
            <w:tcMar>
              <w:top w:w="80" w:type="dxa"/>
              <w:start w:w="120" w:type="dxa"/>
              <w:bottom w:w="80" w:type="dxa"/>
              <w:end w:w="120" w:type="dxa"/>
            </w:tcMar>
          </w:tcPr>
          <w:p>
            <w:pPr>
              <w:spacing w:after="0"/>
            </w:pPr>
            <w:r>
              <w:rPr>
                <w:sz w:val="15"/>
              </w:rPr>
              <w:t>Not currently in the current questionnaire draft</w:t>
            </w:r>
          </w:p>
        </w:tc>
        <w:tc>
          <w:tcPr>
            <w:tcW w:type="dxa" w:w="2840"/>
            <w:vAlign w:val="top"/>
            <w:tcMar>
              <w:top w:w="80" w:type="dxa"/>
              <w:start w:w="120" w:type="dxa"/>
              <w:bottom w:w="80" w:type="dxa"/>
              <w:end w:w="120" w:type="dxa"/>
            </w:tcMar>
          </w:tcPr>
          <w:p>
            <w:pPr>
              <w:spacing w:after="0"/>
            </w:pPr>
            <w:r>
              <w:rPr>
                <w:sz w:val="15"/>
              </w:rPr>
              <w:t>Potentially retain once after the full session if usability is a stated outcome. Do not repeat after every block.</w:t>
            </w:r>
          </w:p>
        </w:tc>
      </w:tr>
      <w:tr>
        <w:trPr>
          <w:cantSplit/>
        </w:trPr>
        <w:tc>
          <w:tcPr>
            <w:tcW w:type="dxa" w:w="2250"/>
            <w:vAlign w:val="top"/>
            <w:tcMar>
              <w:top w:w="80" w:type="dxa"/>
              <w:start w:w="120" w:type="dxa"/>
              <w:bottom w:w="80" w:type="dxa"/>
              <w:end w:w="120" w:type="dxa"/>
            </w:tcMar>
          </w:tcPr>
          <w:p>
            <w:pPr>
              <w:spacing w:after="0"/>
            </w:pPr>
            <w:r>
              <w:rPr>
                <w:sz w:val="15"/>
              </w:rPr>
              <w:t>User Experience Questionnaire - Short.pdf</w:t>
            </w:r>
          </w:p>
        </w:tc>
        <w:tc>
          <w:tcPr>
            <w:tcW w:type="dxa" w:w="2050"/>
            <w:vAlign w:val="top"/>
            <w:tcMar>
              <w:top w:w="80" w:type="dxa"/>
              <w:start w:w="120" w:type="dxa"/>
              <w:bottom w:w="80" w:type="dxa"/>
              <w:end w:w="120" w:type="dxa"/>
            </w:tcMar>
          </w:tcPr>
          <w:p>
            <w:pPr>
              <w:spacing w:after="0"/>
            </w:pPr>
            <w:r>
              <w:rPr>
                <w:sz w:val="15"/>
              </w:rPr>
              <w:t>Eight semantic-differential pragmatic/hedonic items.</w:t>
            </w:r>
          </w:p>
        </w:tc>
        <w:tc>
          <w:tcPr>
            <w:tcW w:type="dxa" w:w="2220"/>
            <w:vAlign w:val="top"/>
            <w:tcMar>
              <w:top w:w="80" w:type="dxa"/>
              <w:start w:w="120" w:type="dxa"/>
              <w:bottom w:w="80" w:type="dxa"/>
              <w:end w:w="120" w:type="dxa"/>
            </w:tcMar>
          </w:tcPr>
          <w:p>
            <w:pPr>
              <w:spacing w:after="0"/>
            </w:pPr>
            <w:r>
              <w:rPr>
                <w:sz w:val="15"/>
              </w:rPr>
              <w:t>Not selected</w:t>
            </w:r>
          </w:p>
        </w:tc>
        <w:tc>
          <w:tcPr>
            <w:tcW w:type="dxa" w:w="2840"/>
            <w:vAlign w:val="top"/>
            <w:tcMar>
              <w:top w:w="80" w:type="dxa"/>
              <w:start w:w="120" w:type="dxa"/>
              <w:bottom w:w="80" w:type="dxa"/>
              <w:end w:w="120" w:type="dxa"/>
            </w:tcMar>
          </w:tcPr>
          <w:p>
            <w:pPr>
              <w:spacing w:after="0"/>
            </w:pPr>
            <w:r>
              <w:rPr>
                <w:sz w:val="15"/>
              </w:rPr>
              <w:t>Possible alternative to SUS, not an automatic addition. Avoid redundant instrument stacking.</w:t>
            </w:r>
          </w:p>
        </w:tc>
      </w:tr>
      <w:tr>
        <w:trPr>
          <w:cantSplit/>
        </w:trPr>
        <w:tc>
          <w:tcPr>
            <w:tcW w:type="dxa" w:w="2250"/>
            <w:vAlign w:val="top"/>
            <w:tcMar>
              <w:top w:w="80" w:type="dxa"/>
              <w:start w:w="120" w:type="dxa"/>
              <w:bottom w:w="80" w:type="dxa"/>
              <w:end w:w="120" w:type="dxa"/>
            </w:tcMar>
          </w:tcPr>
          <w:p>
            <w:pPr>
              <w:spacing w:after="0"/>
            </w:pPr>
            <w:r>
              <w:rPr>
                <w:sz w:val="15"/>
              </w:rPr>
              <w:t>User Experience Questionnaire.pdf</w:t>
            </w:r>
          </w:p>
        </w:tc>
        <w:tc>
          <w:tcPr>
            <w:tcW w:type="dxa" w:w="2050"/>
            <w:vAlign w:val="top"/>
            <w:tcMar>
              <w:top w:w="80" w:type="dxa"/>
              <w:start w:w="120" w:type="dxa"/>
              <w:bottom w:w="80" w:type="dxa"/>
              <w:end w:w="120" w:type="dxa"/>
            </w:tcMar>
          </w:tcPr>
          <w:p>
            <w:pPr>
              <w:spacing w:after="0"/>
            </w:pPr>
            <w:r>
              <w:rPr>
                <w:sz w:val="15"/>
              </w:rPr>
              <w:t>Full UEQ battery.</w:t>
            </w:r>
          </w:p>
        </w:tc>
        <w:tc>
          <w:tcPr>
            <w:tcW w:type="dxa" w:w="2220"/>
            <w:vAlign w:val="top"/>
            <w:tcMar>
              <w:top w:w="80" w:type="dxa"/>
              <w:start w:w="120" w:type="dxa"/>
              <w:bottom w:w="80" w:type="dxa"/>
              <w:end w:w="120" w:type="dxa"/>
            </w:tcMar>
          </w:tcPr>
          <w:p>
            <w:pPr>
              <w:spacing w:after="0"/>
            </w:pPr>
            <w:r>
              <w:rPr>
                <w:sz w:val="15"/>
              </w:rPr>
              <w:t>Not selected</w:t>
            </w:r>
          </w:p>
        </w:tc>
        <w:tc>
          <w:tcPr>
            <w:tcW w:type="dxa" w:w="2840"/>
            <w:vAlign w:val="top"/>
            <w:tcMar>
              <w:top w:w="80" w:type="dxa"/>
              <w:start w:w="120" w:type="dxa"/>
              <w:bottom w:w="80" w:type="dxa"/>
              <w:end w:w="120" w:type="dxa"/>
            </w:tcMar>
          </w:tcPr>
          <w:p>
            <w:pPr>
              <w:spacing w:after="0"/>
            </w:pPr>
            <w:r>
              <w:rPr>
                <w:sz w:val="15"/>
              </w:rPr>
              <w:t>Do not use unless broader product experience becomes a named outcome and participant burden is acceptable.</w:t>
            </w:r>
          </w:p>
        </w:tc>
      </w:tr>
      <w:tr>
        <w:trPr>
          <w:cantSplit/>
        </w:trPr>
        <w:tc>
          <w:tcPr>
            <w:tcW w:type="dxa" w:w="2250"/>
            <w:vAlign w:val="top"/>
            <w:tcMar>
              <w:top w:w="80" w:type="dxa"/>
              <w:start w:w="120" w:type="dxa"/>
              <w:bottom w:w="80" w:type="dxa"/>
              <w:end w:w="120" w:type="dxa"/>
            </w:tcMar>
          </w:tcPr>
          <w:p>
            <w:pPr>
              <w:spacing w:after="0"/>
            </w:pPr>
            <w:r>
              <w:rPr>
                <w:sz w:val="15"/>
              </w:rPr>
              <w:t>Game Experience Questionnaire…pdf</w:t>
            </w:r>
          </w:p>
        </w:tc>
        <w:tc>
          <w:tcPr>
            <w:tcW w:type="dxa" w:w="2050"/>
            <w:vAlign w:val="top"/>
            <w:tcMar>
              <w:top w:w="80" w:type="dxa"/>
              <w:start w:w="120" w:type="dxa"/>
              <w:bottom w:w="80" w:type="dxa"/>
              <w:end w:w="120" w:type="dxa"/>
            </w:tcMar>
          </w:tcPr>
          <w:p>
            <w:pPr>
              <w:spacing w:after="0"/>
            </w:pPr>
            <w:r>
              <w:rPr>
                <w:sz w:val="15"/>
              </w:rPr>
              <w:t>Competence, flow/absorption, tension, affect, challenge and story/game items.</w:t>
            </w:r>
          </w:p>
        </w:tc>
        <w:tc>
          <w:tcPr>
            <w:tcW w:type="dxa" w:w="2220"/>
            <w:vAlign w:val="top"/>
            <w:tcMar>
              <w:top w:w="80" w:type="dxa"/>
              <w:start w:w="120" w:type="dxa"/>
              <w:bottom w:w="80" w:type="dxa"/>
              <w:end w:w="120" w:type="dxa"/>
            </w:tcMar>
          </w:tcPr>
          <w:p>
            <w:pPr>
              <w:spacing w:after="0"/>
            </w:pPr>
            <w:r>
              <w:rPr>
                <w:sz w:val="15"/>
              </w:rPr>
              <w:t>Study-specific mechanism items</w:t>
            </w:r>
          </w:p>
        </w:tc>
        <w:tc>
          <w:tcPr>
            <w:tcW w:type="dxa" w:w="2840"/>
            <w:vAlign w:val="top"/>
            <w:tcMar>
              <w:top w:w="80" w:type="dxa"/>
              <w:start w:w="120" w:type="dxa"/>
              <w:bottom w:w="80" w:type="dxa"/>
              <w:end w:w="120" w:type="dxa"/>
            </w:tcMar>
          </w:tcPr>
          <w:p>
            <w:pPr>
              <w:spacing w:after="0"/>
            </w:pPr>
            <w:r>
              <w:rPr>
                <w:sz w:val="15"/>
              </w:rPr>
              <w:t>Do not use wholesale. Story/game language and long burden do not fit a controlled search task.</w:t>
            </w:r>
          </w:p>
        </w:tc>
      </w:tr>
      <w:tr>
        <w:trPr>
          <w:cantSplit/>
        </w:trPr>
        <w:tc>
          <w:tcPr>
            <w:tcW w:type="dxa" w:w="2250"/>
            <w:vAlign w:val="top"/>
            <w:tcMar>
              <w:top w:w="80" w:type="dxa"/>
              <w:start w:w="120" w:type="dxa"/>
              <w:bottom w:w="80" w:type="dxa"/>
              <w:end w:w="120" w:type="dxa"/>
            </w:tcMar>
          </w:tcPr>
          <w:p>
            <w:pPr>
              <w:spacing w:after="0"/>
            </w:pPr>
            <w:r>
              <w:rPr>
                <w:sz w:val="15"/>
              </w:rPr>
              <w:t>Presence Questionnaire…pdf</w:t>
            </w:r>
          </w:p>
        </w:tc>
        <w:tc>
          <w:tcPr>
            <w:tcW w:type="dxa" w:w="2050"/>
            <w:vAlign w:val="top"/>
            <w:tcMar>
              <w:top w:w="80" w:type="dxa"/>
              <w:start w:w="120" w:type="dxa"/>
              <w:bottom w:w="80" w:type="dxa"/>
              <w:end w:w="120" w:type="dxa"/>
            </w:tcMar>
          </w:tcPr>
          <w:p>
            <w:pPr>
              <w:spacing w:after="0"/>
            </w:pPr>
            <w:r>
              <w:rPr>
                <w:sz w:val="15"/>
              </w:rPr>
              <w:t>Control, responsiveness, naturalness, sensory involvement, spatial presence.</w:t>
            </w:r>
          </w:p>
        </w:tc>
        <w:tc>
          <w:tcPr>
            <w:tcW w:type="dxa" w:w="2220"/>
            <w:vAlign w:val="top"/>
            <w:tcMar>
              <w:top w:w="80" w:type="dxa"/>
              <w:start w:w="120" w:type="dxa"/>
              <w:bottom w:w="80" w:type="dxa"/>
              <w:end w:w="120" w:type="dxa"/>
            </w:tcMar>
          </w:tcPr>
          <w:p>
            <w:pPr>
              <w:spacing w:after="0"/>
            </w:pPr>
            <w:r>
              <w:rPr>
                <w:sz w:val="15"/>
              </w:rPr>
              <w:t>Not selected</w:t>
            </w:r>
          </w:p>
        </w:tc>
        <w:tc>
          <w:tcPr>
            <w:tcW w:type="dxa" w:w="2840"/>
            <w:vAlign w:val="top"/>
            <w:tcMar>
              <w:top w:w="80" w:type="dxa"/>
              <w:start w:w="120" w:type="dxa"/>
              <w:bottom w:w="80" w:type="dxa"/>
              <w:end w:w="120" w:type="dxa"/>
            </w:tcMar>
          </w:tcPr>
          <w:p>
            <w:pPr>
              <w:spacing w:after="0"/>
            </w:pPr>
            <w:r>
              <w:rPr>
                <w:sz w:val="15"/>
              </w:rPr>
              <w:t>Do not use by default. Some items could be relevant, but passthrough MR and the study’s guidance/voice hypotheses do not require a full presence battery.</w:t>
            </w:r>
          </w:p>
        </w:tc>
      </w:tr>
      <w:tr>
        <w:trPr>
          <w:cantSplit/>
        </w:trPr>
        <w:tc>
          <w:tcPr>
            <w:tcW w:type="dxa" w:w="2250"/>
            <w:vAlign w:val="top"/>
            <w:tcMar>
              <w:top w:w="80" w:type="dxa"/>
              <w:start w:w="120" w:type="dxa"/>
              <w:bottom w:w="80" w:type="dxa"/>
              <w:end w:w="120" w:type="dxa"/>
            </w:tcMar>
          </w:tcPr>
          <w:p>
            <w:pPr>
              <w:spacing w:after="0"/>
            </w:pPr>
            <w:r>
              <w:rPr>
                <w:sz w:val="15"/>
              </w:rPr>
              <w:t>VEQ-Questionnaire.pdf</w:t>
            </w:r>
          </w:p>
        </w:tc>
        <w:tc>
          <w:tcPr>
            <w:tcW w:type="dxa" w:w="2050"/>
            <w:vAlign w:val="top"/>
            <w:tcMar>
              <w:top w:w="80" w:type="dxa"/>
              <w:start w:w="120" w:type="dxa"/>
              <w:bottom w:w="80" w:type="dxa"/>
              <w:end w:w="120" w:type="dxa"/>
            </w:tcMar>
          </w:tcPr>
          <w:p>
            <w:pPr>
              <w:spacing w:after="0"/>
            </w:pPr>
            <w:r>
              <w:rPr>
                <w:sz w:val="15"/>
              </w:rPr>
              <w:t>Virtual body ownership, agency, and body-change scales.</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use. The planned study does not manipulate or evaluate a virtual body/avatar.</w:t>
            </w:r>
          </w:p>
        </w:tc>
      </w:tr>
      <w:tr>
        <w:trPr>
          <w:cantSplit/>
        </w:trPr>
        <w:tc>
          <w:tcPr>
            <w:tcW w:type="dxa" w:w="2250"/>
            <w:vAlign w:val="top"/>
            <w:tcMar>
              <w:top w:w="80" w:type="dxa"/>
              <w:start w:w="120" w:type="dxa"/>
              <w:bottom w:w="80" w:type="dxa"/>
              <w:end w:w="120" w:type="dxa"/>
            </w:tcMar>
          </w:tcPr>
          <w:p>
            <w:pPr>
              <w:spacing w:after="0"/>
            </w:pPr>
            <w:r>
              <w:rPr>
                <w:sz w:val="15"/>
              </w:rPr>
              <w:t>performance_1.pdf</w:t>
            </w:r>
          </w:p>
        </w:tc>
        <w:tc>
          <w:tcPr>
            <w:tcW w:type="dxa" w:w="2050"/>
            <w:vAlign w:val="top"/>
            <w:tcMar>
              <w:top w:w="80" w:type="dxa"/>
              <w:start w:w="120" w:type="dxa"/>
              <w:bottom w:w="80" w:type="dxa"/>
              <w:end w:w="120" w:type="dxa"/>
            </w:tcMar>
          </w:tcPr>
          <w:p>
            <w:pPr>
              <w:spacing w:after="0"/>
            </w:pPr>
            <w:r>
              <w:rPr>
                <w:sz w:val="15"/>
              </w:rPr>
              <w:t>Self-rated improvement and training effectiveness.</w:t>
            </w:r>
          </w:p>
        </w:tc>
        <w:tc>
          <w:tcPr>
            <w:tcW w:type="dxa" w:w="2220"/>
            <w:vAlign w:val="top"/>
            <w:tcMar>
              <w:top w:w="80" w:type="dxa"/>
              <w:start w:w="120" w:type="dxa"/>
              <w:bottom w:w="80" w:type="dxa"/>
              <w:end w:w="120" w:type="dxa"/>
            </w:tcMar>
          </w:tcPr>
          <w:p>
            <w:pPr>
              <w:spacing w:after="0"/>
            </w:pPr>
            <w:r>
              <w:rPr>
                <w:sz w:val="15"/>
              </w:rPr>
              <w:t>Post-session comparison</w:t>
            </w:r>
          </w:p>
        </w:tc>
        <w:tc>
          <w:tcPr>
            <w:tcW w:type="dxa" w:w="2840"/>
            <w:vAlign w:val="top"/>
            <w:tcMar>
              <w:top w:w="80" w:type="dxa"/>
              <w:start w:w="120" w:type="dxa"/>
              <w:bottom w:w="80" w:type="dxa"/>
              <w:end w:w="120" w:type="dxa"/>
            </w:tcMar>
          </w:tcPr>
          <w:p>
            <w:pPr>
              <w:spacing w:after="0"/>
            </w:pPr>
            <w:r>
              <w:rPr>
                <w:sz w:val="15"/>
              </w:rPr>
              <w:t>Do not transfer directly; pre/training/post motor-learning framing is absent.</w:t>
            </w:r>
          </w:p>
        </w:tc>
      </w:tr>
      <w:tr>
        <w:trPr>
          <w:cantSplit/>
        </w:trPr>
        <w:tc>
          <w:tcPr>
            <w:tcW w:type="dxa" w:w="2250"/>
            <w:vAlign w:val="top"/>
            <w:tcMar>
              <w:top w:w="80" w:type="dxa"/>
              <w:start w:w="120" w:type="dxa"/>
              <w:bottom w:w="80" w:type="dxa"/>
              <w:end w:w="120" w:type="dxa"/>
            </w:tcMar>
          </w:tcPr>
          <w:p>
            <w:pPr>
              <w:spacing w:after="0"/>
            </w:pPr>
            <w:r>
              <w:rPr>
                <w:sz w:val="15"/>
              </w:rPr>
              <w:t>performance_2.pdf</w:t>
            </w:r>
          </w:p>
        </w:tc>
        <w:tc>
          <w:tcPr>
            <w:tcW w:type="dxa" w:w="2050"/>
            <w:vAlign w:val="top"/>
            <w:tcMar>
              <w:top w:w="80" w:type="dxa"/>
              <w:start w:w="120" w:type="dxa"/>
              <w:bottom w:w="80" w:type="dxa"/>
              <w:end w:w="120" w:type="dxa"/>
            </w:tcMar>
          </w:tcPr>
          <w:p>
            <w:pPr>
              <w:spacing w:after="0"/>
            </w:pPr>
            <w:r>
              <w:rPr>
                <w:sz w:val="15"/>
              </w:rPr>
              <w:t>Control, predictability, naturalness, engagement, demand, frustration.</w:t>
            </w:r>
          </w:p>
        </w:tc>
        <w:tc>
          <w:tcPr>
            <w:tcW w:type="dxa" w:w="2220"/>
            <w:vAlign w:val="top"/>
            <w:tcMar>
              <w:top w:w="80" w:type="dxa"/>
              <w:start w:w="120" w:type="dxa"/>
              <w:bottom w:w="80" w:type="dxa"/>
              <w:end w:w="120" w:type="dxa"/>
            </w:tcMar>
          </w:tcPr>
          <w:p>
            <w:pPr>
              <w:spacing w:after="0"/>
            </w:pPr>
            <w:r>
              <w:rPr>
                <w:sz w:val="15"/>
              </w:rPr>
              <w:t>Post-block assistance and voice checks</w:t>
            </w:r>
          </w:p>
        </w:tc>
        <w:tc>
          <w:tcPr>
            <w:tcW w:type="dxa" w:w="2840"/>
            <w:vAlign w:val="top"/>
            <w:tcMar>
              <w:top w:w="80" w:type="dxa"/>
              <w:start w:w="120" w:type="dxa"/>
              <w:bottom w:w="80" w:type="dxa"/>
              <w:end w:w="120" w:type="dxa"/>
            </w:tcMar>
          </w:tcPr>
          <w:p>
            <w:pPr>
              <w:spacing w:after="0"/>
            </w:pPr>
            <w:r>
              <w:rPr>
                <w:sz w:val="15"/>
              </w:rPr>
              <w:t>Adapt only selected constructs. Current task-specific wording is better aligned.</w:t>
            </w:r>
          </w:p>
        </w:tc>
      </w:tr>
      <w:tr>
        <w:trPr>
          <w:cantSplit/>
        </w:trPr>
        <w:tc>
          <w:tcPr>
            <w:tcW w:type="dxa" w:w="2250"/>
            <w:vAlign w:val="top"/>
            <w:tcMar>
              <w:top w:w="80" w:type="dxa"/>
              <w:start w:w="120" w:type="dxa"/>
              <w:bottom w:w="80" w:type="dxa"/>
              <w:end w:w="120" w:type="dxa"/>
            </w:tcMar>
          </w:tcPr>
          <w:p>
            <w:pPr>
              <w:spacing w:after="0"/>
            </w:pPr>
            <w:r>
              <w:rPr>
                <w:sz w:val="15"/>
              </w:rPr>
              <w:t>performance_3.pdf</w:t>
            </w:r>
          </w:p>
        </w:tc>
        <w:tc>
          <w:tcPr>
            <w:tcW w:type="dxa" w:w="2050"/>
            <w:vAlign w:val="top"/>
            <w:tcMar>
              <w:top w:w="80" w:type="dxa"/>
              <w:start w:w="120" w:type="dxa"/>
              <w:bottom w:w="80" w:type="dxa"/>
              <w:end w:w="120" w:type="dxa"/>
            </w:tcMar>
          </w:tcPr>
          <w:p>
            <w:pPr>
              <w:spacing w:after="0"/>
            </w:pPr>
            <w:r>
              <w:rPr>
                <w:sz w:val="15"/>
              </w:rPr>
              <w:t>Perceived adaptation to speed/timeflow manipulation.</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use; wrong manipulation.</w:t>
            </w:r>
          </w:p>
        </w:tc>
      </w:tr>
      <w:tr>
        <w:trPr>
          <w:cantSplit/>
        </w:trPr>
        <w:tc>
          <w:tcPr>
            <w:tcW w:type="dxa" w:w="2250"/>
            <w:vAlign w:val="top"/>
            <w:tcMar>
              <w:top w:w="80" w:type="dxa"/>
              <w:start w:w="120" w:type="dxa"/>
              <w:bottom w:w="80" w:type="dxa"/>
              <w:end w:w="120" w:type="dxa"/>
            </w:tcMar>
          </w:tcPr>
          <w:p>
            <w:pPr>
              <w:spacing w:after="0"/>
            </w:pPr>
            <w:r>
              <w:rPr>
                <w:sz w:val="15"/>
              </w:rPr>
              <w:t>performance_4.pdf</w:t>
            </w:r>
          </w:p>
        </w:tc>
        <w:tc>
          <w:tcPr>
            <w:tcW w:type="dxa" w:w="2050"/>
            <w:vAlign w:val="top"/>
            <w:tcMar>
              <w:top w:w="80" w:type="dxa"/>
              <w:start w:w="120" w:type="dxa"/>
              <w:bottom w:w="80" w:type="dxa"/>
              <w:end w:w="120" w:type="dxa"/>
            </w:tcMar>
          </w:tcPr>
          <w:p>
            <w:pPr>
              <w:spacing w:after="0"/>
            </w:pPr>
            <w:r>
              <w:rPr>
                <w:sz w:val="15"/>
              </w:rPr>
              <w:t>Subjective time estimates/ranking.</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use; wrong outcome.</w:t>
            </w:r>
          </w:p>
        </w:tc>
      </w:tr>
      <w:tr>
        <w:trPr>
          <w:cantSplit/>
        </w:trPr>
        <w:tc>
          <w:tcPr>
            <w:tcW w:type="dxa" w:w="2250"/>
            <w:vAlign w:val="top"/>
            <w:tcMar>
              <w:top w:w="80" w:type="dxa"/>
              <w:start w:w="120" w:type="dxa"/>
              <w:bottom w:w="80" w:type="dxa"/>
              <w:end w:w="120" w:type="dxa"/>
            </w:tcMar>
          </w:tcPr>
          <w:p>
            <w:pPr>
              <w:spacing w:after="0"/>
            </w:pPr>
            <w:r>
              <w:rPr>
                <w:sz w:val="15"/>
              </w:rPr>
              <w:t>performance_5.pdf</w:t>
            </w:r>
          </w:p>
        </w:tc>
        <w:tc>
          <w:tcPr>
            <w:tcW w:type="dxa" w:w="2050"/>
            <w:vAlign w:val="top"/>
            <w:tcMar>
              <w:top w:w="80" w:type="dxa"/>
              <w:start w:w="120" w:type="dxa"/>
              <w:bottom w:w="80" w:type="dxa"/>
              <w:end w:w="120" w:type="dxa"/>
            </w:tcMar>
          </w:tcPr>
          <w:p>
            <w:pPr>
              <w:spacing w:after="0"/>
            </w:pPr>
            <w:r>
              <w:rPr>
                <w:sz w:val="15"/>
              </w:rPr>
              <w:t>Effects of noticed speed changes.</w:t>
            </w:r>
          </w:p>
        </w:tc>
        <w:tc>
          <w:tcPr>
            <w:tcW w:type="dxa" w:w="2220"/>
            <w:vAlign w:val="top"/>
            <w:tcMar>
              <w:top w:w="80" w:type="dxa"/>
              <w:start w:w="120" w:type="dxa"/>
              <w:bottom w:w="80" w:type="dxa"/>
              <w:end w:w="120" w:type="dxa"/>
            </w:tcMar>
          </w:tcPr>
          <w:p>
            <w:pPr>
              <w:spacing w:after="0"/>
            </w:pPr>
            <w:r>
              <w:rPr>
                <w:sz w:val="15"/>
              </w:rPr>
              <w:t>None</w:t>
            </w:r>
          </w:p>
        </w:tc>
        <w:tc>
          <w:tcPr>
            <w:tcW w:type="dxa" w:w="2840"/>
            <w:vAlign w:val="top"/>
            <w:tcMar>
              <w:top w:w="80" w:type="dxa"/>
              <w:start w:w="120" w:type="dxa"/>
              <w:bottom w:w="80" w:type="dxa"/>
              <w:end w:w="120" w:type="dxa"/>
            </w:tcMar>
          </w:tcPr>
          <w:p>
            <w:pPr>
              <w:spacing w:after="0"/>
            </w:pPr>
            <w:r>
              <w:rPr>
                <w:sz w:val="15"/>
              </w:rPr>
              <w:t>Do not use; wrong manipulation.</w:t>
            </w:r>
          </w:p>
        </w:tc>
      </w:tr>
      <w:tr>
        <w:trPr>
          <w:cantSplit/>
        </w:trPr>
        <w:tc>
          <w:tcPr>
            <w:tcW w:type="dxa" w:w="2250"/>
            <w:vAlign w:val="top"/>
            <w:tcMar>
              <w:top w:w="80" w:type="dxa"/>
              <w:start w:w="120" w:type="dxa"/>
              <w:bottom w:w="80" w:type="dxa"/>
              <w:end w:w="120" w:type="dxa"/>
            </w:tcMar>
          </w:tcPr>
          <w:p>
            <w:pPr>
              <w:spacing w:after="0"/>
            </w:pPr>
            <w:r>
              <w:rPr>
                <w:sz w:val="15"/>
              </w:rPr>
              <w:t>performance_6.pdf</w:t>
            </w:r>
          </w:p>
        </w:tc>
        <w:tc>
          <w:tcPr>
            <w:tcW w:type="dxa" w:w="2050"/>
            <w:vAlign w:val="top"/>
            <w:tcMar>
              <w:top w:w="80" w:type="dxa"/>
              <w:start w:w="120" w:type="dxa"/>
              <w:bottom w:w="80" w:type="dxa"/>
              <w:end w:w="120" w:type="dxa"/>
            </w:tcMar>
          </w:tcPr>
          <w:p>
            <w:pPr>
              <w:spacing w:after="0"/>
            </w:pPr>
            <w:r>
              <w:rPr>
                <w:sz w:val="15"/>
              </w:rPr>
              <w:t>Seven-item immediate symptom form.</w:t>
            </w:r>
          </w:p>
        </w:tc>
        <w:tc>
          <w:tcPr>
            <w:tcW w:type="dxa" w:w="2220"/>
            <w:vAlign w:val="top"/>
            <w:tcMar>
              <w:top w:w="80" w:type="dxa"/>
              <w:start w:w="120" w:type="dxa"/>
              <w:bottom w:w="80" w:type="dxa"/>
              <w:end w:w="120" w:type="dxa"/>
            </w:tcMar>
          </w:tcPr>
          <w:p>
            <w:pPr>
              <w:spacing w:after="0"/>
            </w:pPr>
            <w:r>
              <w:rPr>
                <w:sz w:val="15"/>
              </w:rPr>
              <w:t>Current seven-item symptom check</w:t>
            </w:r>
          </w:p>
        </w:tc>
        <w:tc>
          <w:tcPr>
            <w:tcW w:type="dxa" w:w="2840"/>
            <w:vAlign w:val="top"/>
            <w:tcMar>
              <w:top w:w="80" w:type="dxa"/>
              <w:start w:w="120" w:type="dxa"/>
              <w:bottom w:w="80" w:type="dxa"/>
              <w:end w:w="120" w:type="dxa"/>
            </w:tcMar>
          </w:tcPr>
          <w:p>
            <w:pPr>
              <w:spacing w:after="0"/>
            </w:pPr>
            <w:r>
              <w:rPr>
                <w:sz w:val="15"/>
              </w:rPr>
              <w:t>Conceptually similar and partly redundant with SSQ. Select one safety/analysis strategy and label it accurately.</w:t>
            </w:r>
          </w:p>
        </w:tc>
      </w:tr>
      <w:tr>
        <w:trPr>
          <w:cantSplit/>
        </w:trPr>
        <w:tc>
          <w:tcPr>
            <w:tcW w:type="dxa" w:w="2250"/>
            <w:vAlign w:val="top"/>
            <w:tcMar>
              <w:top w:w="80" w:type="dxa"/>
              <w:start w:w="120" w:type="dxa"/>
              <w:bottom w:w="80" w:type="dxa"/>
              <w:end w:w="120" w:type="dxa"/>
            </w:tcMar>
          </w:tcPr>
          <w:p>
            <w:pPr>
              <w:spacing w:after="0"/>
            </w:pPr>
            <w:r>
              <w:rPr>
                <w:sz w:val="15"/>
              </w:rPr>
              <w:t>interview.pdf</w:t>
            </w:r>
          </w:p>
        </w:tc>
        <w:tc>
          <w:tcPr>
            <w:tcW w:type="dxa" w:w="2050"/>
            <w:vAlign w:val="top"/>
            <w:tcMar>
              <w:top w:w="80" w:type="dxa"/>
              <w:start w:w="120" w:type="dxa"/>
              <w:bottom w:w="80" w:type="dxa"/>
              <w:end w:w="120" w:type="dxa"/>
            </w:tcMar>
          </w:tcPr>
          <w:p>
            <w:pPr>
              <w:spacing w:after="0"/>
            </w:pPr>
            <w:r>
              <w:rPr>
                <w:sz w:val="15"/>
              </w:rPr>
              <w:t>Short open-ended strategy/difficulty/unusualness prompts.</w:t>
            </w:r>
          </w:p>
        </w:tc>
        <w:tc>
          <w:tcPr>
            <w:tcW w:type="dxa" w:w="2220"/>
            <w:vAlign w:val="top"/>
            <w:tcMar>
              <w:top w:w="80" w:type="dxa"/>
              <w:start w:w="120" w:type="dxa"/>
              <w:bottom w:w="80" w:type="dxa"/>
              <w:end w:w="120" w:type="dxa"/>
            </w:tcMar>
          </w:tcPr>
          <w:p>
            <w:pPr>
              <w:spacing w:after="0"/>
            </w:pPr>
            <w:r>
              <w:rPr>
                <w:sz w:val="15"/>
              </w:rPr>
              <w:t>Post-session comparison and open responses</w:t>
            </w:r>
          </w:p>
        </w:tc>
        <w:tc>
          <w:tcPr>
            <w:tcW w:type="dxa" w:w="2840"/>
            <w:vAlign w:val="top"/>
            <w:tcMar>
              <w:top w:w="80" w:type="dxa"/>
              <w:start w:w="120" w:type="dxa"/>
              <w:bottom w:w="80" w:type="dxa"/>
              <w:end w:w="120" w:type="dxa"/>
            </w:tcMar>
          </w:tcPr>
          <w:p>
            <w:pPr>
              <w:spacing w:after="0"/>
            </w:pPr>
            <w:r>
              <w:rPr>
                <w:sz w:val="15"/>
              </w:rPr>
              <w:t>Adapt. Current questions on hint stages, voice similarity, inferred gaze, privacy, comfort, and design changes are better aligned.</w:t>
            </w:r>
          </w:p>
        </w:tc>
      </w:tr>
    </w:tbl>
    <w:p>
      <w:pPr>
        <w:pStyle w:val="Heading1"/>
        <w:keepNext/>
      </w:pPr>
      <w:r>
        <w:t>4. Protocol and consent comparison</w:t>
      </w:r>
    </w:p>
    <w:tbl>
      <w:tblPr>
        <w:tblStyle w:val="TableGrid"/>
        <w:tblW w:type="dxa" w:w="9360"/>
        <w:jc w:val="center"/>
        <w:tblLayout w:type="fixed"/>
        <w:tblLook w:firstColumn="1" w:firstRow="1" w:lastColumn="0" w:lastRow="0" w:noHBand="0" w:noVBand="1" w:val="04A0"/>
      </w:tblPr>
      <w:tblGrid>
        <w:gridCol w:w="1550"/>
        <w:gridCol w:w="2400"/>
        <w:gridCol w:w="2700"/>
        <w:gridCol w:w="2710"/>
      </w:tblGrid>
      <w:tr>
        <w:trPr>
          <w:tblHeader w:val="true"/>
          <w:cantSplit/>
        </w:trPr>
        <w:tc>
          <w:tcPr>
            <w:tcW w:type="dxa" w:w="1550"/>
            <w:shd w:fill="F2F4F7"/>
            <w:vAlign w:val="center"/>
          </w:tcPr>
          <w:p>
            <w:pPr>
              <w:spacing w:after="0"/>
            </w:pPr>
            <w:r>
              <w:rPr>
                <w:b/>
                <w:color w:val="1F4D78"/>
                <w:sz w:val="16"/>
              </w:rPr>
              <w:t>Topic</w:t>
            </w:r>
          </w:p>
        </w:tc>
        <w:tc>
          <w:tcPr>
            <w:tcW w:type="dxa" w:w="2400"/>
            <w:shd w:fill="F2F4F7"/>
            <w:vAlign w:val="center"/>
          </w:tcPr>
          <w:p>
            <w:pPr>
              <w:spacing w:after="0"/>
            </w:pPr>
            <w:r>
              <w:rPr>
                <w:b/>
                <w:color w:val="1F4D78"/>
                <w:sz w:val="16"/>
              </w:rPr>
              <w:t>Supplied motor-control study</w:t>
            </w:r>
          </w:p>
        </w:tc>
        <w:tc>
          <w:tcPr>
            <w:tcW w:type="dxa" w:w="2700"/>
            <w:shd w:fill="F2F4F7"/>
            <w:vAlign w:val="center"/>
          </w:tcPr>
          <w:p>
            <w:pPr>
              <w:spacing w:after="0"/>
            </w:pPr>
            <w:r>
              <w:rPr>
                <w:b/>
                <w:color w:val="1F4D78"/>
                <w:sz w:val="16"/>
              </w:rPr>
              <w:t>Current packet</w:t>
            </w:r>
          </w:p>
        </w:tc>
        <w:tc>
          <w:tcPr>
            <w:tcW w:type="dxa" w:w="2710"/>
            <w:shd w:fill="F2F4F7"/>
            <w:vAlign w:val="center"/>
          </w:tcPr>
          <w:p>
            <w:pPr>
              <w:spacing w:after="0"/>
            </w:pPr>
            <w:r>
              <w:rPr>
                <w:b/>
                <w:color w:val="1F4D78"/>
                <w:sz w:val="16"/>
              </w:rPr>
              <w:t>Assessment/action</w:t>
            </w:r>
          </w:p>
        </w:tc>
      </w:tr>
      <w:tr>
        <w:trPr>
          <w:cantSplit/>
        </w:trPr>
        <w:tc>
          <w:tcPr>
            <w:tcW w:type="dxa" w:w="1550"/>
            <w:vAlign w:val="top"/>
            <w:tcMar>
              <w:top w:w="80" w:type="dxa"/>
              <w:start w:w="120" w:type="dxa"/>
              <w:bottom w:w="80" w:type="dxa"/>
              <w:end w:w="120" w:type="dxa"/>
            </w:tcMar>
          </w:tcPr>
          <w:p>
            <w:pPr>
              <w:spacing w:after="0"/>
            </w:pPr>
            <w:r>
              <w:rPr>
                <w:sz w:val="16"/>
              </w:rPr>
              <w:t>Title/purpose</w:t>
            </w:r>
          </w:p>
        </w:tc>
        <w:tc>
          <w:tcPr>
            <w:tcW w:type="dxa" w:w="2400"/>
            <w:vAlign w:val="top"/>
            <w:tcMar>
              <w:top w:w="80" w:type="dxa"/>
              <w:start w:w="120" w:type="dxa"/>
              <w:bottom w:w="80" w:type="dxa"/>
              <w:end w:w="120" w:type="dxa"/>
            </w:tcMar>
          </w:tcPr>
          <w:p>
            <w:pPr>
              <w:spacing w:after="0"/>
            </w:pPr>
            <w:r>
              <w:rPr>
                <w:sz w:val="16"/>
              </w:rPr>
              <w:t>Motor control and timeflow feedback in VR.</w:t>
            </w:r>
          </w:p>
        </w:tc>
        <w:tc>
          <w:tcPr>
            <w:tcW w:type="dxa" w:w="2700"/>
            <w:vAlign w:val="top"/>
            <w:tcMar>
              <w:top w:w="80" w:type="dxa"/>
              <w:start w:w="120" w:type="dxa"/>
              <w:bottom w:w="80" w:type="dxa"/>
              <w:end w:w="120" w:type="dxa"/>
            </w:tcMar>
          </w:tcPr>
          <w:p>
            <w:pPr>
              <w:spacing w:after="0"/>
            </w:pPr>
            <w:r>
              <w:rPr>
                <w:sz w:val="16"/>
              </w:rPr>
              <w:t>Gaze-contingent search and self-similar voice in XR.</w:t>
            </w:r>
          </w:p>
        </w:tc>
        <w:tc>
          <w:tcPr>
            <w:tcW w:type="dxa" w:w="2710"/>
            <w:vAlign w:val="top"/>
            <w:tcMar>
              <w:top w:w="80" w:type="dxa"/>
              <w:start w:w="120" w:type="dxa"/>
              <w:bottom w:w="80" w:type="dxa"/>
              <w:end w:w="120" w:type="dxa"/>
            </w:tcMar>
          </w:tcPr>
          <w:p>
            <w:pPr>
              <w:spacing w:after="0"/>
            </w:pPr>
            <w:r>
              <w:rPr>
                <w:sz w:val="16"/>
              </w:rPr>
              <w:t>Current packet is correctly study-specific.</w:t>
            </w:r>
          </w:p>
        </w:tc>
      </w:tr>
      <w:tr>
        <w:trPr>
          <w:cantSplit/>
        </w:trPr>
        <w:tc>
          <w:tcPr>
            <w:tcW w:type="dxa" w:w="1550"/>
            <w:vAlign w:val="top"/>
            <w:tcMar>
              <w:top w:w="80" w:type="dxa"/>
              <w:start w:w="120" w:type="dxa"/>
              <w:bottom w:w="80" w:type="dxa"/>
              <w:end w:w="120" w:type="dxa"/>
            </w:tcMar>
          </w:tcPr>
          <w:p>
            <w:pPr>
              <w:spacing w:after="0"/>
            </w:pPr>
            <w:r>
              <w:rPr>
                <w:sz w:val="16"/>
              </w:rPr>
              <w:t>Apparatus</w:t>
            </w:r>
          </w:p>
        </w:tc>
        <w:tc>
          <w:tcPr>
            <w:tcW w:type="dxa" w:w="2400"/>
            <w:vAlign w:val="top"/>
            <w:tcMar>
              <w:top w:w="80" w:type="dxa"/>
              <w:start w:w="120" w:type="dxa"/>
              <w:bottom w:w="80" w:type="dxa"/>
              <w:end w:w="120" w:type="dxa"/>
            </w:tcMar>
          </w:tcPr>
          <w:p>
            <w:pPr>
              <w:spacing w:after="0"/>
            </w:pPr>
            <w:r>
              <w:rPr>
                <w:sz w:val="16"/>
              </w:rPr>
              <w:t>Meta Quest 3; handheld controllers; standing.</w:t>
            </w:r>
          </w:p>
        </w:tc>
        <w:tc>
          <w:tcPr>
            <w:tcW w:type="dxa" w:w="2700"/>
            <w:vAlign w:val="top"/>
            <w:tcMar>
              <w:top w:w="80" w:type="dxa"/>
              <w:start w:w="120" w:type="dxa"/>
              <w:bottom w:w="80" w:type="dxa"/>
              <w:end w:w="120" w:type="dxa"/>
            </w:tcMar>
          </w:tcPr>
          <w:p>
            <w:pPr>
              <w:spacing w:after="0"/>
            </w:pPr>
            <w:r>
              <w:rPr>
                <w:sz w:val="16"/>
              </w:rPr>
              <w:t>HTC Vive Focus Vision; eye tracking; seated swivel chair; passthrough MR.</w:t>
            </w:r>
          </w:p>
        </w:tc>
        <w:tc>
          <w:tcPr>
            <w:tcW w:type="dxa" w:w="2710"/>
            <w:vAlign w:val="top"/>
            <w:tcMar>
              <w:top w:w="80" w:type="dxa"/>
              <w:start w:w="120" w:type="dxa"/>
              <w:bottom w:w="80" w:type="dxa"/>
              <w:end w:w="120" w:type="dxa"/>
            </w:tcMar>
          </w:tcPr>
          <w:p>
            <w:pPr>
              <w:spacing w:after="0"/>
            </w:pPr>
            <w:r>
              <w:rPr>
                <w:sz w:val="16"/>
              </w:rPr>
              <w:t>Do not carry over source fall-risk or controller assumptions without adaptation.</w:t>
            </w:r>
          </w:p>
        </w:tc>
      </w:tr>
      <w:tr>
        <w:trPr>
          <w:cantSplit/>
        </w:trPr>
        <w:tc>
          <w:tcPr>
            <w:tcW w:type="dxa" w:w="1550"/>
            <w:vAlign w:val="top"/>
            <w:tcMar>
              <w:top w:w="80" w:type="dxa"/>
              <w:start w:w="120" w:type="dxa"/>
              <w:bottom w:w="80" w:type="dxa"/>
              <w:end w:w="120" w:type="dxa"/>
            </w:tcMar>
          </w:tcPr>
          <w:p>
            <w:pPr>
              <w:spacing w:after="0"/>
            </w:pPr>
            <w:r>
              <w:rPr>
                <w:sz w:val="16"/>
              </w:rPr>
              <w:t>Design</w:t>
            </w:r>
          </w:p>
        </w:tc>
        <w:tc>
          <w:tcPr>
            <w:tcW w:type="dxa" w:w="2400"/>
            <w:vAlign w:val="top"/>
            <w:tcMar>
              <w:top w:w="80" w:type="dxa"/>
              <w:start w:w="120" w:type="dxa"/>
              <w:bottom w:w="80" w:type="dxa"/>
              <w:end w:w="120" w:type="dxa"/>
            </w:tcMar>
          </w:tcPr>
          <w:p>
            <w:pPr>
              <w:spacing w:after="0"/>
            </w:pPr>
            <w:r>
              <w:rPr>
                <w:sz w:val="16"/>
              </w:rPr>
              <w:t>Broad umbrella of possible motor tasks and timing conditions.</w:t>
            </w:r>
          </w:p>
        </w:tc>
        <w:tc>
          <w:tcPr>
            <w:tcW w:type="dxa" w:w="2700"/>
            <w:vAlign w:val="top"/>
            <w:tcMar>
              <w:top w:w="80" w:type="dxa"/>
              <w:start w:w="120" w:type="dxa"/>
              <w:bottom w:w="80" w:type="dxa"/>
              <w:end w:w="120" w:type="dxa"/>
            </w:tcMar>
          </w:tcPr>
          <w:p>
            <w:pPr>
              <w:spacing w:after="0"/>
            </w:pPr>
            <w:r>
              <w:rPr>
                <w:sz w:val="16"/>
              </w:rPr>
              <w:t>Defined 2 × 2 repeated-measures design; 64 trials; Williams order.</w:t>
            </w:r>
          </w:p>
        </w:tc>
        <w:tc>
          <w:tcPr>
            <w:tcW w:type="dxa" w:w="2710"/>
            <w:vAlign w:val="top"/>
            <w:tcMar>
              <w:top w:w="80" w:type="dxa"/>
              <w:start w:w="120" w:type="dxa"/>
              <w:bottom w:w="80" w:type="dxa"/>
              <w:end w:w="120" w:type="dxa"/>
            </w:tcMar>
          </w:tcPr>
          <w:p>
            <w:pPr>
              <w:spacing w:after="0"/>
            </w:pPr>
            <w:r>
              <w:rPr>
                <w:sz w:val="16"/>
              </w:rPr>
              <w:t>Current protocol is more scientifically auditable.</w:t>
            </w:r>
          </w:p>
        </w:tc>
      </w:tr>
      <w:tr>
        <w:trPr>
          <w:cantSplit/>
        </w:trPr>
        <w:tc>
          <w:tcPr>
            <w:tcW w:type="dxa" w:w="1550"/>
            <w:vAlign w:val="top"/>
            <w:tcMar>
              <w:top w:w="80" w:type="dxa"/>
              <w:start w:w="120" w:type="dxa"/>
              <w:bottom w:w="80" w:type="dxa"/>
              <w:end w:w="120" w:type="dxa"/>
            </w:tcMar>
          </w:tcPr>
          <w:p>
            <w:pPr>
              <w:spacing w:after="0"/>
            </w:pPr>
            <w:r>
              <w:rPr>
                <w:sz w:val="16"/>
              </w:rPr>
              <w:t>Enrollment</w:t>
            </w:r>
          </w:p>
        </w:tc>
        <w:tc>
          <w:tcPr>
            <w:tcW w:type="dxa" w:w="2400"/>
            <w:vAlign w:val="top"/>
            <w:tcMar>
              <w:top w:w="80" w:type="dxa"/>
              <w:start w:w="120" w:type="dxa"/>
              <w:bottom w:w="80" w:type="dxa"/>
              <w:end w:w="120" w:type="dxa"/>
            </w:tcMar>
          </w:tcPr>
          <w:p>
            <w:pPr>
              <w:spacing w:after="0"/>
            </w:pPr>
            <w:r>
              <w:rPr>
                <w:sz w:val="16"/>
              </w:rPr>
              <w:t>Up to 300 across a multi-year umbrella study.</w:t>
            </w:r>
          </w:p>
        </w:tc>
        <w:tc>
          <w:tcPr>
            <w:tcW w:type="dxa" w:w="2700"/>
            <w:vAlign w:val="top"/>
            <w:tcMar>
              <w:top w:w="80" w:type="dxa"/>
              <w:start w:w="120" w:type="dxa"/>
              <w:bottom w:w="80" w:type="dxa"/>
              <w:end w:w="120" w:type="dxa"/>
            </w:tcMar>
          </w:tcPr>
          <w:p>
            <w:pPr>
              <w:spacing w:after="0"/>
            </w:pPr>
            <w:r>
              <w:rPr>
                <w:sz w:val="16"/>
              </w:rPr>
              <w:t>48 complete datasets; enrolled maximum TBD.</w:t>
            </w:r>
          </w:p>
        </w:tc>
        <w:tc>
          <w:tcPr>
            <w:tcW w:type="dxa" w:w="2710"/>
            <w:vAlign w:val="top"/>
            <w:tcMar>
              <w:top w:w="80" w:type="dxa"/>
              <w:start w:w="120" w:type="dxa"/>
              <w:bottom w:w="80" w:type="dxa"/>
              <w:end w:w="120" w:type="dxa"/>
            </w:tcMar>
          </w:tcPr>
          <w:p>
            <w:pPr>
              <w:spacing w:after="0"/>
            </w:pPr>
            <w:r>
              <w:rPr>
                <w:sz w:val="16"/>
              </w:rPr>
              <w:t>Set a defensible enrolled maximum after attrition/power planning.</w:t>
            </w:r>
          </w:p>
        </w:tc>
      </w:tr>
      <w:tr>
        <w:trPr>
          <w:cantSplit/>
        </w:trPr>
        <w:tc>
          <w:tcPr>
            <w:tcW w:type="dxa" w:w="1550"/>
            <w:vAlign w:val="top"/>
            <w:tcMar>
              <w:top w:w="80" w:type="dxa"/>
              <w:start w:w="120" w:type="dxa"/>
              <w:bottom w:w="80" w:type="dxa"/>
              <w:end w:w="120" w:type="dxa"/>
            </w:tcMar>
          </w:tcPr>
          <w:p>
            <w:pPr>
              <w:spacing w:after="0"/>
            </w:pPr>
            <w:r>
              <w:rPr>
                <w:sz w:val="16"/>
              </w:rPr>
              <w:t>Data</w:t>
            </w:r>
          </w:p>
        </w:tc>
        <w:tc>
          <w:tcPr>
            <w:tcW w:type="dxa" w:w="2400"/>
            <w:vAlign w:val="top"/>
            <w:tcMar>
              <w:top w:w="80" w:type="dxa"/>
              <w:start w:w="120" w:type="dxa"/>
              <w:bottom w:w="80" w:type="dxa"/>
              <w:end w:w="120" w:type="dxa"/>
            </w:tcMar>
          </w:tcPr>
          <w:p>
            <w:pPr>
              <w:spacing w:after="0"/>
            </w:pPr>
            <w:r>
              <w:rPr>
                <w:sz w:val="16"/>
              </w:rPr>
              <w:t>Head/controller/object motion and task data; no intentional audio/video.</w:t>
            </w:r>
          </w:p>
        </w:tc>
        <w:tc>
          <w:tcPr>
            <w:tcW w:type="dxa" w:w="2700"/>
            <w:vAlign w:val="top"/>
            <w:tcMar>
              <w:top w:w="80" w:type="dxa"/>
              <w:start w:w="120" w:type="dxa"/>
              <w:bottom w:w="80" w:type="dxa"/>
              <w:end w:w="120" w:type="dxa"/>
            </w:tcMar>
          </w:tcPr>
          <w:p>
            <w:pPr>
              <w:spacing w:after="0"/>
            </w:pPr>
            <w:r>
              <w:rPr>
                <w:sz w:val="16"/>
              </w:rPr>
              <w:t>Coded gaze rays, hover/dwell proxies, task events, questionnaires, identifiable source voice and private clone.</w:t>
            </w:r>
          </w:p>
        </w:tc>
        <w:tc>
          <w:tcPr>
            <w:tcW w:type="dxa" w:w="2710"/>
            <w:vAlign w:val="top"/>
            <w:tcMar>
              <w:top w:w="80" w:type="dxa"/>
              <w:start w:w="120" w:type="dxa"/>
              <w:bottom w:w="80" w:type="dxa"/>
              <w:end w:w="120" w:type="dxa"/>
            </w:tcMar>
          </w:tcPr>
          <w:p>
            <w:pPr>
              <w:spacing w:after="0"/>
            </w:pPr>
            <w:r>
              <w:rPr>
                <w:sz w:val="16"/>
              </w:rPr>
              <w:t>Voice and gaze disclosures are essential and must match implementation.</w:t>
            </w:r>
          </w:p>
        </w:tc>
      </w:tr>
      <w:tr>
        <w:trPr>
          <w:cantSplit/>
        </w:trPr>
        <w:tc>
          <w:tcPr>
            <w:tcW w:type="dxa" w:w="1550"/>
            <w:vAlign w:val="top"/>
            <w:tcMar>
              <w:top w:w="80" w:type="dxa"/>
              <w:start w:w="120" w:type="dxa"/>
              <w:bottom w:w="80" w:type="dxa"/>
              <w:end w:w="120" w:type="dxa"/>
            </w:tcMar>
          </w:tcPr>
          <w:p>
            <w:pPr>
              <w:spacing w:after="0"/>
            </w:pPr>
            <w:r>
              <w:rPr>
                <w:sz w:val="16"/>
              </w:rPr>
              <w:t>Consent documentation</w:t>
            </w:r>
          </w:p>
        </w:tc>
        <w:tc>
          <w:tcPr>
            <w:tcW w:type="dxa" w:w="2400"/>
            <w:vAlign w:val="top"/>
            <w:tcMar>
              <w:top w:w="80" w:type="dxa"/>
              <w:start w:w="120" w:type="dxa"/>
              <w:bottom w:w="80" w:type="dxa"/>
              <w:end w:w="120" w:type="dxa"/>
            </w:tcMar>
          </w:tcPr>
          <w:p>
            <w:pPr>
              <w:spacing w:after="0"/>
            </w:pPr>
            <w:r>
              <w:rPr>
                <w:sz w:val="16"/>
              </w:rPr>
              <w:t>Requests waiver of written documentation and verbal consent.</w:t>
            </w:r>
          </w:p>
        </w:tc>
        <w:tc>
          <w:tcPr>
            <w:tcW w:type="dxa" w:w="2700"/>
            <w:vAlign w:val="top"/>
            <w:tcMar>
              <w:top w:w="80" w:type="dxa"/>
              <w:start w:w="120" w:type="dxa"/>
              <w:bottom w:w="80" w:type="dxa"/>
              <w:end w:w="120" w:type="dxa"/>
            </w:tcMar>
          </w:tcPr>
          <w:p>
            <w:pPr>
              <w:spacing w:after="0"/>
            </w:pPr>
            <w:r>
              <w:rPr>
                <w:sz w:val="16"/>
              </w:rPr>
              <w:t>Proposes signed consent unless UCF grants a waiver; separate voice authorization line.</w:t>
            </w:r>
          </w:p>
        </w:tc>
        <w:tc>
          <w:tcPr>
            <w:tcW w:type="dxa" w:w="2710"/>
            <w:vAlign w:val="top"/>
            <w:tcMar>
              <w:top w:w="80" w:type="dxa"/>
              <w:start w:w="120" w:type="dxa"/>
              <w:bottom w:w="80" w:type="dxa"/>
              <w:end w:w="120" w:type="dxa"/>
            </w:tcMar>
          </w:tcPr>
          <w:p>
            <w:pPr>
              <w:spacing w:after="0"/>
            </w:pPr>
            <w:r>
              <w:rPr>
                <w:sz w:val="16"/>
              </w:rPr>
              <w:t>Current approach is conservative; UCF must approve exact signature/authorization workflow.</w:t>
            </w:r>
          </w:p>
        </w:tc>
      </w:tr>
      <w:tr>
        <w:trPr>
          <w:cantSplit/>
        </w:trPr>
        <w:tc>
          <w:tcPr>
            <w:tcW w:type="dxa" w:w="1550"/>
            <w:vAlign w:val="top"/>
            <w:tcMar>
              <w:top w:w="80" w:type="dxa"/>
              <w:start w:w="120" w:type="dxa"/>
              <w:bottom w:w="80" w:type="dxa"/>
              <w:end w:w="120" w:type="dxa"/>
            </w:tcMar>
          </w:tcPr>
          <w:p>
            <w:pPr>
              <w:spacing w:after="0"/>
            </w:pPr>
            <w:r>
              <w:rPr>
                <w:sz w:val="16"/>
              </w:rPr>
              <w:t>Risks</w:t>
            </w:r>
          </w:p>
        </w:tc>
        <w:tc>
          <w:tcPr>
            <w:tcW w:type="dxa" w:w="2400"/>
            <w:vAlign w:val="top"/>
            <w:tcMar>
              <w:top w:w="80" w:type="dxa"/>
              <w:start w:w="120" w:type="dxa"/>
              <w:bottom w:w="80" w:type="dxa"/>
              <w:end w:w="120" w:type="dxa"/>
            </w:tcMar>
          </w:tcPr>
          <w:p>
            <w:pPr>
              <w:spacing w:after="0"/>
            </w:pPr>
            <w:r>
              <w:rPr>
                <w:sz w:val="16"/>
              </w:rPr>
              <w:t>Simulator sickness, fatigue, soreness, balance/fall, frustration.</w:t>
            </w:r>
          </w:p>
        </w:tc>
        <w:tc>
          <w:tcPr>
            <w:tcW w:type="dxa" w:w="2700"/>
            <w:vAlign w:val="top"/>
            <w:tcMar>
              <w:top w:w="80" w:type="dxa"/>
              <w:start w:w="120" w:type="dxa"/>
              <w:bottom w:w="80" w:type="dxa"/>
              <w:end w:w="120" w:type="dxa"/>
            </w:tcMar>
          </w:tcPr>
          <w:p>
            <w:pPr>
              <w:spacing w:after="0"/>
            </w:pPr>
            <w:r>
              <w:rPr>
                <w:sz w:val="16"/>
              </w:rPr>
              <w:t>Headset symptoms plus seated rotation, gaze/privacy, uncanny voice, impersonation and vendor-retention risks.</w:t>
            </w:r>
          </w:p>
        </w:tc>
        <w:tc>
          <w:tcPr>
            <w:tcW w:type="dxa" w:w="2710"/>
            <w:vAlign w:val="top"/>
            <w:tcMar>
              <w:top w:w="80" w:type="dxa"/>
              <w:start w:w="120" w:type="dxa"/>
              <w:bottom w:w="80" w:type="dxa"/>
              <w:end w:w="120" w:type="dxa"/>
            </w:tcMar>
          </w:tcPr>
          <w:p>
            <w:pPr>
              <w:spacing w:after="0"/>
            </w:pPr>
            <w:r>
              <w:rPr>
                <w:sz w:val="16"/>
              </w:rPr>
              <w:t>Current risk analysis is more complete for this study.</w:t>
            </w:r>
          </w:p>
        </w:tc>
      </w:tr>
      <w:tr>
        <w:trPr>
          <w:cantSplit/>
        </w:trPr>
        <w:tc>
          <w:tcPr>
            <w:tcW w:type="dxa" w:w="1550"/>
            <w:vAlign w:val="top"/>
            <w:tcMar>
              <w:top w:w="80" w:type="dxa"/>
              <w:start w:w="120" w:type="dxa"/>
              <w:bottom w:w="80" w:type="dxa"/>
              <w:end w:w="120" w:type="dxa"/>
            </w:tcMar>
          </w:tcPr>
          <w:p>
            <w:pPr>
              <w:spacing w:after="0"/>
            </w:pPr>
            <w:r>
              <w:rPr>
                <w:sz w:val="16"/>
              </w:rPr>
              <w:t>Pregnancy</w:t>
            </w:r>
          </w:p>
        </w:tc>
        <w:tc>
          <w:tcPr>
            <w:tcW w:type="dxa" w:w="2400"/>
            <w:vAlign w:val="top"/>
            <w:tcMar>
              <w:top w:w="80" w:type="dxa"/>
              <w:start w:w="120" w:type="dxa"/>
              <w:bottom w:w="80" w:type="dxa"/>
              <w:end w:w="120" w:type="dxa"/>
            </w:tcMar>
          </w:tcPr>
          <w:p>
            <w:pPr>
              <w:spacing w:after="0"/>
            </w:pPr>
            <w:r>
              <w:rPr>
                <w:sz w:val="16"/>
              </w:rPr>
              <w:t>Edited source excludes pregnancy because of standing/fall risk.</w:t>
            </w:r>
          </w:p>
        </w:tc>
        <w:tc>
          <w:tcPr>
            <w:tcW w:type="dxa" w:w="2700"/>
            <w:vAlign w:val="top"/>
            <w:tcMar>
              <w:top w:w="80" w:type="dxa"/>
              <w:start w:w="120" w:type="dxa"/>
              <w:bottom w:w="80" w:type="dxa"/>
              <w:end w:w="120" w:type="dxa"/>
            </w:tcMar>
          </w:tcPr>
          <w:p>
            <w:pPr>
              <w:spacing w:after="0"/>
            </w:pPr>
            <w:r>
              <w:rPr>
                <w:sz w:val="16"/>
              </w:rPr>
              <w:t>No automatic exclusion proposed because the task is seated.</w:t>
            </w:r>
          </w:p>
        </w:tc>
        <w:tc>
          <w:tcPr>
            <w:tcW w:type="dxa" w:w="2710"/>
            <w:vAlign w:val="top"/>
            <w:tcMar>
              <w:top w:w="80" w:type="dxa"/>
              <w:start w:w="120" w:type="dxa"/>
              <w:bottom w:w="80" w:type="dxa"/>
              <w:end w:w="120" w:type="dxa"/>
            </w:tcMar>
          </w:tcPr>
          <w:p>
            <w:pPr>
              <w:spacing w:after="0"/>
            </w:pPr>
            <w:r>
              <w:rPr>
                <w:sz w:val="16"/>
              </w:rPr>
              <w:t>Do not copy the exclusion without scientific justification; ask UCF to confirm.</w:t>
            </w:r>
          </w:p>
        </w:tc>
      </w:tr>
      <w:tr>
        <w:trPr>
          <w:cantSplit/>
        </w:trPr>
        <w:tc>
          <w:tcPr>
            <w:tcW w:type="dxa" w:w="1550"/>
            <w:vAlign w:val="top"/>
            <w:tcMar>
              <w:top w:w="80" w:type="dxa"/>
              <w:start w:w="120" w:type="dxa"/>
              <w:bottom w:w="80" w:type="dxa"/>
              <w:end w:w="120" w:type="dxa"/>
            </w:tcMar>
          </w:tcPr>
          <w:p>
            <w:pPr>
              <w:spacing w:after="0"/>
            </w:pPr>
            <w:r>
              <w:rPr>
                <w:sz w:val="16"/>
              </w:rPr>
              <w:t>Compensation</w:t>
            </w:r>
          </w:p>
        </w:tc>
        <w:tc>
          <w:tcPr>
            <w:tcW w:type="dxa" w:w="2400"/>
            <w:vAlign w:val="top"/>
            <w:tcMar>
              <w:top w:w="80" w:type="dxa"/>
              <w:start w:w="120" w:type="dxa"/>
              <w:bottom w:w="80" w:type="dxa"/>
              <w:end w:w="120" w:type="dxa"/>
            </w:tcMar>
          </w:tcPr>
          <w:p>
            <w:pPr>
              <w:spacing w:after="0"/>
            </w:pPr>
            <w:r>
              <w:rPr>
                <w:sz w:val="16"/>
              </w:rPr>
              <w:t>$15 complete; $5 for certain technical/safety stops; no payment before half completion.</w:t>
            </w:r>
          </w:p>
        </w:tc>
        <w:tc>
          <w:tcPr>
            <w:tcW w:type="dxa" w:w="2700"/>
            <w:vAlign w:val="top"/>
            <w:tcMar>
              <w:top w:w="80" w:type="dxa"/>
              <w:start w:w="120" w:type="dxa"/>
              <w:bottom w:w="80" w:type="dxa"/>
              <w:end w:w="120" w:type="dxa"/>
            </w:tcMar>
          </w:tcPr>
          <w:p>
            <w:pPr>
              <w:spacing w:after="0"/>
            </w:pPr>
            <w:r>
              <w:rPr>
                <w:sz w:val="16"/>
              </w:rPr>
              <w:t>Open decision.</w:t>
            </w:r>
          </w:p>
        </w:tc>
        <w:tc>
          <w:tcPr>
            <w:tcW w:type="dxa" w:w="2710"/>
            <w:vAlign w:val="top"/>
            <w:tcMar>
              <w:top w:w="80" w:type="dxa"/>
              <w:start w:w="120" w:type="dxa"/>
              <w:bottom w:w="80" w:type="dxa"/>
              <w:end w:w="120" w:type="dxa"/>
            </w:tcMar>
          </w:tcPr>
          <w:p>
            <w:pPr>
              <w:spacing w:after="0"/>
            </w:pPr>
            <w:r>
              <w:rPr>
                <w:sz w:val="16"/>
              </w:rPr>
              <w:t>Choose amount/form/funding/proration and ensure withdrawal does not unfairly forfeit earned payment.</w:t>
            </w:r>
          </w:p>
        </w:tc>
      </w:tr>
      <w:tr>
        <w:trPr>
          <w:cantSplit/>
        </w:trPr>
        <w:tc>
          <w:tcPr>
            <w:tcW w:type="dxa" w:w="1550"/>
            <w:vAlign w:val="top"/>
            <w:tcMar>
              <w:top w:w="80" w:type="dxa"/>
              <w:start w:w="120" w:type="dxa"/>
              <w:bottom w:w="80" w:type="dxa"/>
              <w:end w:w="120" w:type="dxa"/>
            </w:tcMar>
          </w:tcPr>
          <w:p>
            <w:pPr>
              <w:spacing w:after="0"/>
            </w:pPr>
            <w:r>
              <w:rPr>
                <w:sz w:val="16"/>
              </w:rPr>
              <w:t>Questionnaires</w:t>
            </w:r>
          </w:p>
        </w:tc>
        <w:tc>
          <w:tcPr>
            <w:tcW w:type="dxa" w:w="2400"/>
            <w:vAlign w:val="top"/>
            <w:tcMar>
              <w:top w:w="80" w:type="dxa"/>
              <w:start w:w="120" w:type="dxa"/>
              <w:bottom w:w="80" w:type="dxa"/>
              <w:end w:w="120" w:type="dxa"/>
            </w:tcMar>
          </w:tcPr>
          <w:p>
            <w:pPr>
              <w:spacing w:after="0"/>
            </w:pPr>
            <w:r>
              <w:rPr>
                <w:sz w:val="16"/>
              </w:rPr>
              <w:t>Long menu of NASA-TLX, UEQ, GEQ, presence, agency, usability and symptoms.</w:t>
            </w:r>
          </w:p>
        </w:tc>
        <w:tc>
          <w:tcPr>
            <w:tcW w:type="dxa" w:w="2700"/>
            <w:vAlign w:val="top"/>
            <w:tcMar>
              <w:top w:w="80" w:type="dxa"/>
              <w:start w:w="120" w:type="dxa"/>
              <w:bottom w:w="80" w:type="dxa"/>
              <w:end w:w="120" w:type="dxa"/>
            </w:tcMar>
          </w:tcPr>
          <w:p>
            <w:pPr>
              <w:spacing w:after="0"/>
            </w:pPr>
            <w:r>
              <w:rPr>
                <w:sz w:val="16"/>
              </w:rPr>
              <w:t>Raw NASA-TLX, study-created checks, comparison questions, adapted symptoms; battery not frozen.</w:t>
            </w:r>
          </w:p>
        </w:tc>
        <w:tc>
          <w:tcPr>
            <w:tcW w:type="dxa" w:w="2710"/>
            <w:vAlign w:val="top"/>
            <w:tcMar>
              <w:top w:w="80" w:type="dxa"/>
              <w:start w:w="120" w:type="dxa"/>
              <w:bottom w:w="80" w:type="dxa"/>
              <w:end w:w="120" w:type="dxa"/>
            </w:tcMar>
          </w:tcPr>
          <w:p>
            <w:pPr>
              <w:spacing w:after="0"/>
            </w:pPr>
            <w:r>
              <w:rPr>
                <w:sz w:val="16"/>
              </w:rPr>
              <w:t>A smaller hypothesis-linked battery is stronger and easier to defend.</w:t>
            </w:r>
          </w:p>
        </w:tc>
      </w:tr>
      <w:tr>
        <w:trPr>
          <w:cantSplit/>
        </w:trPr>
        <w:tc>
          <w:tcPr>
            <w:tcW w:type="dxa" w:w="1550"/>
            <w:vAlign w:val="top"/>
            <w:tcMar>
              <w:top w:w="80" w:type="dxa"/>
              <w:start w:w="120" w:type="dxa"/>
              <w:bottom w:w="80" w:type="dxa"/>
              <w:end w:w="120" w:type="dxa"/>
            </w:tcMar>
          </w:tcPr>
          <w:p>
            <w:pPr>
              <w:spacing w:after="0"/>
            </w:pPr>
            <w:r>
              <w:rPr>
                <w:sz w:val="16"/>
              </w:rPr>
              <w:t>Data storage</w:t>
            </w:r>
          </w:p>
        </w:tc>
        <w:tc>
          <w:tcPr>
            <w:tcW w:type="dxa" w:w="2400"/>
            <w:vAlign w:val="top"/>
            <w:tcMar>
              <w:top w:w="80" w:type="dxa"/>
              <w:start w:w="120" w:type="dxa"/>
              <w:bottom w:w="80" w:type="dxa"/>
              <w:end w:w="120" w:type="dxa"/>
            </w:tcMar>
          </w:tcPr>
          <w:p>
            <w:pPr>
              <w:spacing w:after="0"/>
            </w:pPr>
            <w:r>
              <w:rPr>
                <w:sz w:val="16"/>
              </w:rPr>
              <w:t>Coded IDs, separate contact/payment records, approved UCF storage, at least five years.</w:t>
            </w:r>
          </w:p>
        </w:tc>
        <w:tc>
          <w:tcPr>
            <w:tcW w:type="dxa" w:w="2700"/>
            <w:vAlign w:val="top"/>
            <w:tcMar>
              <w:top w:w="80" w:type="dxa"/>
              <w:start w:w="120" w:type="dxa"/>
              <w:bottom w:w="80" w:type="dxa"/>
              <w:end w:w="120" w:type="dxa"/>
            </w:tcMar>
          </w:tcPr>
          <w:p>
            <w:pPr>
              <w:spacing w:after="0"/>
            </w:pPr>
            <w:r>
              <w:rPr>
                <w:sz w:val="16"/>
              </w:rPr>
              <w:t>Detailed device→workstation→provider→UCF storage flow with deletion log; exact storage/retention open.</w:t>
            </w:r>
          </w:p>
        </w:tc>
        <w:tc>
          <w:tcPr>
            <w:tcW w:type="dxa" w:w="2710"/>
            <w:vAlign w:val="top"/>
            <w:tcMar>
              <w:top w:w="80" w:type="dxa"/>
              <w:start w:w="120" w:type="dxa"/>
              <w:bottom w:w="80" w:type="dxa"/>
              <w:end w:w="120" w:type="dxa"/>
            </w:tcMar>
          </w:tcPr>
          <w:p>
            <w:pPr>
              <w:spacing w:after="0"/>
            </w:pPr>
            <w:r>
              <w:rPr>
                <w:sz w:val="16"/>
              </w:rPr>
              <w:t>Current data map is better, but vendor facts must be verified and approved.</w:t>
            </w:r>
          </w:p>
        </w:tc>
      </w:tr>
      <w:tr>
        <w:trPr>
          <w:cantSplit/>
        </w:trPr>
        <w:tc>
          <w:tcPr>
            <w:tcW w:type="dxa" w:w="1550"/>
            <w:vAlign w:val="top"/>
            <w:tcMar>
              <w:top w:w="80" w:type="dxa"/>
              <w:start w:w="120" w:type="dxa"/>
              <w:bottom w:w="80" w:type="dxa"/>
              <w:end w:w="120" w:type="dxa"/>
            </w:tcMar>
          </w:tcPr>
          <w:p>
            <w:pPr>
              <w:spacing w:after="0"/>
            </w:pPr>
            <w:r>
              <w:rPr>
                <w:sz w:val="16"/>
              </w:rPr>
              <w:t>Operational fidelity</w:t>
            </w:r>
          </w:p>
        </w:tc>
        <w:tc>
          <w:tcPr>
            <w:tcW w:type="dxa" w:w="2400"/>
            <w:vAlign w:val="top"/>
            <w:tcMar>
              <w:top w:w="80" w:type="dxa"/>
              <w:start w:w="120" w:type="dxa"/>
              <w:bottom w:w="80" w:type="dxa"/>
              <w:end w:w="120" w:type="dxa"/>
            </w:tcMar>
          </w:tcPr>
          <w:p>
            <w:pPr>
              <w:spacing w:after="0"/>
            </w:pPr>
            <w:r>
              <w:rPr>
                <w:sz w:val="16"/>
              </w:rPr>
              <w:t>Generic task flow; limited build/version controls.</w:t>
            </w:r>
          </w:p>
        </w:tc>
        <w:tc>
          <w:tcPr>
            <w:tcW w:type="dxa" w:w="2700"/>
            <w:vAlign w:val="top"/>
            <w:tcMar>
              <w:top w:w="80" w:type="dxa"/>
              <w:start w:w="120" w:type="dxa"/>
              <w:bottom w:w="80" w:type="dxa"/>
              <w:end w:w="120" w:type="dxa"/>
            </w:tcMar>
          </w:tcPr>
          <w:p>
            <w:pPr>
              <w:spacing w:after="0"/>
            </w:pPr>
            <w:r>
              <w:rPr>
                <w:sz w:val="16"/>
              </w:rPr>
              <w:t>Release-build hash, manifest, calibration, counterbalancing, hint and deletion audit fields.</w:t>
            </w:r>
          </w:p>
        </w:tc>
        <w:tc>
          <w:tcPr>
            <w:tcW w:type="dxa" w:w="2710"/>
            <w:vAlign w:val="top"/>
            <w:tcMar>
              <w:top w:w="80" w:type="dxa"/>
              <w:start w:w="120" w:type="dxa"/>
              <w:bottom w:w="80" w:type="dxa"/>
              <w:end w:w="120" w:type="dxa"/>
            </w:tcMar>
          </w:tcPr>
          <w:p>
            <w:pPr>
              <w:spacing w:after="0"/>
            </w:pPr>
            <w:r>
              <w:rPr>
                <w:sz w:val="16"/>
              </w:rPr>
              <w:t>Current session record materially improves reproducibility and compliance.</w:t>
            </w:r>
          </w:p>
        </w:tc>
      </w:tr>
    </w:tbl>
    <w:p>
      <w:pPr>
        <w:pStyle w:val="Heading1"/>
        <w:keepNext/>
      </w:pPr>
      <w:r>
        <w:t>5. Questionnaire strategy</w:t>
      </w:r>
    </w:p>
    <w:p>
      <w:pPr>
        <w:pStyle w:val="Heading2"/>
        <w:keepNext/>
      </w:pPr>
      <w:r>
        <w:t>5.1 The main survey problem</w:t>
      </w:r>
    </w:p>
    <w:p>
      <w:pPr>
        <w:keepLines/>
      </w:pPr>
      <w:r>
        <w:rPr>
          <w:b w:val="0"/>
          <w:i w:val="0"/>
        </w:rPr>
        <w:t>The supplied folder functions like a questionnaire library rather than a justified final battery. Importing every instrument would create construct overlap, mismatched task language, scoring ambiguity, and substantial participant burden. The current packet is closer to the right approach, but its post-block battery is still heavy: six NASA-TLX ratings plus fourteen study-created ratings after each of four blocks equals 80 repeated ratings before technical checks and end-of-session questions.</w:t>
      </w:r>
    </w:p>
    <w:p>
      <w:pPr>
        <w:pStyle w:val="Heading2"/>
        <w:keepNext/>
      </w:pPr>
      <w:r>
        <w:t>5.2 Recommended lean battery</w:t>
      </w:r>
    </w:p>
    <w:tbl>
      <w:tblPr>
        <w:tblStyle w:val="TableGrid"/>
        <w:tblW w:type="dxa" w:w="9360"/>
        <w:jc w:val="center"/>
        <w:tblLayout w:type="fixed"/>
        <w:tblLook w:firstColumn="1" w:firstRow="1" w:lastColumn="0" w:lastRow="0" w:noHBand="0" w:noVBand="1" w:val="04A0"/>
      </w:tblPr>
      <w:tblGrid>
        <w:gridCol w:w="1500"/>
        <w:gridCol w:w="3150"/>
        <w:gridCol w:w="2050"/>
        <w:gridCol w:w="2660"/>
      </w:tblGrid>
      <w:tr>
        <w:trPr>
          <w:tblHeader w:val="true"/>
          <w:cantSplit/>
        </w:trPr>
        <w:tc>
          <w:tcPr>
            <w:tcW w:type="dxa" w:w="1500"/>
            <w:shd w:fill="F2F4F7"/>
            <w:vAlign w:val="center"/>
          </w:tcPr>
          <w:p>
            <w:pPr>
              <w:spacing w:after="0"/>
            </w:pPr>
            <w:r>
              <w:rPr>
                <w:b/>
                <w:color w:val="1F4D78"/>
                <w:sz w:val="17"/>
              </w:rPr>
              <w:t>Time</w:t>
            </w:r>
          </w:p>
        </w:tc>
        <w:tc>
          <w:tcPr>
            <w:tcW w:type="dxa" w:w="3150"/>
            <w:shd w:fill="F2F4F7"/>
            <w:vAlign w:val="center"/>
          </w:tcPr>
          <w:p>
            <w:pPr>
              <w:spacing w:after="0"/>
            </w:pPr>
            <w:r>
              <w:rPr>
                <w:b/>
                <w:color w:val="1F4D78"/>
                <w:sz w:val="17"/>
              </w:rPr>
              <w:t>Recommended content</w:t>
            </w:r>
          </w:p>
        </w:tc>
        <w:tc>
          <w:tcPr>
            <w:tcW w:type="dxa" w:w="2050"/>
            <w:shd w:fill="F2F4F7"/>
            <w:vAlign w:val="center"/>
          </w:tcPr>
          <w:p>
            <w:pPr>
              <w:spacing w:after="0"/>
            </w:pPr>
            <w:r>
              <w:rPr>
                <w:b/>
                <w:color w:val="1F4D78"/>
                <w:sz w:val="17"/>
              </w:rPr>
              <w:t>Purpose</w:t>
            </w:r>
          </w:p>
        </w:tc>
        <w:tc>
          <w:tcPr>
            <w:tcW w:type="dxa" w:w="2660"/>
            <w:shd w:fill="F2F4F7"/>
            <w:vAlign w:val="center"/>
          </w:tcPr>
          <w:p>
            <w:pPr>
              <w:spacing w:after="0"/>
            </w:pPr>
            <w:r>
              <w:rPr>
                <w:b/>
                <w:color w:val="1F4D78"/>
                <w:sz w:val="17"/>
              </w:rPr>
              <w:t>Decision rule</w:t>
            </w:r>
          </w:p>
        </w:tc>
      </w:tr>
      <w:tr>
        <w:trPr>
          <w:cantSplit/>
        </w:trPr>
        <w:tc>
          <w:tcPr>
            <w:tcW w:type="dxa" w:w="1500"/>
            <w:vAlign w:val="top"/>
            <w:tcMar>
              <w:top w:w="80" w:type="dxa"/>
              <w:start w:w="120" w:type="dxa"/>
              <w:bottom w:w="80" w:type="dxa"/>
              <w:end w:w="120" w:type="dxa"/>
            </w:tcMar>
          </w:tcPr>
          <w:p>
            <w:pPr>
              <w:spacing w:after="0"/>
            </w:pPr>
            <w:r>
              <w:rPr>
                <w:sz w:val="17"/>
              </w:rPr>
              <w:t>Before headset</w:t>
            </w:r>
          </w:p>
        </w:tc>
        <w:tc>
          <w:tcPr>
            <w:tcW w:type="dxa" w:w="3150"/>
            <w:vAlign w:val="top"/>
            <w:tcMar>
              <w:top w:w="80" w:type="dxa"/>
              <w:start w:w="120" w:type="dxa"/>
              <w:bottom w:w="80" w:type="dxa"/>
              <w:end w:w="120" w:type="dxa"/>
            </w:tcMar>
          </w:tcPr>
          <w:p>
            <w:pPr>
              <w:spacing w:after="0"/>
            </w:pPr>
            <w:r>
              <w:rPr>
                <w:sz w:val="17"/>
              </w:rPr>
              <w:t>Minimal demographics and prior XR/eye-tracking/voice-AI experience; one baseline symptom measure.</w:t>
            </w:r>
          </w:p>
        </w:tc>
        <w:tc>
          <w:tcPr>
            <w:tcW w:type="dxa" w:w="2050"/>
            <w:vAlign w:val="top"/>
            <w:tcMar>
              <w:top w:w="80" w:type="dxa"/>
              <w:start w:w="120" w:type="dxa"/>
              <w:bottom w:w="80" w:type="dxa"/>
              <w:end w:w="120" w:type="dxa"/>
            </w:tcMar>
          </w:tcPr>
          <w:p>
            <w:pPr>
              <w:spacing w:after="0"/>
            </w:pPr>
            <w:r>
              <w:rPr>
                <w:sz w:val="17"/>
              </w:rPr>
              <w:t>Eligibility/covariates and pre/post symptom comparison.</w:t>
            </w:r>
          </w:p>
        </w:tc>
        <w:tc>
          <w:tcPr>
            <w:tcW w:type="dxa" w:w="2660"/>
            <w:vAlign w:val="top"/>
            <w:tcMar>
              <w:top w:w="80" w:type="dxa"/>
              <w:start w:w="120" w:type="dxa"/>
              <w:bottom w:w="80" w:type="dxa"/>
              <w:end w:w="120" w:type="dxa"/>
            </w:tcMar>
          </w:tcPr>
          <w:p>
            <w:pPr>
              <w:spacing w:after="0"/>
            </w:pPr>
            <w:r>
              <w:rPr>
                <w:sz w:val="17"/>
              </w:rPr>
              <w:t>Use only necessary demographics; separate health screening from research outcomes.</w:t>
            </w:r>
          </w:p>
        </w:tc>
      </w:tr>
      <w:tr>
        <w:trPr>
          <w:cantSplit/>
        </w:trPr>
        <w:tc>
          <w:tcPr>
            <w:tcW w:type="dxa" w:w="1500"/>
            <w:vAlign w:val="top"/>
            <w:tcMar>
              <w:top w:w="80" w:type="dxa"/>
              <w:start w:w="120" w:type="dxa"/>
              <w:bottom w:w="80" w:type="dxa"/>
              <w:end w:w="120" w:type="dxa"/>
            </w:tcMar>
          </w:tcPr>
          <w:p>
            <w:pPr>
              <w:spacing w:after="0"/>
            </w:pPr>
            <w:r>
              <w:rPr>
                <w:sz w:val="17"/>
              </w:rPr>
              <w:t>After each block</w:t>
            </w:r>
          </w:p>
        </w:tc>
        <w:tc>
          <w:tcPr>
            <w:tcW w:type="dxa" w:w="3150"/>
            <w:vAlign w:val="top"/>
            <w:tcMar>
              <w:top w:w="80" w:type="dxa"/>
              <w:start w:w="120" w:type="dxa"/>
              <w:bottom w:w="80" w:type="dxa"/>
              <w:end w:w="120" w:type="dxa"/>
            </w:tcMar>
          </w:tcPr>
          <w:p>
            <w:pPr>
              <w:spacing w:after="0"/>
            </w:pPr>
            <w:r>
              <w:rPr>
                <w:sz w:val="17"/>
              </w:rPr>
              <w:t>Raw NASA-TLX plus a reduced pre-specified set of assistance/voice manipulation and mechanism checks.</w:t>
            </w:r>
          </w:p>
        </w:tc>
        <w:tc>
          <w:tcPr>
            <w:tcW w:type="dxa" w:w="2050"/>
            <w:vAlign w:val="top"/>
            <w:tcMar>
              <w:top w:w="80" w:type="dxa"/>
              <w:start w:w="120" w:type="dxa"/>
              <w:bottom w:w="80" w:type="dxa"/>
              <w:end w:w="120" w:type="dxa"/>
            </w:tcMar>
          </w:tcPr>
          <w:p>
            <w:pPr>
              <w:spacing w:after="0"/>
            </w:pPr>
            <w:r>
              <w:rPr>
                <w:sz w:val="17"/>
              </w:rPr>
              <w:t>Within-participant workload and manipulation verification.</w:t>
            </w:r>
          </w:p>
        </w:tc>
        <w:tc>
          <w:tcPr>
            <w:tcW w:type="dxa" w:w="2660"/>
            <w:vAlign w:val="top"/>
            <w:tcMar>
              <w:top w:w="80" w:type="dxa"/>
              <w:start w:w="120" w:type="dxa"/>
              <w:bottom w:w="80" w:type="dxa"/>
              <w:end w:w="120" w:type="dxa"/>
            </w:tcMar>
          </w:tcPr>
          <w:p>
            <w:pPr>
              <w:spacing w:after="0"/>
            </w:pPr>
            <w:r>
              <w:rPr>
                <w:sz w:val="17"/>
              </w:rPr>
              <w:t>Keep only items tied to gaze responsiveness, helpfulness, distraction, voice similarity/familiarity, trust, comfort/uncanniness, and reliance. Decide whether all are needed after every block.</w:t>
            </w:r>
          </w:p>
        </w:tc>
      </w:tr>
      <w:tr>
        <w:trPr>
          <w:cantSplit/>
        </w:trPr>
        <w:tc>
          <w:tcPr>
            <w:tcW w:type="dxa" w:w="1500"/>
            <w:vAlign w:val="top"/>
            <w:tcMar>
              <w:top w:w="80" w:type="dxa"/>
              <w:start w:w="120" w:type="dxa"/>
              <w:bottom w:w="80" w:type="dxa"/>
              <w:end w:w="120" w:type="dxa"/>
            </w:tcMar>
          </w:tcPr>
          <w:p>
            <w:pPr>
              <w:spacing w:after="0"/>
            </w:pPr>
            <w:r>
              <w:rPr>
                <w:sz w:val="17"/>
              </w:rPr>
              <w:t>After final block</w:t>
            </w:r>
          </w:p>
        </w:tc>
        <w:tc>
          <w:tcPr>
            <w:tcW w:type="dxa" w:w="3150"/>
            <w:vAlign w:val="top"/>
            <w:tcMar>
              <w:top w:w="80" w:type="dxa"/>
              <w:start w:w="120" w:type="dxa"/>
              <w:bottom w:w="80" w:type="dxa"/>
              <w:end w:w="120" w:type="dxa"/>
            </w:tcMar>
          </w:tcPr>
          <w:p>
            <w:pPr>
              <w:spacing w:after="0"/>
            </w:pPr>
            <w:r>
              <w:rPr>
                <w:sz w:val="17"/>
              </w:rPr>
              <w:t>One system-level usability measure if usability is an outcome—SUS is the clearest source-folder candidate.</w:t>
            </w:r>
          </w:p>
        </w:tc>
        <w:tc>
          <w:tcPr>
            <w:tcW w:type="dxa" w:w="2050"/>
            <w:vAlign w:val="top"/>
            <w:tcMar>
              <w:top w:w="80" w:type="dxa"/>
              <w:start w:w="120" w:type="dxa"/>
              <w:bottom w:w="80" w:type="dxa"/>
              <w:end w:w="120" w:type="dxa"/>
            </w:tcMar>
          </w:tcPr>
          <w:p>
            <w:pPr>
              <w:spacing w:after="0"/>
            </w:pPr>
            <w:r>
              <w:rPr>
                <w:sz w:val="17"/>
              </w:rPr>
              <w:t>Overall system usability.</w:t>
            </w:r>
          </w:p>
        </w:tc>
        <w:tc>
          <w:tcPr>
            <w:tcW w:type="dxa" w:w="2660"/>
            <w:vAlign w:val="top"/>
            <w:tcMar>
              <w:top w:w="80" w:type="dxa"/>
              <w:start w:w="120" w:type="dxa"/>
              <w:bottom w:w="80" w:type="dxa"/>
              <w:end w:w="120" w:type="dxa"/>
            </w:tcMar>
          </w:tcPr>
          <w:p>
            <w:pPr>
              <w:spacing w:after="0"/>
            </w:pPr>
            <w:r>
              <w:rPr>
                <w:sz w:val="17"/>
              </w:rPr>
              <w:t>Administer once. Do not add both SUS and UEQ unless each has a distinct analysis role.</w:t>
            </w:r>
          </w:p>
        </w:tc>
      </w:tr>
      <w:tr>
        <w:trPr>
          <w:cantSplit/>
        </w:trPr>
        <w:tc>
          <w:tcPr>
            <w:tcW w:type="dxa" w:w="1500"/>
            <w:vAlign w:val="top"/>
            <w:tcMar>
              <w:top w:w="80" w:type="dxa"/>
              <w:start w:w="120" w:type="dxa"/>
              <w:bottom w:w="80" w:type="dxa"/>
              <w:end w:w="120" w:type="dxa"/>
            </w:tcMar>
          </w:tcPr>
          <w:p>
            <w:pPr>
              <w:spacing w:after="0"/>
            </w:pPr>
            <w:r>
              <w:rPr>
                <w:sz w:val="17"/>
              </w:rPr>
              <w:t>End of session</w:t>
            </w:r>
          </w:p>
        </w:tc>
        <w:tc>
          <w:tcPr>
            <w:tcW w:type="dxa" w:w="3150"/>
            <w:vAlign w:val="top"/>
            <w:tcMar>
              <w:top w:w="80" w:type="dxa"/>
              <w:start w:w="120" w:type="dxa"/>
              <w:bottom w:w="80" w:type="dxa"/>
              <w:end w:w="120" w:type="dxa"/>
            </w:tcMar>
          </w:tcPr>
          <w:p>
            <w:pPr>
              <w:spacing w:after="0"/>
            </w:pPr>
            <w:r>
              <w:rPr>
                <w:sz w:val="17"/>
              </w:rPr>
              <w:t>Post symptom measure, forced-choice preferences, short open interview/privacy questions.</w:t>
            </w:r>
          </w:p>
        </w:tc>
        <w:tc>
          <w:tcPr>
            <w:tcW w:type="dxa" w:w="2050"/>
            <w:vAlign w:val="top"/>
            <w:tcMar>
              <w:top w:w="80" w:type="dxa"/>
              <w:start w:w="120" w:type="dxa"/>
              <w:bottom w:w="80" w:type="dxa"/>
              <w:end w:w="120" w:type="dxa"/>
            </w:tcMar>
          </w:tcPr>
          <w:p>
            <w:pPr>
              <w:spacing w:after="0"/>
            </w:pPr>
            <w:r>
              <w:rPr>
                <w:sz w:val="17"/>
              </w:rPr>
              <w:t>Safety change, comparative preference, qualitative explanation.</w:t>
            </w:r>
          </w:p>
        </w:tc>
        <w:tc>
          <w:tcPr>
            <w:tcW w:type="dxa" w:w="2660"/>
            <w:vAlign w:val="top"/>
            <w:tcMar>
              <w:top w:w="80" w:type="dxa"/>
              <w:start w:w="120" w:type="dxa"/>
              <w:bottom w:w="80" w:type="dxa"/>
              <w:end w:w="120" w:type="dxa"/>
            </w:tcMar>
          </w:tcPr>
          <w:p>
            <w:pPr>
              <w:spacing w:after="0"/>
            </w:pPr>
            <w:r>
              <w:rPr>
                <w:sz w:val="17"/>
              </w:rPr>
              <w:t>Keep open responses concise and optional where not essential.</w:t>
            </w:r>
          </w:p>
        </w:tc>
      </w:tr>
    </w:tbl>
    <w:p>
      <w:pPr>
        <w:pStyle w:val="Heading2"/>
        <w:keepNext/>
      </w:pPr>
      <w:r>
        <w:t>5.3 Instrument naming and scoring rules</w:t>
      </w:r>
    </w:p>
    <w:p>
      <w:pPr>
        <w:pStyle w:val="ListBullet"/>
        <w:keepLines/>
      </w:pPr>
      <w:r>
        <w:rPr>
          <w:b w:val="0"/>
          <w:i w:val="0"/>
        </w:rPr>
        <w:t>If the 16-item Simulator Sickness Questionnaire is used, preserve the validated items, anchors, scoring, and timing, and call it SSQ. If the seven-item form is used, call it an adapted symptom check and do not report canonical SSQ subscale or total scores.</w:t>
      </w:r>
    </w:p>
    <w:p>
      <w:pPr>
        <w:pStyle w:val="ListBullet"/>
        <w:keepLines/>
      </w:pPr>
      <w:r>
        <w:rPr>
          <w:b w:val="0"/>
          <w:i w:val="0"/>
        </w:rPr>
        <w:t>Use one NASA-TLX convention. The current draft’s 0–100 raw-score approach should be explicitly described as Raw TLX without pairwise weighting; the source folder’s 0–10 display should not be mixed into the same analysis without a documented rescaling decision.</w:t>
      </w:r>
    </w:p>
    <w:p>
      <w:pPr>
        <w:pStyle w:val="ListBullet"/>
        <w:keepLines/>
      </w:pPr>
      <w:r>
        <w:rPr>
          <w:b w:val="0"/>
          <w:i w:val="0"/>
        </w:rPr>
        <w:t>Do not compute one overall score from the fourteen study-created post-block items unless a psychometric rationale and scoring plan are established. Treat them as individual manipulation/mechanism items or define theory-based subgroups before analysis.</w:t>
      </w:r>
    </w:p>
    <w:p>
      <w:pPr>
        <w:pStyle w:val="ListBullet"/>
        <w:keepLines/>
      </w:pPr>
      <w:r>
        <w:rPr>
          <w:b w:val="0"/>
          <w:i w:val="0"/>
        </w:rPr>
        <w:t>If SUS is selected, use its standard ten items and scoring exactly once after the overall system experience. Keep the participant-visible version in the IRB packet.</w:t>
      </w:r>
    </w:p>
    <w:p>
      <w:pPr>
        <w:pStyle w:val="ListBullet"/>
        <w:keepLines/>
      </w:pPr>
      <w:r>
        <w:rPr>
          <w:b w:val="0"/>
          <w:i w:val="0"/>
        </w:rPr>
        <w:t>Do not label XRI hover/dwell events as validated fixations or saccades. In participant materials, 'eye-gaze interaction data' or 'gaze-based measures' is clearer than 'eye measurements.'</w:t>
      </w:r>
    </w:p>
    <w:p>
      <w:r>
        <w:br w:type="page"/>
      </w:r>
    </w:p>
    <w:p>
      <w:pPr>
        <w:pStyle w:val="Heading1"/>
        <w:keepNext/>
      </w:pPr>
      <w:r>
        <w:t>6. UCF IRB requirements—current working checklist</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FF4CE"/>
            <w:tcMar>
              <w:top w:w="110" w:type="dxa"/>
              <w:start w:w="150" w:type="dxa"/>
              <w:bottom w:w="110" w:type="dxa"/>
              <w:end w:w="150" w:type="dxa"/>
            </w:tcMar>
          </w:tcPr>
          <w:p>
            <w:pPr>
              <w:spacing w:after="0"/>
            </w:pPr>
            <w:r>
              <w:rPr>
                <w:b/>
                <w:i w:val="0"/>
                <w:color w:val="1F4D78"/>
              </w:rPr>
              <w:t xml:space="preserve">Authority: </w:t>
            </w:r>
            <w:r>
              <w:rPr>
                <w:b w:val="0"/>
                <w:i w:val="0"/>
              </w:rPr>
              <w:t>UCF IRB makes the official human-subjects and review-level determination. The project should prepare for a non-exempt submission using HRP-503 and HRP-502, but this document does not classify or approve the study.</w:t>
            </w:r>
          </w:p>
        </w:tc>
      </w:tr>
    </w:tbl>
    <w:p>
      <w:pPr>
        <w:pStyle w:val="Heading2"/>
        <w:keepNext/>
      </w:pPr>
      <w:r>
        <w:t>6.1 Before creating or submitting the study</w:t>
      </w:r>
    </w:p>
    <w:p>
      <w:pPr>
        <w:pStyle w:val="ListBullet"/>
        <w:keepLines/>
      </w:pPr>
      <w:r>
        <w:rPr>
          <w:b w:val="0"/>
          <w:i w:val="0"/>
        </w:rPr>
        <w:t>Confirm that the work is human-subjects research and obtain UCF review before starting. Human participant recruitment, consent, voice recording, provider upload, or pilot data collection must not begin first.</w:t>
      </w:r>
    </w:p>
    <w:p>
      <w:pPr>
        <w:pStyle w:val="ListBullet"/>
        <w:keepLines/>
      </w:pPr>
      <w:r>
        <w:rPr>
          <w:b w:val="0"/>
          <w:i w:val="0"/>
        </w:rPr>
        <w:t>Complete current CITI Human Subjects Research training for every team member who interacts with participants, participates in consent, is listed as a study contact, accesses identifiable data, or serves as faculty advisor. Group 2 Social/Behavioral is the likely fit, but the PI/UCF should confirm.</w:t>
      </w:r>
    </w:p>
    <w:p>
      <w:pPr>
        <w:pStyle w:val="ListBullet"/>
        <w:keepLines/>
      </w:pPr>
      <w:r>
        <w:rPr>
          <w:b w:val="0"/>
          <w:i w:val="0"/>
        </w:rPr>
        <w:t>Graduate students must also confirm UCF’s required HRPP/IRB Awareness training and faculty-advisor process. The faculty advisor must be listed and complete the required review/sign-off; undergraduate investigators require a faculty PI.</w:t>
      </w:r>
    </w:p>
    <w:p>
      <w:pPr>
        <w:pStyle w:val="ListBullet"/>
        <w:keepLines/>
      </w:pPr>
      <w:r>
        <w:rPr>
          <w:b w:val="0"/>
          <w:i w:val="0"/>
        </w:rPr>
        <w:t>Identify the PI of record, faculty advisor, department, complete study team, external collaborators, conflicts, funding, lab location, dates, and ancillary-review requirements.</w:t>
      </w:r>
    </w:p>
    <w:p>
      <w:pPr>
        <w:pStyle w:val="Heading2"/>
        <w:keepNext/>
      </w:pPr>
      <w:r>
        <w:t>6.2 Current forms and clean-document rules</w:t>
      </w:r>
    </w:p>
    <w:p>
      <w:pPr>
        <w:pStyle w:val="ListBullet"/>
        <w:keepLines/>
      </w:pPr>
      <w:r>
        <w:rPr>
          <w:b w:val="0"/>
          <w:i w:val="0"/>
        </w:rPr>
        <w:t>Download the current HRP templates from the Huron IRB Library. UCF revised HRP-503 and HRP-502 in 2025; older examples are not a substitute.</w:t>
      </w:r>
    </w:p>
    <w:p>
      <w:pPr>
        <w:pStyle w:val="ListBullet"/>
        <w:keepLines/>
      </w:pPr>
      <w:r>
        <w:rPr>
          <w:b w:val="0"/>
          <w:i w:val="0"/>
        </w:rPr>
        <w:t>For a likely expedited/non-exempt study, prepare HRP-503 and HRP-502. HRP-509 is added only if UCF determines deception or incomplete disclosure requires a debriefing form. HRP-251 applies to graduate-student/faculty-advisor review; HRP-252/253 may apply to external team members.</w:t>
      </w:r>
    </w:p>
    <w:p>
      <w:pPr>
        <w:pStyle w:val="ListBullet"/>
        <w:keepLines/>
      </w:pPr>
      <w:r>
        <w:rPr>
          <w:b w:val="0"/>
          <w:i w:val="0"/>
        </w:rPr>
        <w:t>Upload the protocol in Microsoft Word using the current template; do not delete protocol sections—mark nonapplicable sections N/A. Remove tracked changes, comments, typographical errors, and template instruction language.</w:t>
      </w:r>
    </w:p>
    <w:p>
      <w:pPr>
        <w:pStyle w:val="ListBullet"/>
        <w:keepLines/>
      </w:pPr>
      <w:r>
        <w:rPr>
          <w:b w:val="0"/>
          <w:i w:val="0"/>
        </w:rPr>
        <w:t>Upload consent in Word using the current template, written in simple language and free of markup/instructions. Ensure the Huron smart form, protocol, consent, recruitment, instruments, and scripts describe the same procedures and data flows.</w:t>
      </w:r>
    </w:p>
    <w:p>
      <w:pPr>
        <w:pStyle w:val="Heading2"/>
        <w:keepNext/>
      </w:pPr>
      <w:r>
        <w:t>6.3 Participant-facing materials</w:t>
      </w:r>
    </w:p>
    <w:p>
      <w:pPr>
        <w:pStyle w:val="ListBullet"/>
        <w:keepLines/>
      </w:pPr>
      <w:r>
        <w:rPr>
          <w:b w:val="0"/>
          <w:i w:val="0"/>
        </w:rPr>
        <w:t>Submit every recruitment version and channel: email subject/body, flyer, SONA/research-portal listing, social post, phone/verbal scripts, scheduling messages, and any referral wording actually used.</w:t>
      </w:r>
    </w:p>
    <w:p>
      <w:pPr>
        <w:pStyle w:val="ListBullet"/>
        <w:keepLines/>
      </w:pPr>
      <w:r>
        <w:rPr>
          <w:b w:val="0"/>
          <w:i w:val="0"/>
        </w:rPr>
        <w:t>Recruitment must state investigator/research-facility contact, study purpose, basic eligibility, time commitment, and location. It must not visually emphasize payment, promise benefits, use exculpatory language, or omit the eye-tracking and voice-cloning procedures that materially affect willingness to participate.</w:t>
      </w:r>
    </w:p>
    <w:p>
      <w:pPr>
        <w:pStyle w:val="ListBullet"/>
        <w:keepLines/>
      </w:pPr>
      <w:r>
        <w:rPr>
          <w:b w:val="0"/>
          <w:i w:val="0"/>
        </w:rPr>
        <w:t>Submit the exact participant-visible screening form, questionnaires, scales, interview prompts, target instructions, spoken hint library, voice-recording script, comprehension checks, and post-participation/debrief information.</w:t>
      </w:r>
    </w:p>
    <w:p>
      <w:pPr>
        <w:pStyle w:val="ListBullet"/>
        <w:keepLines/>
      </w:pPr>
      <w:r>
        <w:rPr>
          <w:b w:val="0"/>
          <w:i w:val="0"/>
        </w:rPr>
        <w:t>If any instrument is adapted, include only the exact adapted version participants will see and label it accurately. Do not upload a broad library of possible measures when only a subset will be administered.</w:t>
      </w:r>
    </w:p>
    <w:p>
      <w:pPr>
        <w:pStyle w:val="Heading2"/>
        <w:keepNext/>
      </w:pPr>
      <w:r>
        <w:t>6.4 Study-specific protection requirements</w:t>
      </w:r>
    </w:p>
    <w:tbl>
      <w:tblPr>
        <w:tblStyle w:val="TableGrid"/>
        <w:tblW w:type="dxa" w:w="9360"/>
        <w:jc w:val="center"/>
        <w:tblLayout w:type="fixed"/>
        <w:tblLook w:firstColumn="1" w:firstRow="1" w:lastColumn="0" w:lastRow="0" w:noHBand="0" w:noVBand="1" w:val="04A0"/>
      </w:tblPr>
      <w:tblGrid>
        <w:gridCol w:w="1750"/>
        <w:gridCol w:w="7610"/>
      </w:tblGrid>
      <w:tr>
        <w:trPr>
          <w:tblHeader w:val="true"/>
          <w:cantSplit/>
        </w:trPr>
        <w:tc>
          <w:tcPr>
            <w:tcW w:type="dxa" w:w="1750"/>
            <w:shd w:fill="F2F4F7"/>
            <w:vAlign w:val="center"/>
          </w:tcPr>
          <w:p>
            <w:pPr>
              <w:spacing w:after="0"/>
            </w:pPr>
            <w:r>
              <w:rPr>
                <w:b/>
                <w:color w:val="1F4D78"/>
                <w:sz w:val="17"/>
              </w:rPr>
              <w:t>Domain</w:t>
            </w:r>
          </w:p>
        </w:tc>
        <w:tc>
          <w:tcPr>
            <w:tcW w:type="dxa" w:w="7610"/>
            <w:shd w:fill="F2F4F7"/>
            <w:vAlign w:val="center"/>
          </w:tcPr>
          <w:p>
            <w:pPr>
              <w:spacing w:after="0"/>
            </w:pPr>
            <w:r>
              <w:rPr>
                <w:b/>
                <w:color w:val="1F4D78"/>
                <w:sz w:val="17"/>
              </w:rPr>
              <w:t>What the application must make concrete</w:t>
            </w:r>
          </w:p>
        </w:tc>
      </w:tr>
      <w:tr>
        <w:trPr>
          <w:cantSplit/>
        </w:trPr>
        <w:tc>
          <w:tcPr>
            <w:tcW w:type="dxa" w:w="1750"/>
            <w:vAlign w:val="top"/>
            <w:tcMar>
              <w:top w:w="80" w:type="dxa"/>
              <w:start w:w="120" w:type="dxa"/>
              <w:bottom w:w="80" w:type="dxa"/>
              <w:end w:w="120" w:type="dxa"/>
            </w:tcMar>
          </w:tcPr>
          <w:p>
            <w:pPr>
              <w:spacing w:after="0"/>
            </w:pPr>
            <w:r>
              <w:rPr>
                <w:sz w:val="17"/>
              </w:rPr>
              <w:t>MR safety</w:t>
            </w:r>
          </w:p>
        </w:tc>
        <w:tc>
          <w:tcPr>
            <w:tcW w:type="dxa" w:w="7610"/>
            <w:vAlign w:val="top"/>
            <w:tcMar>
              <w:top w:w="80" w:type="dxa"/>
              <w:start w:w="120" w:type="dxa"/>
              <w:bottom w:w="80" w:type="dxa"/>
              <w:end w:w="120" w:type="dxa"/>
            </w:tcMar>
          </w:tcPr>
          <w:p>
            <w:pPr>
              <w:spacing w:after="0"/>
            </w:pPr>
            <w:r>
              <w:rPr>
                <w:sz w:val="17"/>
              </w:rPr>
              <w:t>Final eligibility criteria; headset fit; seated rotational clear area; researcher monitoring; breaks; symptom stop/recovery rules; sanitation; emergency response.</w:t>
            </w:r>
          </w:p>
        </w:tc>
      </w:tr>
      <w:tr>
        <w:trPr>
          <w:cantSplit/>
        </w:trPr>
        <w:tc>
          <w:tcPr>
            <w:tcW w:type="dxa" w:w="1750"/>
            <w:vAlign w:val="top"/>
            <w:tcMar>
              <w:top w:w="80" w:type="dxa"/>
              <w:start w:w="120" w:type="dxa"/>
              <w:bottom w:w="80" w:type="dxa"/>
              <w:end w:w="120" w:type="dxa"/>
            </w:tcMar>
          </w:tcPr>
          <w:p>
            <w:pPr>
              <w:spacing w:after="0"/>
            </w:pPr>
            <w:r>
              <w:rPr>
                <w:sz w:val="17"/>
              </w:rPr>
              <w:t>Eye tracking</w:t>
            </w:r>
          </w:p>
        </w:tc>
        <w:tc>
          <w:tcPr>
            <w:tcW w:type="dxa" w:w="7610"/>
            <w:vAlign w:val="top"/>
            <w:tcMar>
              <w:top w:w="80" w:type="dxa"/>
              <w:start w:w="120" w:type="dxa"/>
              <w:bottom w:w="80" w:type="dxa"/>
              <w:end w:w="120" w:type="dxa"/>
            </w:tcMar>
          </w:tcPr>
          <w:p>
            <w:pPr>
              <w:spacing w:after="0"/>
            </w:pPr>
            <w:r>
              <w:rPr>
                <w:sz w:val="17"/>
              </w:rPr>
              <w:t>Exact recorded fields; calibration/validation and retry rules; tracking missingness; no raw eye-camera images; non-diagnostic wording; distinction between gaze proxies and validated fixation measures.</w:t>
            </w:r>
          </w:p>
        </w:tc>
      </w:tr>
      <w:tr>
        <w:trPr>
          <w:cantSplit/>
        </w:trPr>
        <w:tc>
          <w:tcPr>
            <w:tcW w:type="dxa" w:w="1750"/>
            <w:vAlign w:val="top"/>
            <w:tcMar>
              <w:top w:w="80" w:type="dxa"/>
              <w:start w:w="120" w:type="dxa"/>
              <w:bottom w:w="80" w:type="dxa"/>
              <w:end w:w="120" w:type="dxa"/>
            </w:tcMar>
          </w:tcPr>
          <w:p>
            <w:pPr>
              <w:spacing w:after="0"/>
            </w:pPr>
            <w:r>
              <w:rPr>
                <w:sz w:val="17"/>
              </w:rPr>
              <w:t>Voice cloning</w:t>
            </w:r>
          </w:p>
        </w:tc>
        <w:tc>
          <w:tcPr>
            <w:tcW w:type="dxa" w:w="7610"/>
            <w:vAlign w:val="top"/>
            <w:tcMar>
              <w:top w:w="80" w:type="dxa"/>
              <w:start w:w="120" w:type="dxa"/>
              <w:bottom w:w="80" w:type="dxa"/>
              <w:end w:w="120" w:type="dxa"/>
            </w:tcMar>
          </w:tcPr>
          <w:p>
            <w:pPr>
              <w:spacing w:after="0"/>
            </w:pPr>
            <w:r>
              <w:rPr>
                <w:sz w:val="17"/>
              </w:rPr>
              <w:t>Explicit authorization; approved provider; account ownership; model-improvement setting; fixed prompt restriction; provider/model/version; private/no-library setting; personnel access; credential handling; deletion tests and residual-retention limits.</w:t>
            </w:r>
          </w:p>
        </w:tc>
      </w:tr>
      <w:tr>
        <w:trPr>
          <w:cantSplit/>
        </w:trPr>
        <w:tc>
          <w:tcPr>
            <w:tcW w:type="dxa" w:w="1750"/>
            <w:vAlign w:val="top"/>
            <w:tcMar>
              <w:top w:w="80" w:type="dxa"/>
              <w:start w:w="120" w:type="dxa"/>
              <w:bottom w:w="80" w:type="dxa"/>
              <w:end w:w="120" w:type="dxa"/>
            </w:tcMar>
          </w:tcPr>
          <w:p>
            <w:pPr>
              <w:spacing w:after="0"/>
            </w:pPr>
            <w:r>
              <w:rPr>
                <w:sz w:val="17"/>
              </w:rPr>
              <w:t>Privacy/data</w:t>
            </w:r>
          </w:p>
        </w:tc>
        <w:tc>
          <w:tcPr>
            <w:tcW w:type="dxa" w:w="7610"/>
            <w:vAlign w:val="top"/>
            <w:tcMar>
              <w:top w:w="80" w:type="dxa"/>
              <w:start w:w="120" w:type="dxa"/>
              <w:bottom w:w="80" w:type="dxa"/>
              <w:end w:w="120" w:type="dxa"/>
            </w:tcMar>
          </w:tcPr>
          <w:p>
            <w:pPr>
              <w:spacing w:after="0"/>
            </w:pPr>
            <w:r>
              <w:rPr>
                <w:sz w:val="17"/>
              </w:rPr>
              <w:t>Data-flow diagram; approved UCF storage; device/workstation/provider locations; encryption; role-based access; identity-key separation; filenames/aliases; transfer verification; retention; destruction; data-sharing boundaries.</w:t>
            </w:r>
          </w:p>
        </w:tc>
      </w:tr>
      <w:tr>
        <w:trPr>
          <w:cantSplit/>
        </w:trPr>
        <w:tc>
          <w:tcPr>
            <w:tcW w:type="dxa" w:w="1750"/>
            <w:vAlign w:val="top"/>
            <w:tcMar>
              <w:top w:w="80" w:type="dxa"/>
              <w:start w:w="120" w:type="dxa"/>
              <w:bottom w:w="80" w:type="dxa"/>
              <w:end w:w="120" w:type="dxa"/>
            </w:tcMar>
          </w:tcPr>
          <w:p>
            <w:pPr>
              <w:spacing w:after="0"/>
            </w:pPr>
            <w:r>
              <w:rPr>
                <w:sz w:val="17"/>
              </w:rPr>
              <w:t>Consent</w:t>
            </w:r>
          </w:p>
        </w:tc>
        <w:tc>
          <w:tcPr>
            <w:tcW w:type="dxa" w:w="7610"/>
            <w:vAlign w:val="top"/>
            <w:tcMar>
              <w:top w:w="80" w:type="dxa"/>
              <w:start w:w="120" w:type="dxa"/>
              <w:bottom w:w="80" w:type="dxa"/>
              <w:end w:w="120" w:type="dxa"/>
            </w:tcMar>
          </w:tcPr>
          <w:p>
            <w:pPr>
              <w:spacing w:after="0"/>
            </w:pPr>
            <w:r>
              <w:rPr>
                <w:sz w:val="17"/>
              </w:rPr>
              <w:t>Purpose, procedures, duration, risks, no guaranteed benefit, alternatives, compensation/proration, withdrawal/deletion limits, third-party access, contacts, injury/cost language if required, and copy delivery.</w:t>
            </w:r>
          </w:p>
        </w:tc>
      </w:tr>
      <w:tr>
        <w:trPr>
          <w:cantSplit/>
        </w:trPr>
        <w:tc>
          <w:tcPr>
            <w:tcW w:type="dxa" w:w="1750"/>
            <w:vAlign w:val="top"/>
            <w:tcMar>
              <w:top w:w="80" w:type="dxa"/>
              <w:start w:w="120" w:type="dxa"/>
              <w:bottom w:w="80" w:type="dxa"/>
              <w:end w:w="120" w:type="dxa"/>
            </w:tcMar>
          </w:tcPr>
          <w:p>
            <w:pPr>
              <w:spacing w:after="0"/>
            </w:pPr>
            <w:r>
              <w:rPr>
                <w:sz w:val="17"/>
              </w:rPr>
              <w:t>Scientific validity</w:t>
            </w:r>
          </w:p>
        </w:tc>
        <w:tc>
          <w:tcPr>
            <w:tcW w:type="dxa" w:w="7610"/>
            <w:vAlign w:val="top"/>
            <w:tcMar>
              <w:top w:w="80" w:type="dxa"/>
              <w:start w:w="120" w:type="dxa"/>
              <w:bottom w:w="80" w:type="dxa"/>
              <w:end w:w="120" w:type="dxa"/>
            </w:tcMar>
          </w:tcPr>
          <w:p>
            <w:pPr>
              <w:spacing w:after="0"/>
            </w:pPr>
            <w:r>
              <w:rPr>
                <w:sz w:val="17"/>
              </w:rPr>
              <w:t>Power/sensitivity analysis; enrolled maximum; outcomes/hypotheses; condition order and allocation; stopping/exclusion/missingness rules; final survey scoring; reproducible build/manifest and analysis plan.</w:t>
            </w:r>
          </w:p>
        </w:tc>
      </w:tr>
      <w:tr>
        <w:trPr>
          <w:cantSplit/>
        </w:trPr>
        <w:tc>
          <w:tcPr>
            <w:tcW w:type="dxa" w:w="1750"/>
            <w:vAlign w:val="top"/>
            <w:tcMar>
              <w:top w:w="80" w:type="dxa"/>
              <w:start w:w="120" w:type="dxa"/>
              <w:bottom w:w="80" w:type="dxa"/>
              <w:end w:w="120" w:type="dxa"/>
            </w:tcMar>
          </w:tcPr>
          <w:p>
            <w:pPr>
              <w:spacing w:after="0"/>
            </w:pPr>
            <w:r>
              <w:rPr>
                <w:sz w:val="17"/>
              </w:rPr>
              <w:t>Personnel/resources</w:t>
            </w:r>
          </w:p>
        </w:tc>
        <w:tc>
          <w:tcPr>
            <w:tcW w:type="dxa" w:w="7610"/>
            <w:vAlign w:val="top"/>
            <w:tcMar>
              <w:top w:w="80" w:type="dxa"/>
              <w:start w:w="120" w:type="dxa"/>
              <w:bottom w:w="80" w:type="dxa"/>
              <w:end w:w="120" w:type="dxa"/>
            </w:tcMar>
          </w:tcPr>
          <w:p>
            <w:pPr>
              <w:spacing w:after="0"/>
            </w:pPr>
            <w:r>
              <w:rPr>
                <w:sz w:val="17"/>
              </w:rPr>
              <w:t>Qualified staff, training, private room, headset and workstation, approved software/accounts, secure storage, funding/compensation resources, emergency capability, and realistic recruitment pool.</w:t>
            </w:r>
          </w:p>
        </w:tc>
      </w:tr>
    </w:tbl>
    <w:p>
      <w:pPr>
        <w:pStyle w:val="Heading2"/>
        <w:keepNext/>
      </w:pPr>
      <w:r>
        <w:t>6.5 Huron submission sequence</w:t>
      </w:r>
    </w:p>
    <w:p>
      <w:pPr>
        <w:spacing w:after="80"/>
        <w:ind w:left="605" w:hanging="605"/>
        <w:keepLines/>
      </w:pPr>
      <w:r>
        <w:rPr>
          <w:b w:val="0"/>
          <w:i w:val="0"/>
        </w:rPr>
        <w:t>1.</w:t>
      </w:r>
      <w:r>
        <w:rPr>
          <w:b w:val="0"/>
          <w:i w:val="0"/>
        </w:rPr>
        <w:t xml:space="preserve">   Log in to Huron Research Suite and create a new study; complete Basic Study Information and select the actual PI.</w:t>
      </w:r>
    </w:p>
    <w:p>
      <w:pPr>
        <w:spacing w:after="80"/>
        <w:ind w:left="605" w:hanging="605"/>
        <w:keepLines/>
      </w:pPr>
      <w:r>
        <w:rPr>
          <w:b w:val="0"/>
          <w:i w:val="0"/>
        </w:rPr>
        <w:t>2.</w:t>
      </w:r>
      <w:r>
        <w:rPr>
          <w:b w:val="0"/>
          <w:i w:val="0"/>
        </w:rPr>
        <w:t xml:space="preserve">   Upload only the current clean protocol in the protocol slot, then complete funding, study-team, scope/device, and location pages.</w:t>
      </w:r>
    </w:p>
    <w:p>
      <w:pPr>
        <w:spacing w:after="80"/>
        <w:ind w:left="605" w:hanging="605"/>
        <w:keepLines/>
      </w:pPr>
      <w:r>
        <w:rPr>
          <w:b w:val="0"/>
          <w:i w:val="0"/>
        </w:rPr>
        <w:t>3.</w:t>
      </w:r>
      <w:r>
        <w:rPr>
          <w:b w:val="0"/>
          <w:i w:val="0"/>
        </w:rPr>
        <w:t xml:space="preserve">   Upload consent, recruitment, screening, questionnaires/instruments, scripts, post-participation materials, letters/supporting records, and any requested vendor/security attachments under Local Site Documents in the correct categories.</w:t>
      </w:r>
    </w:p>
    <w:p>
      <w:pPr>
        <w:spacing w:after="80"/>
        <w:ind w:left="605" w:hanging="605"/>
        <w:keepLines/>
      </w:pPr>
      <w:r>
        <w:rPr>
          <w:b w:val="0"/>
          <w:i w:val="0"/>
        </w:rPr>
        <w:t>4.</w:t>
      </w:r>
      <w:r>
        <w:rPr>
          <w:b w:val="0"/>
          <w:i w:val="0"/>
        </w:rPr>
        <w:t xml:space="preserve">   Complete UCF Additional Information, including PI category, records/populations, international activity, and other triggered fields.</w:t>
      </w:r>
    </w:p>
    <w:p>
      <w:pPr>
        <w:spacing w:after="80"/>
        <w:ind w:left="605" w:hanging="605"/>
        <w:keepLines/>
      </w:pPr>
      <w:r>
        <w:rPr>
          <w:b w:val="0"/>
          <w:i w:val="0"/>
        </w:rPr>
        <w:t>5.</w:t>
      </w:r>
      <w:r>
        <w:rPr>
          <w:b w:val="0"/>
          <w:i w:val="0"/>
        </w:rPr>
        <w:t xml:space="preserve">   Finish the application, obtain faculty-advisor and departmental ancillary sign-offs where applicable, then have the listed PI click Submit. Finishing alone does not submit the study.</w:t>
      </w:r>
    </w:p>
    <w:p>
      <w:pPr>
        <w:spacing w:after="80"/>
        <w:ind w:left="605" w:hanging="605"/>
        <w:keepLines/>
      </w:pPr>
      <w:r>
        <w:rPr>
          <w:b w:val="0"/>
          <w:i w:val="0"/>
        </w:rPr>
        <w:t>6.</w:t>
      </w:r>
      <w:r>
        <w:rPr>
          <w:b w:val="0"/>
          <w:i w:val="0"/>
        </w:rPr>
        <w:t xml:space="preserve">   Respond to clarifications by updating the existing document version in Huron rather than deleting and adding a disconnected replacement; preserve version history and reconcile every changed document.</w:t>
      </w:r>
    </w:p>
    <w:p>
      <w:pPr>
        <w:pStyle w:val="Heading2"/>
        <w:keepNext/>
      </w:pPr>
      <w:r>
        <w:t>6.6 After approval</w:t>
      </w:r>
    </w:p>
    <w:p>
      <w:pPr>
        <w:pStyle w:val="ListBullet"/>
        <w:keepLines/>
      </w:pPr>
      <w:r>
        <w:rPr>
          <w:b w:val="0"/>
          <w:i w:val="0"/>
        </w:rPr>
        <w:t>Use only the approved versions, approved staff, approved sites, approved devices/build, approved provider/model/account, and approved data path.</w:t>
      </w:r>
    </w:p>
    <w:p>
      <w:pPr>
        <w:pStyle w:val="ListBullet"/>
        <w:keepLines/>
      </w:pPr>
      <w:r>
        <w:rPr>
          <w:b w:val="0"/>
          <w:i w:val="0"/>
        </w:rPr>
        <w:t>Submit a Modification before changing the provider/model, voice script, telemetry, eligibility, compensation, recruitment, trial schedule, condition logic, questionnaires, sites, or study team—except a change necessary to eliminate an immediate hazard, which must be reported promptly.</w:t>
      </w:r>
    </w:p>
    <w:p>
      <w:pPr>
        <w:pStyle w:val="ListBullet"/>
        <w:keepLines/>
      </w:pPr>
      <w:r>
        <w:rPr>
          <w:b w:val="0"/>
          <w:i w:val="0"/>
        </w:rPr>
        <w:t>Document and report adverse events, protocol deviations, unexpected problems, new/increased risks, and confidentiality breaches through UCF’s Reportable New Information process when applicable.</w:t>
      </w:r>
    </w:p>
    <w:p>
      <w:pPr>
        <w:pStyle w:val="ListBullet"/>
        <w:keepLines/>
      </w:pPr>
      <w:r>
        <w:rPr>
          <w:b w:val="0"/>
          <w:i w:val="0"/>
        </w:rPr>
        <w:t>Close the study in Huron when research activities are complete. UCF currently states that study closure is submitted through Continuing Review/closure workflow.</w:t>
      </w:r>
    </w:p>
    <w:p>
      <w:pPr>
        <w:pStyle w:val="ListBullet"/>
        <w:keepLines/>
      </w:pPr>
      <w:r>
        <w:rPr>
          <w:b w:val="0"/>
          <w:i w:val="0"/>
        </w:rPr>
        <w:t>Retain research data for at least five years after study closure under UCF’s current FAQ, subject to longer sponsor or other legal requirements. Identifiable voice assets may follow an earlier IRB-approved deletion schedule, while required regulatory/audit records remain retained.</w:t>
      </w:r>
    </w:p>
    <w:p>
      <w:pPr>
        <w:pStyle w:val="Heading1"/>
        <w:keepNext/>
      </w:pPr>
      <w:r>
        <w:t>7. Requirement-to-packet matrix</w:t>
      </w:r>
    </w:p>
    <w:tbl>
      <w:tblPr>
        <w:tblStyle w:val="TableGrid"/>
        <w:tblW w:type="dxa" w:w="9360"/>
        <w:jc w:val="center"/>
        <w:tblLayout w:type="fixed"/>
        <w:tblLook w:firstColumn="1" w:firstRow="1" w:lastColumn="0" w:lastRow="0" w:noHBand="0" w:noVBand="1" w:val="04A0"/>
      </w:tblPr>
      <w:tblGrid>
        <w:gridCol w:w="1600"/>
        <w:gridCol w:w="1250"/>
        <w:gridCol w:w="3000"/>
        <w:gridCol w:w="3510"/>
      </w:tblGrid>
      <w:tr>
        <w:trPr>
          <w:tblHeader w:val="true"/>
          <w:cantSplit/>
        </w:trPr>
        <w:tc>
          <w:tcPr>
            <w:tcW w:type="dxa" w:w="1600"/>
            <w:shd w:fill="F2F4F7"/>
            <w:vAlign w:val="center"/>
          </w:tcPr>
          <w:p>
            <w:pPr>
              <w:spacing w:after="0"/>
            </w:pPr>
            <w:r>
              <w:rPr>
                <w:b/>
                <w:color w:val="1F4D78"/>
                <w:sz w:val="16"/>
              </w:rPr>
              <w:t>Requirement</w:t>
            </w:r>
          </w:p>
        </w:tc>
        <w:tc>
          <w:tcPr>
            <w:tcW w:type="dxa" w:w="1250"/>
            <w:shd w:fill="F2F4F7"/>
            <w:vAlign w:val="center"/>
          </w:tcPr>
          <w:p>
            <w:pPr>
              <w:spacing w:after="0"/>
            </w:pPr>
            <w:r>
              <w:rPr>
                <w:b/>
                <w:color w:val="1F4D78"/>
                <w:sz w:val="16"/>
              </w:rPr>
              <w:t>Status</w:t>
            </w:r>
          </w:p>
        </w:tc>
        <w:tc>
          <w:tcPr>
            <w:tcW w:type="dxa" w:w="3000"/>
            <w:shd w:fill="F2F4F7"/>
            <w:vAlign w:val="center"/>
          </w:tcPr>
          <w:p>
            <w:pPr>
              <w:spacing w:after="0"/>
            </w:pPr>
            <w:r>
              <w:rPr>
                <w:b/>
                <w:color w:val="1F4D78"/>
                <w:sz w:val="16"/>
              </w:rPr>
              <w:t>What exists</w:t>
            </w:r>
          </w:p>
        </w:tc>
        <w:tc>
          <w:tcPr>
            <w:tcW w:type="dxa" w:w="3510"/>
            <w:shd w:fill="F2F4F7"/>
            <w:vAlign w:val="center"/>
          </w:tcPr>
          <w:p>
            <w:pPr>
              <w:spacing w:after="0"/>
            </w:pPr>
            <w:r>
              <w:rPr>
                <w:b/>
                <w:color w:val="1F4D78"/>
                <w:sz w:val="16"/>
              </w:rPr>
              <w:t>What remains</w:t>
            </w:r>
          </w:p>
        </w:tc>
      </w:tr>
      <w:tr>
        <w:trPr>
          <w:cantSplit/>
        </w:trPr>
        <w:tc>
          <w:tcPr>
            <w:tcW w:type="dxa" w:w="1600"/>
            <w:vAlign w:val="top"/>
            <w:tcMar>
              <w:top w:w="80" w:type="dxa"/>
              <w:start w:w="120" w:type="dxa"/>
              <w:bottom w:w="80" w:type="dxa"/>
              <w:end w:w="120" w:type="dxa"/>
            </w:tcMar>
          </w:tcPr>
          <w:p>
            <w:pPr>
              <w:spacing w:after="0"/>
            </w:pPr>
            <w:r>
              <w:rPr>
                <w:sz w:val="16"/>
              </w:rPr>
              <w:t>Current HRP-503</w:t>
            </w:r>
          </w:p>
        </w:tc>
        <w:tc>
          <w:tcPr>
            <w:tcW w:type="dxa" w:w="1250"/>
            <w:vAlign w:val="top"/>
            <w:tcMar>
              <w:top w:w="80" w:type="dxa"/>
              <w:start w:w="120" w:type="dxa"/>
              <w:bottom w:w="80" w:type="dxa"/>
              <w:end w:w="120" w:type="dxa"/>
            </w:tcMar>
          </w:tcPr>
          <w:p>
            <w:pPr>
              <w:spacing w:after="0"/>
            </w:pPr>
            <w:r>
              <w:rPr>
                <w:sz w:val="16"/>
              </w:rPr>
              <w:t>Present</w:t>
            </w:r>
          </w:p>
        </w:tc>
        <w:tc>
          <w:tcPr>
            <w:tcW w:type="dxa" w:w="3000"/>
            <w:vAlign w:val="top"/>
            <w:tcMar>
              <w:top w:w="80" w:type="dxa"/>
              <w:start w:w="120" w:type="dxa"/>
              <w:bottom w:w="80" w:type="dxa"/>
              <w:end w:w="120" w:type="dxa"/>
            </w:tcMar>
          </w:tcPr>
          <w:p>
            <w:pPr>
              <w:spacing w:after="0"/>
            </w:pPr>
            <w:r>
              <w:rPr>
                <w:sz w:val="16"/>
              </w:rPr>
              <w:t>Protocol draft is detailed and paper-aligned.</w:t>
            </w:r>
          </w:p>
        </w:tc>
        <w:tc>
          <w:tcPr>
            <w:tcW w:type="dxa" w:w="3510"/>
            <w:vAlign w:val="top"/>
            <w:tcMar>
              <w:top w:w="80" w:type="dxa"/>
              <w:start w:w="120" w:type="dxa"/>
              <w:bottom w:w="80" w:type="dxa"/>
              <w:end w:w="120" w:type="dxa"/>
            </w:tcMar>
          </w:tcPr>
          <w:p>
            <w:pPr>
              <w:spacing w:after="0"/>
            </w:pPr>
            <w:r>
              <w:rPr>
                <w:sz w:val="16"/>
              </w:rPr>
              <w:t>Move content into the current Huron HRP-503 if template version changes; resolve 36 open-decision markers; remove draft/instruction text.</w:t>
            </w:r>
          </w:p>
        </w:tc>
      </w:tr>
      <w:tr>
        <w:trPr>
          <w:cantSplit/>
        </w:trPr>
        <w:tc>
          <w:tcPr>
            <w:tcW w:type="dxa" w:w="1600"/>
            <w:vAlign w:val="top"/>
            <w:tcMar>
              <w:top w:w="80" w:type="dxa"/>
              <w:start w:w="120" w:type="dxa"/>
              <w:bottom w:w="80" w:type="dxa"/>
              <w:end w:w="120" w:type="dxa"/>
            </w:tcMar>
          </w:tcPr>
          <w:p>
            <w:pPr>
              <w:spacing w:after="0"/>
            </w:pPr>
            <w:r>
              <w:rPr>
                <w:sz w:val="16"/>
              </w:rPr>
              <w:t>Current HRP-502</w:t>
            </w:r>
          </w:p>
        </w:tc>
        <w:tc>
          <w:tcPr>
            <w:tcW w:type="dxa" w:w="1250"/>
            <w:vAlign w:val="top"/>
            <w:tcMar>
              <w:top w:w="80" w:type="dxa"/>
              <w:start w:w="120" w:type="dxa"/>
              <w:bottom w:w="80" w:type="dxa"/>
              <w:end w:w="120" w:type="dxa"/>
            </w:tcMar>
          </w:tcPr>
          <w:p>
            <w:pPr>
              <w:spacing w:after="0"/>
            </w:pPr>
            <w:r>
              <w:rPr>
                <w:sz w:val="16"/>
              </w:rPr>
              <w:t>Present</w:t>
            </w:r>
          </w:p>
        </w:tc>
        <w:tc>
          <w:tcPr>
            <w:tcW w:type="dxa" w:w="3000"/>
            <w:vAlign w:val="top"/>
            <w:tcMar>
              <w:top w:w="80" w:type="dxa"/>
              <w:start w:w="120" w:type="dxa"/>
              <w:bottom w:w="80" w:type="dxa"/>
              <w:end w:w="120" w:type="dxa"/>
            </w:tcMar>
          </w:tcPr>
          <w:p>
            <w:pPr>
              <w:spacing w:after="0"/>
            </w:pPr>
            <w:r>
              <w:rPr>
                <w:sz w:val="16"/>
              </w:rPr>
              <w:t>Consent draft explains gaze, synthetic voice, provider and withdrawal limits.</w:t>
            </w:r>
          </w:p>
        </w:tc>
        <w:tc>
          <w:tcPr>
            <w:tcW w:type="dxa" w:w="3510"/>
            <w:vAlign w:val="top"/>
            <w:tcMar>
              <w:top w:w="80" w:type="dxa"/>
              <w:start w:w="120" w:type="dxa"/>
              <w:bottom w:w="80" w:type="dxa"/>
              <w:end w:w="120" w:type="dxa"/>
            </w:tcMar>
          </w:tcPr>
          <w:p>
            <w:pPr>
              <w:spacing w:after="0"/>
            </w:pPr>
            <w:r>
              <w:rPr>
                <w:sz w:val="16"/>
              </w:rPr>
              <w:t>Resolve 17 open-decision markers; finalize signatures, contacts, duration, payment, storage, retention and injury language.</w:t>
            </w:r>
          </w:p>
        </w:tc>
      </w:tr>
      <w:tr>
        <w:trPr>
          <w:cantSplit/>
        </w:trPr>
        <w:tc>
          <w:tcPr>
            <w:tcW w:type="dxa" w:w="1600"/>
            <w:vAlign w:val="top"/>
            <w:tcMar>
              <w:top w:w="80" w:type="dxa"/>
              <w:start w:w="120" w:type="dxa"/>
              <w:bottom w:w="80" w:type="dxa"/>
              <w:end w:w="120" w:type="dxa"/>
            </w:tcMar>
          </w:tcPr>
          <w:p>
            <w:pPr>
              <w:spacing w:after="0"/>
            </w:pPr>
            <w:r>
              <w:rPr>
                <w:sz w:val="16"/>
              </w:rPr>
              <w:t>PI/faculty advisor</w:t>
            </w:r>
          </w:p>
        </w:tc>
        <w:tc>
          <w:tcPr>
            <w:tcW w:type="dxa" w:w="1250"/>
            <w:vAlign w:val="top"/>
            <w:tcMar>
              <w:top w:w="80" w:type="dxa"/>
              <w:start w:w="120" w:type="dxa"/>
              <w:bottom w:w="80" w:type="dxa"/>
              <w:end w:w="120" w:type="dxa"/>
            </w:tcMar>
          </w:tcPr>
          <w:p>
            <w:pPr>
              <w:spacing w:after="0"/>
            </w:pPr>
            <w:r>
              <w:rPr>
                <w:sz w:val="16"/>
              </w:rPr>
              <w:t>Missing</w:t>
            </w:r>
          </w:p>
        </w:tc>
        <w:tc>
          <w:tcPr>
            <w:tcW w:type="dxa" w:w="3000"/>
            <w:vAlign w:val="top"/>
            <w:tcMar>
              <w:top w:w="80" w:type="dxa"/>
              <w:start w:w="120" w:type="dxa"/>
              <w:bottom w:w="80" w:type="dxa"/>
              <w:end w:w="120" w:type="dxa"/>
            </w:tcMar>
          </w:tcPr>
          <w:p>
            <w:pPr>
              <w:spacing w:after="0"/>
            </w:pPr>
            <w:r>
              <w:rPr>
                <w:sz w:val="16"/>
              </w:rPr>
              <w:t>Placeholders remain.</w:t>
            </w:r>
          </w:p>
        </w:tc>
        <w:tc>
          <w:tcPr>
            <w:tcW w:type="dxa" w:w="3510"/>
            <w:vAlign w:val="top"/>
            <w:tcMar>
              <w:top w:w="80" w:type="dxa"/>
              <w:start w:w="120" w:type="dxa"/>
              <w:bottom w:w="80" w:type="dxa"/>
              <w:end w:w="120" w:type="dxa"/>
            </w:tcMar>
          </w:tcPr>
          <w:p>
            <w:pPr>
              <w:spacing w:after="0"/>
            </w:pPr>
            <w:r>
              <w:rPr>
                <w:sz w:val="16"/>
              </w:rPr>
              <w:t>Name eligible PI, department/contact, advisor; obtain Huron and HRP-251/ancillary sign-off as applicable.</w:t>
            </w:r>
          </w:p>
        </w:tc>
      </w:tr>
      <w:tr>
        <w:trPr>
          <w:cantSplit/>
        </w:trPr>
        <w:tc>
          <w:tcPr>
            <w:tcW w:type="dxa" w:w="1600"/>
            <w:vAlign w:val="top"/>
            <w:tcMar>
              <w:top w:w="80" w:type="dxa"/>
              <w:start w:w="120" w:type="dxa"/>
              <w:bottom w:w="80" w:type="dxa"/>
              <w:end w:w="120" w:type="dxa"/>
            </w:tcMar>
          </w:tcPr>
          <w:p>
            <w:pPr>
              <w:spacing w:after="0"/>
            </w:pPr>
            <w:r>
              <w:rPr>
                <w:sz w:val="16"/>
              </w:rPr>
              <w:t>Review level</w:t>
            </w:r>
          </w:p>
        </w:tc>
        <w:tc>
          <w:tcPr>
            <w:tcW w:type="dxa" w:w="1250"/>
            <w:vAlign w:val="top"/>
            <w:tcMar>
              <w:top w:w="80" w:type="dxa"/>
              <w:start w:w="120" w:type="dxa"/>
              <w:bottom w:w="80" w:type="dxa"/>
              <w:end w:w="120" w:type="dxa"/>
            </w:tcMar>
          </w:tcPr>
          <w:p>
            <w:pPr>
              <w:spacing w:after="0"/>
            </w:pPr>
            <w:r>
              <w:rPr>
                <w:sz w:val="16"/>
              </w:rPr>
              <w:t>Unresolved</w:t>
            </w:r>
          </w:p>
        </w:tc>
        <w:tc>
          <w:tcPr>
            <w:tcW w:type="dxa" w:w="3000"/>
            <w:vAlign w:val="top"/>
            <w:tcMar>
              <w:top w:w="80" w:type="dxa"/>
              <w:start w:w="120" w:type="dxa"/>
              <w:bottom w:w="80" w:type="dxa"/>
              <w:end w:w="120" w:type="dxa"/>
            </w:tcMar>
          </w:tcPr>
          <w:p>
            <w:pPr>
              <w:spacing w:after="0"/>
            </w:pPr>
            <w:r>
              <w:rPr>
                <w:sz w:val="16"/>
              </w:rPr>
              <w:t>Packet assumes HRP-503/502 path.</w:t>
            </w:r>
          </w:p>
        </w:tc>
        <w:tc>
          <w:tcPr>
            <w:tcW w:type="dxa" w:w="3510"/>
            <w:vAlign w:val="top"/>
            <w:tcMar>
              <w:top w:w="80" w:type="dxa"/>
              <w:start w:w="120" w:type="dxa"/>
              <w:bottom w:w="80" w:type="dxa"/>
              <w:end w:w="120" w:type="dxa"/>
            </w:tcMar>
          </w:tcPr>
          <w:p>
            <w:pPr>
              <w:spacing w:after="0"/>
            </w:pPr>
            <w:r>
              <w:rPr>
                <w:sz w:val="16"/>
              </w:rPr>
              <w:t>Ask UCF to determine expedited vs other level; do not self-certify.</w:t>
            </w:r>
          </w:p>
        </w:tc>
      </w:tr>
      <w:tr>
        <w:trPr>
          <w:cantSplit/>
        </w:trPr>
        <w:tc>
          <w:tcPr>
            <w:tcW w:type="dxa" w:w="1600"/>
            <w:vAlign w:val="top"/>
            <w:tcMar>
              <w:top w:w="80" w:type="dxa"/>
              <w:start w:w="120" w:type="dxa"/>
              <w:bottom w:w="80" w:type="dxa"/>
              <w:end w:w="120" w:type="dxa"/>
            </w:tcMar>
          </w:tcPr>
          <w:p>
            <w:pPr>
              <w:spacing w:after="0"/>
            </w:pPr>
            <w:r>
              <w:rPr>
                <w:sz w:val="16"/>
              </w:rPr>
              <w:t>Training</w:t>
            </w:r>
          </w:p>
        </w:tc>
        <w:tc>
          <w:tcPr>
            <w:tcW w:type="dxa" w:w="1250"/>
            <w:vAlign w:val="top"/>
            <w:tcMar>
              <w:top w:w="80" w:type="dxa"/>
              <w:start w:w="120" w:type="dxa"/>
              <w:bottom w:w="80" w:type="dxa"/>
              <w:end w:w="120" w:type="dxa"/>
            </w:tcMar>
          </w:tcPr>
          <w:p>
            <w:pPr>
              <w:spacing w:after="0"/>
            </w:pPr>
            <w:r>
              <w:rPr>
                <w:sz w:val="16"/>
              </w:rPr>
              <w:t>Unverified</w:t>
            </w:r>
          </w:p>
        </w:tc>
        <w:tc>
          <w:tcPr>
            <w:tcW w:type="dxa" w:w="3000"/>
            <w:vAlign w:val="top"/>
            <w:tcMar>
              <w:top w:w="80" w:type="dxa"/>
              <w:start w:w="120" w:type="dxa"/>
              <w:bottom w:w="80" w:type="dxa"/>
              <w:end w:w="120" w:type="dxa"/>
            </w:tcMar>
          </w:tcPr>
          <w:p>
            <w:pPr>
              <w:spacing w:after="0"/>
            </w:pPr>
            <w:r>
              <w:rPr>
                <w:sz w:val="16"/>
              </w:rPr>
              <w:t>Packet says training required.</w:t>
            </w:r>
          </w:p>
        </w:tc>
        <w:tc>
          <w:tcPr>
            <w:tcW w:type="dxa" w:w="3510"/>
            <w:vAlign w:val="top"/>
            <w:tcMar>
              <w:top w:w="80" w:type="dxa"/>
              <w:start w:w="120" w:type="dxa"/>
              <w:bottom w:w="80" w:type="dxa"/>
              <w:end w:w="120" w:type="dxa"/>
            </w:tcMar>
          </w:tcPr>
          <w:p>
            <w:pPr>
              <w:spacing w:after="0"/>
            </w:pPr>
            <w:r>
              <w:rPr>
                <w:sz w:val="16"/>
              </w:rPr>
              <w:t>Confirm current CITI/graduate awareness training for all engaged staff before review/approval.</w:t>
            </w:r>
          </w:p>
        </w:tc>
      </w:tr>
      <w:tr>
        <w:trPr>
          <w:cantSplit/>
        </w:trPr>
        <w:tc>
          <w:tcPr>
            <w:tcW w:type="dxa" w:w="1600"/>
            <w:vAlign w:val="top"/>
            <w:tcMar>
              <w:top w:w="80" w:type="dxa"/>
              <w:start w:w="120" w:type="dxa"/>
              <w:bottom w:w="80" w:type="dxa"/>
              <w:end w:w="120" w:type="dxa"/>
            </w:tcMar>
          </w:tcPr>
          <w:p>
            <w:pPr>
              <w:spacing w:after="0"/>
            </w:pPr>
            <w:r>
              <w:rPr>
                <w:sz w:val="16"/>
              </w:rPr>
              <w:t>Recruitment</w:t>
            </w:r>
          </w:p>
        </w:tc>
        <w:tc>
          <w:tcPr>
            <w:tcW w:type="dxa" w:w="1250"/>
            <w:vAlign w:val="top"/>
            <w:tcMar>
              <w:top w:w="80" w:type="dxa"/>
              <w:start w:w="120" w:type="dxa"/>
              <w:bottom w:w="80" w:type="dxa"/>
              <w:end w:w="120" w:type="dxa"/>
            </w:tcMar>
          </w:tcPr>
          <w:p>
            <w:pPr>
              <w:spacing w:after="0"/>
            </w:pPr>
            <w:r>
              <w:rPr>
                <w:sz w:val="16"/>
              </w:rPr>
              <w:t>Draft present</w:t>
            </w:r>
          </w:p>
        </w:tc>
        <w:tc>
          <w:tcPr>
            <w:tcW w:type="dxa" w:w="3000"/>
            <w:vAlign w:val="top"/>
            <w:tcMar>
              <w:top w:w="80" w:type="dxa"/>
              <w:start w:w="120" w:type="dxa"/>
              <w:bottom w:w="80" w:type="dxa"/>
              <w:end w:w="120" w:type="dxa"/>
            </w:tcMar>
          </w:tcPr>
          <w:p>
            <w:pPr>
              <w:spacing w:after="0"/>
            </w:pPr>
            <w:r>
              <w:rPr>
                <w:sz w:val="16"/>
              </w:rPr>
              <w:t>Email, flyer/portal and verbal script included.</w:t>
            </w:r>
          </w:p>
        </w:tc>
        <w:tc>
          <w:tcPr>
            <w:tcW w:type="dxa" w:w="3510"/>
            <w:vAlign w:val="top"/>
            <w:tcMar>
              <w:top w:w="80" w:type="dxa"/>
              <w:start w:w="120" w:type="dxa"/>
              <w:bottom w:w="80" w:type="dxa"/>
              <w:end w:w="120" w:type="dxa"/>
            </w:tcMar>
          </w:tcPr>
          <w:p>
            <w:pPr>
              <w:spacing w:after="0"/>
            </w:pPr>
            <w:r>
              <w:rPr>
                <w:sz w:val="16"/>
              </w:rPr>
              <w:t>Finalize contacts, channel, link, duration, location, payment; ensure all real versions are uploaded.</w:t>
            </w:r>
          </w:p>
        </w:tc>
      </w:tr>
      <w:tr>
        <w:trPr>
          <w:cantSplit/>
        </w:trPr>
        <w:tc>
          <w:tcPr>
            <w:tcW w:type="dxa" w:w="1600"/>
            <w:vAlign w:val="top"/>
            <w:tcMar>
              <w:top w:w="80" w:type="dxa"/>
              <w:start w:w="120" w:type="dxa"/>
              <w:bottom w:w="80" w:type="dxa"/>
              <w:end w:w="120" w:type="dxa"/>
            </w:tcMar>
          </w:tcPr>
          <w:p>
            <w:pPr>
              <w:spacing w:after="0"/>
            </w:pPr>
            <w:r>
              <w:rPr>
                <w:sz w:val="16"/>
              </w:rPr>
              <w:t>Eligibility/safety</w:t>
            </w:r>
          </w:p>
        </w:tc>
        <w:tc>
          <w:tcPr>
            <w:tcW w:type="dxa" w:w="1250"/>
            <w:vAlign w:val="top"/>
            <w:tcMar>
              <w:top w:w="80" w:type="dxa"/>
              <w:start w:w="120" w:type="dxa"/>
              <w:bottom w:w="80" w:type="dxa"/>
              <w:end w:w="120" w:type="dxa"/>
            </w:tcMar>
          </w:tcPr>
          <w:p>
            <w:pPr>
              <w:spacing w:after="0"/>
            </w:pPr>
            <w:r>
              <w:rPr>
                <w:sz w:val="16"/>
              </w:rPr>
              <w:t>Draft present</w:t>
            </w:r>
          </w:p>
        </w:tc>
        <w:tc>
          <w:tcPr>
            <w:tcW w:type="dxa" w:w="3000"/>
            <w:vAlign w:val="top"/>
            <w:tcMar>
              <w:top w:w="80" w:type="dxa"/>
              <w:start w:w="120" w:type="dxa"/>
              <w:bottom w:w="80" w:type="dxa"/>
              <w:end w:w="120" w:type="dxa"/>
            </w:tcMar>
          </w:tcPr>
          <w:p>
            <w:pPr>
              <w:spacing w:after="0"/>
            </w:pPr>
            <w:r>
              <w:rPr>
                <w:sz w:val="16"/>
              </w:rPr>
              <w:t>Covers headset, vision, hearing, color, voice and symptoms.</w:t>
            </w:r>
          </w:p>
        </w:tc>
        <w:tc>
          <w:tcPr>
            <w:tcW w:type="dxa" w:w="3510"/>
            <w:vAlign w:val="top"/>
            <w:tcMar>
              <w:top w:w="80" w:type="dxa"/>
              <w:start w:w="120" w:type="dxa"/>
              <w:bottom w:w="80" w:type="dxa"/>
              <w:end w:w="120" w:type="dxa"/>
            </w:tcMar>
          </w:tcPr>
          <w:p>
            <w:pPr>
              <w:spacing w:after="0"/>
            </w:pPr>
            <w:r>
              <w:rPr>
                <w:sz w:val="16"/>
              </w:rPr>
              <w:t>Freeze scientifically justified rules, symptom thresholds, calibration retries and record retention; avoid unnecessary medical detail.</w:t>
            </w:r>
          </w:p>
        </w:tc>
      </w:tr>
      <w:tr>
        <w:trPr>
          <w:cantSplit/>
        </w:trPr>
        <w:tc>
          <w:tcPr>
            <w:tcW w:type="dxa" w:w="1600"/>
            <w:vAlign w:val="top"/>
            <w:tcMar>
              <w:top w:w="80" w:type="dxa"/>
              <w:start w:w="120" w:type="dxa"/>
              <w:bottom w:w="80" w:type="dxa"/>
              <w:end w:w="120" w:type="dxa"/>
            </w:tcMar>
          </w:tcPr>
          <w:p>
            <w:pPr>
              <w:spacing w:after="0"/>
            </w:pPr>
            <w:r>
              <w:rPr>
                <w:sz w:val="16"/>
              </w:rPr>
              <w:t>Questionnaires</w:t>
            </w:r>
          </w:p>
        </w:tc>
        <w:tc>
          <w:tcPr>
            <w:tcW w:type="dxa" w:w="1250"/>
            <w:vAlign w:val="top"/>
            <w:tcMar>
              <w:top w:w="80" w:type="dxa"/>
              <w:start w:w="120" w:type="dxa"/>
              <w:bottom w:w="80" w:type="dxa"/>
              <w:end w:w="120" w:type="dxa"/>
            </w:tcMar>
          </w:tcPr>
          <w:p>
            <w:pPr>
              <w:spacing w:after="0"/>
            </w:pPr>
            <w:r>
              <w:rPr>
                <w:sz w:val="16"/>
              </w:rPr>
              <w:t>Not final</w:t>
            </w:r>
          </w:p>
        </w:tc>
        <w:tc>
          <w:tcPr>
            <w:tcW w:type="dxa" w:w="3000"/>
            <w:vAlign w:val="top"/>
            <w:tcMar>
              <w:top w:w="80" w:type="dxa"/>
              <w:start w:w="120" w:type="dxa"/>
              <w:bottom w:w="80" w:type="dxa"/>
              <w:end w:w="120" w:type="dxa"/>
            </w:tcMar>
          </w:tcPr>
          <w:p>
            <w:pPr>
              <w:spacing w:after="0"/>
            </w:pPr>
            <w:r>
              <w:rPr>
                <w:sz w:val="16"/>
              </w:rPr>
              <w:t>NASA-TLX, custom checks, symptom check and comparison questions present.</w:t>
            </w:r>
          </w:p>
        </w:tc>
        <w:tc>
          <w:tcPr>
            <w:tcW w:type="dxa" w:w="3510"/>
            <w:vAlign w:val="top"/>
            <w:tcMar>
              <w:top w:w="80" w:type="dxa"/>
              <w:start w:w="120" w:type="dxa"/>
              <w:bottom w:w="80" w:type="dxa"/>
              <w:end w:w="120" w:type="dxa"/>
            </w:tcMar>
          </w:tcPr>
          <w:p>
            <w:pPr>
              <w:spacing w:after="0"/>
            </w:pPr>
            <w:r>
              <w:rPr>
                <w:sz w:val="16"/>
              </w:rPr>
              <w:t>Choose full SSQ vs adapted check; decide SUS; reduce repeated burden; freeze scoring/timing/optional status.</w:t>
            </w:r>
          </w:p>
        </w:tc>
      </w:tr>
      <w:tr>
        <w:trPr>
          <w:cantSplit/>
        </w:trPr>
        <w:tc>
          <w:tcPr>
            <w:tcW w:type="dxa" w:w="1600"/>
            <w:vAlign w:val="top"/>
            <w:tcMar>
              <w:top w:w="80" w:type="dxa"/>
              <w:start w:w="120" w:type="dxa"/>
              <w:bottom w:w="80" w:type="dxa"/>
              <w:end w:w="120" w:type="dxa"/>
            </w:tcMar>
          </w:tcPr>
          <w:p>
            <w:pPr>
              <w:spacing w:after="0"/>
            </w:pPr>
            <w:r>
              <w:rPr>
                <w:sz w:val="16"/>
              </w:rPr>
              <w:t>Voice script</w:t>
            </w:r>
          </w:p>
        </w:tc>
        <w:tc>
          <w:tcPr>
            <w:tcW w:type="dxa" w:w="1250"/>
            <w:vAlign w:val="top"/>
            <w:tcMar>
              <w:top w:w="80" w:type="dxa"/>
              <w:start w:w="120" w:type="dxa"/>
              <w:bottom w:w="80" w:type="dxa"/>
              <w:end w:w="120" w:type="dxa"/>
            </w:tcMar>
          </w:tcPr>
          <w:p>
            <w:pPr>
              <w:spacing w:after="0"/>
            </w:pPr>
            <w:r>
              <w:rPr>
                <w:sz w:val="16"/>
              </w:rPr>
              <w:t>Draft present</w:t>
            </w:r>
          </w:p>
        </w:tc>
        <w:tc>
          <w:tcPr>
            <w:tcW w:type="dxa" w:w="3000"/>
            <w:vAlign w:val="top"/>
            <w:tcMar>
              <w:top w:w="80" w:type="dxa"/>
              <w:start w:w="120" w:type="dxa"/>
              <w:bottom w:w="80" w:type="dxa"/>
              <w:end w:w="120" w:type="dxa"/>
            </w:tcMar>
          </w:tcPr>
          <w:p>
            <w:pPr>
              <w:spacing w:after="0"/>
            </w:pPr>
            <w:r>
              <w:rPr>
                <w:sz w:val="16"/>
              </w:rPr>
              <w:t>Neutral 1–2 minute script and staff workflow included.</w:t>
            </w:r>
          </w:p>
        </w:tc>
        <w:tc>
          <w:tcPr>
            <w:tcW w:type="dxa" w:w="3510"/>
            <w:vAlign w:val="top"/>
            <w:tcMar>
              <w:top w:w="80" w:type="dxa"/>
              <w:start w:w="120" w:type="dxa"/>
              <w:bottom w:w="80" w:type="dxa"/>
              <w:end w:w="120" w:type="dxa"/>
            </w:tcMar>
          </w:tcPr>
          <w:p>
            <w:pPr>
              <w:spacing w:after="0"/>
            </w:pPr>
            <w:r>
              <w:rPr>
                <w:sz w:val="16"/>
              </w:rPr>
              <w:t>Approve exact script, microphone/settings, retry limit, fixed prompt manifest and no-identifier handling.</w:t>
            </w:r>
          </w:p>
        </w:tc>
      </w:tr>
      <w:tr>
        <w:trPr>
          <w:cantSplit/>
        </w:trPr>
        <w:tc>
          <w:tcPr>
            <w:tcW w:type="dxa" w:w="1600"/>
            <w:vAlign w:val="top"/>
            <w:tcMar>
              <w:top w:w="80" w:type="dxa"/>
              <w:start w:w="120" w:type="dxa"/>
              <w:bottom w:w="80" w:type="dxa"/>
              <w:end w:w="120" w:type="dxa"/>
            </w:tcMar>
          </w:tcPr>
          <w:p>
            <w:pPr>
              <w:spacing w:after="0"/>
            </w:pPr>
            <w:r>
              <w:rPr>
                <w:sz w:val="16"/>
              </w:rPr>
              <w:t>Voice vendor</w:t>
            </w:r>
          </w:p>
        </w:tc>
        <w:tc>
          <w:tcPr>
            <w:tcW w:type="dxa" w:w="1250"/>
            <w:vAlign w:val="top"/>
            <w:tcMar>
              <w:top w:w="80" w:type="dxa"/>
              <w:start w:w="120" w:type="dxa"/>
              <w:bottom w:w="80" w:type="dxa"/>
              <w:end w:w="120" w:type="dxa"/>
            </w:tcMar>
          </w:tcPr>
          <w:p>
            <w:pPr>
              <w:spacing w:after="0"/>
            </w:pPr>
            <w:r>
              <w:rPr>
                <w:sz w:val="16"/>
              </w:rPr>
              <w:t>Blocking</w:t>
            </w:r>
          </w:p>
        </w:tc>
        <w:tc>
          <w:tcPr>
            <w:tcW w:type="dxa" w:w="3000"/>
            <w:vAlign w:val="top"/>
            <w:tcMar>
              <w:top w:w="80" w:type="dxa"/>
              <w:start w:w="120" w:type="dxa"/>
              <w:bottom w:w="80" w:type="dxa"/>
              <w:end w:w="120" w:type="dxa"/>
            </w:tcMar>
          </w:tcPr>
          <w:p>
            <w:pPr>
              <w:spacing w:after="0"/>
            </w:pPr>
            <w:r>
              <w:rPr>
                <w:sz w:val="16"/>
              </w:rPr>
              <w:t>ElevenLabs IVC is proposed, not approved.</w:t>
            </w:r>
          </w:p>
        </w:tc>
        <w:tc>
          <w:tcPr>
            <w:tcW w:type="dxa" w:w="3510"/>
            <w:vAlign w:val="top"/>
            <w:tcMar>
              <w:top w:w="80" w:type="dxa"/>
              <w:start w:w="120" w:type="dxa"/>
              <w:bottom w:w="80" w:type="dxa"/>
              <w:end w:w="120" w:type="dxa"/>
            </w:tcMar>
          </w:tcPr>
          <w:p>
            <w:pPr>
              <w:spacing w:after="0"/>
            </w:pPr>
            <w:r>
              <w:rPr>
                <w:sz w:val="16"/>
              </w:rPr>
              <w:t>Complete UCF privacy/security/procurement review; verify opt-out, access, region, retention, deletion, contract/DPA and fallback path.</w:t>
            </w:r>
          </w:p>
        </w:tc>
      </w:tr>
      <w:tr>
        <w:trPr>
          <w:cantSplit/>
        </w:trPr>
        <w:tc>
          <w:tcPr>
            <w:tcW w:type="dxa" w:w="1600"/>
            <w:vAlign w:val="top"/>
            <w:tcMar>
              <w:top w:w="80" w:type="dxa"/>
              <w:start w:w="120" w:type="dxa"/>
              <w:bottom w:w="80" w:type="dxa"/>
              <w:end w:w="120" w:type="dxa"/>
            </w:tcMar>
          </w:tcPr>
          <w:p>
            <w:pPr>
              <w:spacing w:after="0"/>
            </w:pPr>
            <w:r>
              <w:rPr>
                <w:sz w:val="16"/>
              </w:rPr>
              <w:t>Data management</w:t>
            </w:r>
          </w:p>
        </w:tc>
        <w:tc>
          <w:tcPr>
            <w:tcW w:type="dxa" w:w="1250"/>
            <w:vAlign w:val="top"/>
            <w:tcMar>
              <w:top w:w="80" w:type="dxa"/>
              <w:start w:w="120" w:type="dxa"/>
              <w:bottom w:w="80" w:type="dxa"/>
              <w:end w:w="120" w:type="dxa"/>
            </w:tcMar>
          </w:tcPr>
          <w:p>
            <w:pPr>
              <w:spacing w:after="0"/>
            </w:pPr>
            <w:r>
              <w:rPr>
                <w:sz w:val="16"/>
              </w:rPr>
              <w:t>Detailed but open</w:t>
            </w:r>
          </w:p>
        </w:tc>
        <w:tc>
          <w:tcPr>
            <w:tcW w:type="dxa" w:w="3000"/>
            <w:vAlign w:val="top"/>
            <w:tcMar>
              <w:top w:w="80" w:type="dxa"/>
              <w:start w:w="120" w:type="dxa"/>
              <w:bottom w:w="80" w:type="dxa"/>
              <w:end w:w="120" w:type="dxa"/>
            </w:tcMar>
          </w:tcPr>
          <w:p>
            <w:pPr>
              <w:spacing w:after="0"/>
            </w:pPr>
            <w:r>
              <w:rPr>
                <w:sz w:val="16"/>
              </w:rPr>
              <w:t>Flow and deletion log are described.</w:t>
            </w:r>
          </w:p>
        </w:tc>
        <w:tc>
          <w:tcPr>
            <w:tcW w:type="dxa" w:w="3510"/>
            <w:vAlign w:val="top"/>
            <w:tcMar>
              <w:top w:w="80" w:type="dxa"/>
              <w:start w:w="120" w:type="dxa"/>
              <w:bottom w:w="80" w:type="dxa"/>
              <w:end w:w="120" w:type="dxa"/>
            </w:tcMar>
          </w:tcPr>
          <w:p>
            <w:pPr>
              <w:spacing w:after="0"/>
            </w:pPr>
            <w:r>
              <w:rPr>
                <w:sz w:val="16"/>
              </w:rPr>
              <w:t>Name approved UCF repository, roles, retention periods, linkage-key location, device protections, backup policy and sharing plan.</w:t>
            </w:r>
          </w:p>
        </w:tc>
      </w:tr>
      <w:tr>
        <w:trPr>
          <w:cantSplit/>
        </w:trPr>
        <w:tc>
          <w:tcPr>
            <w:tcW w:type="dxa" w:w="1600"/>
            <w:vAlign w:val="top"/>
            <w:tcMar>
              <w:top w:w="80" w:type="dxa"/>
              <w:start w:w="120" w:type="dxa"/>
              <w:bottom w:w="80" w:type="dxa"/>
              <w:end w:w="120" w:type="dxa"/>
            </w:tcMar>
          </w:tcPr>
          <w:p>
            <w:pPr>
              <w:spacing w:after="0"/>
            </w:pPr>
            <w:r>
              <w:rPr>
                <w:sz w:val="16"/>
              </w:rPr>
              <w:t>Sample/power</w:t>
            </w:r>
          </w:p>
        </w:tc>
        <w:tc>
          <w:tcPr>
            <w:tcW w:type="dxa" w:w="1250"/>
            <w:vAlign w:val="top"/>
            <w:tcMar>
              <w:top w:w="80" w:type="dxa"/>
              <w:start w:w="120" w:type="dxa"/>
              <w:bottom w:w="80" w:type="dxa"/>
              <w:end w:w="120" w:type="dxa"/>
            </w:tcMar>
          </w:tcPr>
          <w:p>
            <w:pPr>
              <w:spacing w:after="0"/>
            </w:pPr>
            <w:r>
              <w:rPr>
                <w:sz w:val="16"/>
              </w:rPr>
              <w:t>Open</w:t>
            </w:r>
          </w:p>
        </w:tc>
        <w:tc>
          <w:tcPr>
            <w:tcW w:type="dxa" w:w="3000"/>
            <w:vAlign w:val="top"/>
            <w:tcMar>
              <w:top w:w="80" w:type="dxa"/>
              <w:start w:w="120" w:type="dxa"/>
              <w:bottom w:w="80" w:type="dxa"/>
              <w:end w:w="120" w:type="dxa"/>
            </w:tcMar>
          </w:tcPr>
          <w:p>
            <w:pPr>
              <w:spacing w:after="0"/>
            </w:pPr>
            <w:r>
              <w:rPr>
                <w:sz w:val="16"/>
              </w:rPr>
              <w:t>48 complete datasets proposed.</w:t>
            </w:r>
          </w:p>
        </w:tc>
        <w:tc>
          <w:tcPr>
            <w:tcW w:type="dxa" w:w="3510"/>
            <w:vAlign w:val="top"/>
            <w:tcMar>
              <w:top w:w="80" w:type="dxa"/>
              <w:start w:w="120" w:type="dxa"/>
              <w:bottom w:w="80" w:type="dxa"/>
              <w:end w:w="120" w:type="dxa"/>
            </w:tcMar>
          </w:tcPr>
          <w:p>
            <w:pPr>
              <w:spacing w:after="0"/>
            </w:pPr>
            <w:r>
              <w:rPr>
                <w:sz w:val="16"/>
              </w:rPr>
              <w:t>Run simulation-based sensitivity/power analysis and set enrolled maximum including screening, withdrawal and technical attrition.</w:t>
            </w:r>
          </w:p>
        </w:tc>
      </w:tr>
      <w:tr>
        <w:trPr>
          <w:cantSplit/>
        </w:trPr>
        <w:tc>
          <w:tcPr>
            <w:tcW w:type="dxa" w:w="1600"/>
            <w:vAlign w:val="top"/>
            <w:tcMar>
              <w:top w:w="80" w:type="dxa"/>
              <w:start w:w="120" w:type="dxa"/>
              <w:bottom w:w="80" w:type="dxa"/>
              <w:end w:w="120" w:type="dxa"/>
            </w:tcMar>
          </w:tcPr>
          <w:p>
            <w:pPr>
              <w:spacing w:after="0"/>
            </w:pPr>
            <w:r>
              <w:rPr>
                <w:sz w:val="16"/>
              </w:rPr>
              <w:t>Compensation</w:t>
            </w:r>
          </w:p>
        </w:tc>
        <w:tc>
          <w:tcPr>
            <w:tcW w:type="dxa" w:w="1250"/>
            <w:vAlign w:val="top"/>
            <w:tcMar>
              <w:top w:w="80" w:type="dxa"/>
              <w:start w:w="120" w:type="dxa"/>
              <w:bottom w:w="80" w:type="dxa"/>
              <w:end w:w="120" w:type="dxa"/>
            </w:tcMar>
          </w:tcPr>
          <w:p>
            <w:pPr>
              <w:spacing w:after="0"/>
            </w:pPr>
            <w:r>
              <w:rPr>
                <w:sz w:val="16"/>
              </w:rPr>
              <w:t>Open</w:t>
            </w:r>
          </w:p>
        </w:tc>
        <w:tc>
          <w:tcPr>
            <w:tcW w:type="dxa" w:w="3000"/>
            <w:vAlign w:val="top"/>
            <w:tcMar>
              <w:top w:w="80" w:type="dxa"/>
              <w:start w:w="120" w:type="dxa"/>
              <w:bottom w:w="80" w:type="dxa"/>
              <w:end w:w="120" w:type="dxa"/>
            </w:tcMar>
          </w:tcPr>
          <w:p>
            <w:pPr>
              <w:spacing w:after="0"/>
            </w:pPr>
            <w:r>
              <w:rPr>
                <w:sz w:val="16"/>
              </w:rPr>
              <w:t>No final amount/form/proration.</w:t>
            </w:r>
          </w:p>
        </w:tc>
        <w:tc>
          <w:tcPr>
            <w:tcW w:type="dxa" w:w="3510"/>
            <w:vAlign w:val="top"/>
            <w:tcMar>
              <w:top w:w="80" w:type="dxa"/>
              <w:start w:w="120" w:type="dxa"/>
              <w:bottom w:w="80" w:type="dxa"/>
              <w:end w:w="120" w:type="dxa"/>
            </w:tcMar>
          </w:tcPr>
          <w:p>
            <w:pPr>
              <w:spacing w:after="0"/>
            </w:pPr>
            <w:r>
              <w:rPr>
                <w:sz w:val="16"/>
              </w:rPr>
              <w:t>Set amount, form, funding, payment record, withdrawal/safety-stop proration and recruitment wording.</w:t>
            </w:r>
          </w:p>
        </w:tc>
      </w:tr>
      <w:tr>
        <w:trPr>
          <w:cantSplit/>
        </w:trPr>
        <w:tc>
          <w:tcPr>
            <w:tcW w:type="dxa" w:w="1600"/>
            <w:vAlign w:val="top"/>
            <w:tcMar>
              <w:top w:w="80" w:type="dxa"/>
              <w:start w:w="120" w:type="dxa"/>
              <w:bottom w:w="80" w:type="dxa"/>
              <w:end w:w="120" w:type="dxa"/>
            </w:tcMar>
          </w:tcPr>
          <w:p>
            <w:pPr>
              <w:spacing w:after="0"/>
            </w:pPr>
            <w:r>
              <w:rPr>
                <w:sz w:val="16"/>
              </w:rPr>
              <w:t>Runtime fidelity</w:t>
            </w:r>
          </w:p>
        </w:tc>
        <w:tc>
          <w:tcPr>
            <w:tcW w:type="dxa" w:w="1250"/>
            <w:vAlign w:val="top"/>
            <w:tcMar>
              <w:top w:w="80" w:type="dxa"/>
              <w:start w:w="120" w:type="dxa"/>
              <w:bottom w:w="80" w:type="dxa"/>
              <w:end w:w="120" w:type="dxa"/>
            </w:tcMar>
          </w:tcPr>
          <w:p>
            <w:pPr>
              <w:spacing w:after="0"/>
            </w:pPr>
            <w:r>
              <w:rPr>
                <w:sz w:val="16"/>
              </w:rPr>
              <w:t>Blocking</w:t>
            </w:r>
          </w:p>
        </w:tc>
        <w:tc>
          <w:tcPr>
            <w:tcW w:type="dxa" w:w="3000"/>
            <w:vAlign w:val="top"/>
            <w:tcMar>
              <w:top w:w="80" w:type="dxa"/>
              <w:start w:w="120" w:type="dxa"/>
              <w:bottom w:w="80" w:type="dxa"/>
              <w:end w:w="120" w:type="dxa"/>
            </w:tcMar>
          </w:tcPr>
          <w:p>
            <w:pPr>
              <w:spacing w:after="0"/>
            </w:pPr>
            <w:r>
              <w:rPr>
                <w:sz w:val="16"/>
              </w:rPr>
              <w:t>Current prototype is a 14-round shelf task.</w:t>
            </w:r>
          </w:p>
        </w:tc>
        <w:tc>
          <w:tcPr>
            <w:tcW w:type="dxa" w:w="3510"/>
            <w:vAlign w:val="top"/>
            <w:tcMar>
              <w:top w:w="80" w:type="dxa"/>
              <w:start w:w="120" w:type="dxa"/>
              <w:bottom w:w="80" w:type="dxa"/>
              <w:end w:w="120" w:type="dxa"/>
            </w:tcMar>
          </w:tcPr>
          <w:p>
            <w:pPr>
              <w:spacing w:after="0"/>
            </w:pPr>
            <w:r>
              <w:rPr>
                <w:sz w:val="16"/>
              </w:rPr>
              <w:t>Implement and verify eight planes, 64 trials, four conditions, Williams schedule, matched hints, participant voice playback and complete telemetry.</w:t>
            </w:r>
          </w:p>
        </w:tc>
      </w:tr>
      <w:tr>
        <w:trPr>
          <w:cantSplit/>
        </w:trPr>
        <w:tc>
          <w:tcPr>
            <w:tcW w:type="dxa" w:w="1600"/>
            <w:vAlign w:val="top"/>
            <w:tcMar>
              <w:top w:w="80" w:type="dxa"/>
              <w:start w:w="120" w:type="dxa"/>
              <w:bottom w:w="80" w:type="dxa"/>
              <w:end w:w="120" w:type="dxa"/>
            </w:tcMar>
          </w:tcPr>
          <w:p>
            <w:pPr>
              <w:spacing w:after="0"/>
            </w:pPr>
            <w:r>
              <w:rPr>
                <w:sz w:val="16"/>
              </w:rPr>
              <w:t>Release validation</w:t>
            </w:r>
          </w:p>
        </w:tc>
        <w:tc>
          <w:tcPr>
            <w:tcW w:type="dxa" w:w="1250"/>
            <w:vAlign w:val="top"/>
            <w:tcMar>
              <w:top w:w="80" w:type="dxa"/>
              <w:start w:w="120" w:type="dxa"/>
              <w:bottom w:w="80" w:type="dxa"/>
              <w:end w:w="120" w:type="dxa"/>
            </w:tcMar>
          </w:tcPr>
          <w:p>
            <w:pPr>
              <w:spacing w:after="0"/>
            </w:pPr>
            <w:r>
              <w:rPr>
                <w:sz w:val="16"/>
              </w:rPr>
              <w:t>Missing</w:t>
            </w:r>
          </w:p>
        </w:tc>
        <w:tc>
          <w:tcPr>
            <w:tcW w:type="dxa" w:w="3000"/>
            <w:vAlign w:val="top"/>
            <w:tcMar>
              <w:top w:w="80" w:type="dxa"/>
              <w:start w:w="120" w:type="dxa"/>
              <w:bottom w:w="80" w:type="dxa"/>
              <w:end w:w="120" w:type="dxa"/>
            </w:tcMar>
          </w:tcPr>
          <w:p>
            <w:pPr>
              <w:spacing w:after="0"/>
            </w:pPr>
            <w:r>
              <w:rPr>
                <w:sz w:val="16"/>
              </w:rPr>
              <w:t>Session record anticipates build/manifest logging.</w:t>
            </w:r>
          </w:p>
        </w:tc>
        <w:tc>
          <w:tcPr>
            <w:tcW w:type="dxa" w:w="3510"/>
            <w:vAlign w:val="top"/>
            <w:tcMar>
              <w:top w:w="80" w:type="dxa"/>
              <w:start w:w="120" w:type="dxa"/>
              <w:bottom w:w="80" w:type="dxa"/>
              <w:end w:w="120" w:type="dxa"/>
            </w:tcMar>
          </w:tcPr>
          <w:p>
            <w:pPr>
              <w:spacing w:after="0"/>
            </w:pPr>
            <w:r>
              <w:rPr>
                <w:sz w:val="16"/>
              </w:rPr>
              <w:t>Freeze release build, deterministic manifests, test calibration/hint/voice/data/deletion paths with nonparticipant data, and archive evidence.</w:t>
            </w:r>
          </w:p>
        </w:tc>
      </w:tr>
      <w:tr>
        <w:trPr>
          <w:cantSplit/>
        </w:trPr>
        <w:tc>
          <w:tcPr>
            <w:tcW w:type="dxa" w:w="1600"/>
            <w:vAlign w:val="top"/>
            <w:tcMar>
              <w:top w:w="80" w:type="dxa"/>
              <w:start w:w="120" w:type="dxa"/>
              <w:bottom w:w="80" w:type="dxa"/>
              <w:end w:w="120" w:type="dxa"/>
            </w:tcMar>
          </w:tcPr>
          <w:p>
            <w:pPr>
              <w:spacing w:after="0"/>
            </w:pPr>
            <w:r>
              <w:rPr>
                <w:sz w:val="16"/>
              </w:rPr>
              <w:t>Post-participation</w:t>
            </w:r>
          </w:p>
        </w:tc>
        <w:tc>
          <w:tcPr>
            <w:tcW w:type="dxa" w:w="1250"/>
            <w:vAlign w:val="top"/>
            <w:tcMar>
              <w:top w:w="80" w:type="dxa"/>
              <w:start w:w="120" w:type="dxa"/>
              <w:bottom w:w="80" w:type="dxa"/>
              <w:end w:w="120" w:type="dxa"/>
            </w:tcMar>
          </w:tcPr>
          <w:p>
            <w:pPr>
              <w:spacing w:after="0"/>
            </w:pPr>
            <w:r>
              <w:rPr>
                <w:sz w:val="16"/>
              </w:rPr>
              <w:t>Draft present</w:t>
            </w:r>
          </w:p>
        </w:tc>
        <w:tc>
          <w:tcPr>
            <w:tcW w:type="dxa" w:w="3000"/>
            <w:vAlign w:val="top"/>
            <w:tcMar>
              <w:top w:w="80" w:type="dxa"/>
              <w:start w:w="120" w:type="dxa"/>
              <w:bottom w:w="80" w:type="dxa"/>
              <w:end w:w="120" w:type="dxa"/>
            </w:tcMar>
          </w:tcPr>
          <w:p>
            <w:pPr>
              <w:spacing w:after="0"/>
            </w:pPr>
            <w:r>
              <w:rPr>
                <w:sz w:val="16"/>
              </w:rPr>
              <w:t>Explains manipulation and voice cleanup.</w:t>
            </w:r>
          </w:p>
        </w:tc>
        <w:tc>
          <w:tcPr>
            <w:tcW w:type="dxa" w:w="3510"/>
            <w:vAlign w:val="top"/>
            <w:tcMar>
              <w:top w:w="80" w:type="dxa"/>
              <w:start w:w="120" w:type="dxa"/>
              <w:bottom w:w="80" w:type="dxa"/>
              <w:end w:w="120" w:type="dxa"/>
            </w:tcMar>
          </w:tcPr>
          <w:p>
            <w:pPr>
              <w:spacing w:after="0"/>
            </w:pPr>
            <w:r>
              <w:rPr>
                <w:sz w:val="16"/>
              </w:rPr>
              <w:t>Confirm whether ordinary hypothesis withholding needs HRP-509; finalize contacts and summary opt-in method.</w:t>
            </w:r>
          </w:p>
        </w:tc>
      </w:tr>
      <w:tr>
        <w:trPr>
          <w:cantSplit/>
        </w:trPr>
        <w:tc>
          <w:tcPr>
            <w:tcW w:type="dxa" w:w="1600"/>
            <w:vAlign w:val="top"/>
            <w:tcMar>
              <w:top w:w="80" w:type="dxa"/>
              <w:start w:w="120" w:type="dxa"/>
              <w:bottom w:w="80" w:type="dxa"/>
              <w:end w:w="120" w:type="dxa"/>
            </w:tcMar>
          </w:tcPr>
          <w:p>
            <w:pPr>
              <w:spacing w:after="0"/>
            </w:pPr>
            <w:r>
              <w:rPr>
                <w:sz w:val="16"/>
              </w:rPr>
              <w:t>Adverse event/deviation log</w:t>
            </w:r>
          </w:p>
        </w:tc>
        <w:tc>
          <w:tcPr>
            <w:tcW w:type="dxa" w:w="1250"/>
            <w:vAlign w:val="top"/>
            <w:tcMar>
              <w:top w:w="80" w:type="dxa"/>
              <w:start w:w="120" w:type="dxa"/>
              <w:bottom w:w="80" w:type="dxa"/>
              <w:end w:w="120" w:type="dxa"/>
            </w:tcMar>
          </w:tcPr>
          <w:p>
            <w:pPr>
              <w:spacing w:after="0"/>
            </w:pPr>
            <w:r>
              <w:rPr>
                <w:sz w:val="16"/>
              </w:rPr>
              <w:t>Present</w:t>
            </w:r>
          </w:p>
        </w:tc>
        <w:tc>
          <w:tcPr>
            <w:tcW w:type="dxa" w:w="3000"/>
            <w:vAlign w:val="top"/>
            <w:tcMar>
              <w:top w:w="80" w:type="dxa"/>
              <w:start w:w="120" w:type="dxa"/>
              <w:bottom w:w="80" w:type="dxa"/>
              <w:end w:w="120" w:type="dxa"/>
            </w:tcMar>
          </w:tcPr>
          <w:p>
            <w:pPr>
              <w:spacing w:after="0"/>
            </w:pPr>
            <w:r>
              <w:rPr>
                <w:sz w:val="16"/>
              </w:rPr>
              <w:t>Researcher session/event record is strong.</w:t>
            </w:r>
          </w:p>
        </w:tc>
        <w:tc>
          <w:tcPr>
            <w:tcW w:type="dxa" w:w="3510"/>
            <w:vAlign w:val="top"/>
            <w:tcMar>
              <w:top w:w="80" w:type="dxa"/>
              <w:start w:w="120" w:type="dxa"/>
              <w:bottom w:w="80" w:type="dxa"/>
              <w:end w:w="120" w:type="dxa"/>
            </w:tcMar>
          </w:tcPr>
          <w:p>
            <w:pPr>
              <w:spacing w:after="0"/>
            </w:pPr>
            <w:r>
              <w:rPr>
                <w:sz w:val="16"/>
              </w:rPr>
              <w:t>Confirm reportability thresholds, PI review cadence, emergency contacts and document retention.</w:t>
            </w:r>
          </w:p>
        </w:tc>
      </w:tr>
    </w:tbl>
    <w:p>
      <w:pPr>
        <w:pStyle w:val="Heading1"/>
        <w:keepNext/>
      </w:pPr>
      <w:r>
        <w:t>8. Open-decision register</w:t>
      </w:r>
    </w:p>
    <w:tbl>
      <w:tblPr>
        <w:tblStyle w:val="TableGrid"/>
        <w:tblW w:type="dxa" w:w="9360"/>
        <w:jc w:val="center"/>
        <w:tblLayout w:type="fixed"/>
        <w:tblLook w:firstColumn="1" w:firstRow="1" w:lastColumn="0" w:lastRow="0" w:noHBand="0" w:noVBand="1" w:val="04A0"/>
      </w:tblPr>
      <w:tblGrid>
        <w:gridCol w:w="500"/>
        <w:gridCol w:w="1550"/>
        <w:gridCol w:w="4970"/>
        <w:gridCol w:w="2340"/>
      </w:tblGrid>
      <w:tr>
        <w:trPr>
          <w:tblHeader w:val="true"/>
          <w:cantSplit/>
        </w:trPr>
        <w:tc>
          <w:tcPr>
            <w:tcW w:type="dxa" w:w="500"/>
            <w:shd w:fill="F2F4F7"/>
            <w:vAlign w:val="center"/>
          </w:tcPr>
          <w:p>
            <w:pPr>
              <w:spacing w:after="0"/>
            </w:pPr>
            <w:r>
              <w:rPr>
                <w:b/>
                <w:color w:val="1F4D78"/>
                <w:sz w:val="16"/>
              </w:rPr>
              <w:t>#</w:t>
            </w:r>
          </w:p>
        </w:tc>
        <w:tc>
          <w:tcPr>
            <w:tcW w:type="dxa" w:w="1550"/>
            <w:shd w:fill="F2F4F7"/>
            <w:vAlign w:val="center"/>
          </w:tcPr>
          <w:p>
            <w:pPr>
              <w:spacing w:after="0"/>
            </w:pPr>
            <w:r>
              <w:rPr>
                <w:b/>
                <w:color w:val="1F4D78"/>
                <w:sz w:val="16"/>
              </w:rPr>
              <w:t>Decision area</w:t>
            </w:r>
          </w:p>
        </w:tc>
        <w:tc>
          <w:tcPr>
            <w:tcW w:type="dxa" w:w="4970"/>
            <w:shd w:fill="F2F4F7"/>
            <w:vAlign w:val="center"/>
          </w:tcPr>
          <w:p>
            <w:pPr>
              <w:spacing w:after="0"/>
            </w:pPr>
            <w:r>
              <w:rPr>
                <w:b/>
                <w:color w:val="1F4D78"/>
                <w:sz w:val="16"/>
              </w:rPr>
              <w:t>Question to close</w:t>
            </w:r>
          </w:p>
        </w:tc>
        <w:tc>
          <w:tcPr>
            <w:tcW w:type="dxa" w:w="2340"/>
            <w:shd w:fill="F2F4F7"/>
            <w:vAlign w:val="center"/>
          </w:tcPr>
          <w:p>
            <w:pPr>
              <w:spacing w:after="0"/>
            </w:pPr>
            <w:r>
              <w:rPr>
                <w:b/>
                <w:color w:val="1F4D78"/>
                <w:sz w:val="16"/>
              </w:rPr>
              <w:t>Owner/timing</w:t>
            </w:r>
          </w:p>
        </w:tc>
      </w:tr>
      <w:tr>
        <w:trPr>
          <w:cantSplit/>
        </w:trPr>
        <w:tc>
          <w:tcPr>
            <w:tcW w:type="dxa" w:w="500"/>
            <w:vAlign w:val="top"/>
            <w:tcMar>
              <w:top w:w="80" w:type="dxa"/>
              <w:start w:w="120" w:type="dxa"/>
              <w:bottom w:w="80" w:type="dxa"/>
              <w:end w:w="120" w:type="dxa"/>
            </w:tcMar>
          </w:tcPr>
          <w:p>
            <w:pPr>
              <w:spacing w:after="0"/>
            </w:pPr>
            <w:r>
              <w:rPr>
                <w:sz w:val="16"/>
              </w:rPr>
              <w:t>1</w:t>
            </w:r>
          </w:p>
        </w:tc>
        <w:tc>
          <w:tcPr>
            <w:tcW w:type="dxa" w:w="1550"/>
            <w:vAlign w:val="top"/>
            <w:tcMar>
              <w:top w:w="80" w:type="dxa"/>
              <w:start w:w="120" w:type="dxa"/>
              <w:bottom w:w="80" w:type="dxa"/>
              <w:end w:w="120" w:type="dxa"/>
            </w:tcMar>
          </w:tcPr>
          <w:p>
            <w:pPr>
              <w:spacing w:after="0"/>
            </w:pPr>
            <w:r>
              <w:rPr>
                <w:sz w:val="16"/>
              </w:rPr>
              <w:t>Governance</w:t>
            </w:r>
          </w:p>
        </w:tc>
        <w:tc>
          <w:tcPr>
            <w:tcW w:type="dxa" w:w="4970"/>
            <w:vAlign w:val="top"/>
            <w:tcMar>
              <w:top w:w="80" w:type="dxa"/>
              <w:start w:w="120" w:type="dxa"/>
              <w:bottom w:w="80" w:type="dxa"/>
              <w:end w:w="120" w:type="dxa"/>
            </w:tcMar>
          </w:tcPr>
          <w:p>
            <w:pPr>
              <w:spacing w:after="0"/>
            </w:pPr>
            <w:r>
              <w:rPr>
                <w:sz w:val="16"/>
              </w:rPr>
              <w:t>PI of record, faculty advisor, department, contacts, funding/conflicts, study dates, lab/room, ancillary reviews.</w:t>
            </w:r>
          </w:p>
        </w:tc>
        <w:tc>
          <w:tcPr>
            <w:tcW w:type="dxa" w:w="2340"/>
            <w:vAlign w:val="top"/>
            <w:tcMar>
              <w:top w:w="80" w:type="dxa"/>
              <w:start w:w="120" w:type="dxa"/>
              <w:bottom w:w="80" w:type="dxa"/>
              <w:end w:w="120" w:type="dxa"/>
            </w:tcMar>
          </w:tcPr>
          <w:p>
            <w:pPr>
              <w:spacing w:after="0"/>
            </w:pPr>
            <w:r>
              <w:rPr>
                <w:sz w:val="16"/>
              </w:rPr>
              <w:t>PI + advisor before Huron submission</w:t>
            </w:r>
          </w:p>
        </w:tc>
      </w:tr>
      <w:tr>
        <w:trPr>
          <w:cantSplit/>
        </w:trPr>
        <w:tc>
          <w:tcPr>
            <w:tcW w:type="dxa" w:w="500"/>
            <w:vAlign w:val="top"/>
            <w:tcMar>
              <w:top w:w="80" w:type="dxa"/>
              <w:start w:w="120" w:type="dxa"/>
              <w:bottom w:w="80" w:type="dxa"/>
              <w:end w:w="120" w:type="dxa"/>
            </w:tcMar>
          </w:tcPr>
          <w:p>
            <w:pPr>
              <w:spacing w:after="0"/>
            </w:pPr>
            <w:r>
              <w:rPr>
                <w:sz w:val="16"/>
              </w:rPr>
              <w:t>2</w:t>
            </w:r>
          </w:p>
        </w:tc>
        <w:tc>
          <w:tcPr>
            <w:tcW w:type="dxa" w:w="1550"/>
            <w:vAlign w:val="top"/>
            <w:tcMar>
              <w:top w:w="80" w:type="dxa"/>
              <w:start w:w="120" w:type="dxa"/>
              <w:bottom w:w="80" w:type="dxa"/>
              <w:end w:w="120" w:type="dxa"/>
            </w:tcMar>
          </w:tcPr>
          <w:p>
            <w:pPr>
              <w:spacing w:after="0"/>
            </w:pPr>
            <w:r>
              <w:rPr>
                <w:sz w:val="16"/>
              </w:rPr>
              <w:t>Review path</w:t>
            </w:r>
          </w:p>
        </w:tc>
        <w:tc>
          <w:tcPr>
            <w:tcW w:type="dxa" w:w="4970"/>
            <w:vAlign w:val="top"/>
            <w:tcMar>
              <w:top w:w="80" w:type="dxa"/>
              <w:start w:w="120" w:type="dxa"/>
              <w:bottom w:w="80" w:type="dxa"/>
              <w:end w:w="120" w:type="dxa"/>
            </w:tcMar>
          </w:tcPr>
          <w:p>
            <w:pPr>
              <w:spacing w:after="0"/>
            </w:pPr>
            <w:r>
              <w:rPr>
                <w:sz w:val="16"/>
              </w:rPr>
              <w:t>UCF determination of expedited/full-board/other level and whether HRP-509 is required.</w:t>
            </w:r>
          </w:p>
        </w:tc>
        <w:tc>
          <w:tcPr>
            <w:tcW w:type="dxa" w:w="2340"/>
            <w:vAlign w:val="top"/>
            <w:tcMar>
              <w:top w:w="80" w:type="dxa"/>
              <w:start w:w="120" w:type="dxa"/>
              <w:bottom w:w="80" w:type="dxa"/>
              <w:end w:w="120" w:type="dxa"/>
            </w:tcMar>
          </w:tcPr>
          <w:p>
            <w:pPr>
              <w:spacing w:after="0"/>
            </w:pPr>
            <w:r>
              <w:rPr>
                <w:sz w:val="16"/>
              </w:rPr>
              <w:t>UCF IRB consultation</w:t>
            </w:r>
          </w:p>
        </w:tc>
      </w:tr>
      <w:tr>
        <w:trPr>
          <w:cantSplit/>
        </w:trPr>
        <w:tc>
          <w:tcPr>
            <w:tcW w:type="dxa" w:w="500"/>
            <w:vAlign w:val="top"/>
            <w:tcMar>
              <w:top w:w="80" w:type="dxa"/>
              <w:start w:w="120" w:type="dxa"/>
              <w:bottom w:w="80" w:type="dxa"/>
              <w:end w:w="120" w:type="dxa"/>
            </w:tcMar>
          </w:tcPr>
          <w:p>
            <w:pPr>
              <w:spacing w:after="0"/>
            </w:pPr>
            <w:r>
              <w:rPr>
                <w:sz w:val="16"/>
              </w:rPr>
              <w:t>3</w:t>
            </w:r>
          </w:p>
        </w:tc>
        <w:tc>
          <w:tcPr>
            <w:tcW w:type="dxa" w:w="1550"/>
            <w:vAlign w:val="top"/>
            <w:tcMar>
              <w:top w:w="80" w:type="dxa"/>
              <w:start w:w="120" w:type="dxa"/>
              <w:bottom w:w="80" w:type="dxa"/>
              <w:end w:w="120" w:type="dxa"/>
            </w:tcMar>
          </w:tcPr>
          <w:p>
            <w:pPr>
              <w:spacing w:after="0"/>
            </w:pPr>
            <w:r>
              <w:rPr>
                <w:sz w:val="16"/>
              </w:rPr>
              <w:t>Voice technology</w:t>
            </w:r>
          </w:p>
        </w:tc>
        <w:tc>
          <w:tcPr>
            <w:tcW w:type="dxa" w:w="4970"/>
            <w:vAlign w:val="top"/>
            <w:tcMar>
              <w:top w:w="80" w:type="dxa"/>
              <w:start w:w="120" w:type="dxa"/>
              <w:bottom w:w="80" w:type="dxa"/>
              <w:end w:w="120" w:type="dxa"/>
            </w:tcMar>
          </w:tcPr>
          <w:p>
            <w:pPr>
              <w:spacing w:after="0"/>
            </w:pPr>
            <w:r>
              <w:rPr>
                <w:sz w:val="16"/>
              </w:rPr>
              <w:t>Approved provider or lower-risk on-device/institution-hosted alternative; account ownership; contract/security/privacy review.</w:t>
            </w:r>
          </w:p>
        </w:tc>
        <w:tc>
          <w:tcPr>
            <w:tcW w:type="dxa" w:w="2340"/>
            <w:vAlign w:val="top"/>
            <w:tcMar>
              <w:top w:w="80" w:type="dxa"/>
              <w:start w:w="120" w:type="dxa"/>
              <w:bottom w:w="80" w:type="dxa"/>
              <w:end w:w="120" w:type="dxa"/>
            </w:tcMar>
          </w:tcPr>
          <w:p>
            <w:pPr>
              <w:spacing w:after="0"/>
            </w:pPr>
            <w:r>
              <w:rPr>
                <w:sz w:val="16"/>
              </w:rPr>
              <w:t>PI + UCF privacy/security/procurement</w:t>
            </w:r>
          </w:p>
        </w:tc>
      </w:tr>
      <w:tr>
        <w:trPr>
          <w:cantSplit/>
        </w:trPr>
        <w:tc>
          <w:tcPr>
            <w:tcW w:type="dxa" w:w="500"/>
            <w:vAlign w:val="top"/>
            <w:tcMar>
              <w:top w:w="80" w:type="dxa"/>
              <w:start w:w="120" w:type="dxa"/>
              <w:bottom w:w="80" w:type="dxa"/>
              <w:end w:w="120" w:type="dxa"/>
            </w:tcMar>
          </w:tcPr>
          <w:p>
            <w:pPr>
              <w:spacing w:after="0"/>
            </w:pPr>
            <w:r>
              <w:rPr>
                <w:sz w:val="16"/>
              </w:rPr>
              <w:t>4</w:t>
            </w:r>
          </w:p>
        </w:tc>
        <w:tc>
          <w:tcPr>
            <w:tcW w:type="dxa" w:w="1550"/>
            <w:vAlign w:val="top"/>
            <w:tcMar>
              <w:top w:w="80" w:type="dxa"/>
              <w:start w:w="120" w:type="dxa"/>
              <w:bottom w:w="80" w:type="dxa"/>
              <w:end w:w="120" w:type="dxa"/>
            </w:tcMar>
          </w:tcPr>
          <w:p>
            <w:pPr>
              <w:spacing w:after="0"/>
            </w:pPr>
            <w:r>
              <w:rPr>
                <w:sz w:val="16"/>
              </w:rPr>
              <w:t>Voice retention</w:t>
            </w:r>
          </w:p>
        </w:tc>
        <w:tc>
          <w:tcPr>
            <w:tcW w:type="dxa" w:w="4970"/>
            <w:vAlign w:val="top"/>
            <w:tcMar>
              <w:top w:w="80" w:type="dxa"/>
              <w:start w:w="120" w:type="dxa"/>
              <w:bottom w:w="80" w:type="dxa"/>
              <w:end w:w="120" w:type="dxa"/>
            </w:tcMar>
          </w:tcPr>
          <w:p>
            <w:pPr>
              <w:spacing w:after="0"/>
            </w:pPr>
            <w:r>
              <w:rPr>
                <w:sz w:val="16"/>
              </w:rPr>
              <w:t>When local recording, provider sample/clone/history and headset clips are deleted; residual backup/log limits; failed-deletion response.</w:t>
            </w:r>
          </w:p>
        </w:tc>
        <w:tc>
          <w:tcPr>
            <w:tcW w:type="dxa" w:w="2340"/>
            <w:vAlign w:val="top"/>
            <w:tcMar>
              <w:top w:w="80" w:type="dxa"/>
              <w:start w:w="120" w:type="dxa"/>
              <w:bottom w:w="80" w:type="dxa"/>
              <w:end w:w="120" w:type="dxa"/>
            </w:tcMar>
          </w:tcPr>
          <w:p>
            <w:pPr>
              <w:spacing w:after="0"/>
            </w:pPr>
            <w:r>
              <w:rPr>
                <w:sz w:val="16"/>
              </w:rPr>
              <w:t>Vendor evidence + UCF approval</w:t>
            </w:r>
          </w:p>
        </w:tc>
      </w:tr>
      <w:tr>
        <w:trPr>
          <w:cantSplit/>
        </w:trPr>
        <w:tc>
          <w:tcPr>
            <w:tcW w:type="dxa" w:w="500"/>
            <w:vAlign w:val="top"/>
            <w:tcMar>
              <w:top w:w="80" w:type="dxa"/>
              <w:start w:w="120" w:type="dxa"/>
              <w:bottom w:w="80" w:type="dxa"/>
              <w:end w:w="120" w:type="dxa"/>
            </w:tcMar>
          </w:tcPr>
          <w:p>
            <w:pPr>
              <w:spacing w:after="0"/>
            </w:pPr>
            <w:r>
              <w:rPr>
                <w:sz w:val="16"/>
              </w:rPr>
              <w:t>5</w:t>
            </w:r>
          </w:p>
        </w:tc>
        <w:tc>
          <w:tcPr>
            <w:tcW w:type="dxa" w:w="1550"/>
            <w:vAlign w:val="top"/>
            <w:tcMar>
              <w:top w:w="80" w:type="dxa"/>
              <w:start w:w="120" w:type="dxa"/>
              <w:bottom w:w="80" w:type="dxa"/>
              <w:end w:w="120" w:type="dxa"/>
            </w:tcMar>
          </w:tcPr>
          <w:p>
            <w:pPr>
              <w:spacing w:after="0"/>
            </w:pPr>
            <w:r>
              <w:rPr>
                <w:sz w:val="16"/>
              </w:rPr>
              <w:t>Data storage</w:t>
            </w:r>
          </w:p>
        </w:tc>
        <w:tc>
          <w:tcPr>
            <w:tcW w:type="dxa" w:w="4970"/>
            <w:vAlign w:val="top"/>
            <w:tcMar>
              <w:top w:w="80" w:type="dxa"/>
              <w:start w:w="120" w:type="dxa"/>
              <w:bottom w:w="80" w:type="dxa"/>
              <w:end w:w="120" w:type="dxa"/>
            </w:tcMar>
          </w:tcPr>
          <w:p>
            <w:pPr>
              <w:spacing w:after="0"/>
            </w:pPr>
            <w:r>
              <w:rPr>
                <w:sz w:val="16"/>
              </w:rPr>
              <w:t>Named UCF repository, access roles, identity-key location, retention/destruction and public-sharing boundary.</w:t>
            </w:r>
          </w:p>
        </w:tc>
        <w:tc>
          <w:tcPr>
            <w:tcW w:type="dxa" w:w="2340"/>
            <w:vAlign w:val="top"/>
            <w:tcMar>
              <w:top w:w="80" w:type="dxa"/>
              <w:start w:w="120" w:type="dxa"/>
              <w:bottom w:w="80" w:type="dxa"/>
              <w:end w:w="120" w:type="dxa"/>
            </w:tcMar>
          </w:tcPr>
          <w:p>
            <w:pPr>
              <w:spacing w:after="0"/>
            </w:pPr>
            <w:r>
              <w:rPr>
                <w:sz w:val="16"/>
              </w:rPr>
              <w:t>PI + research IT/IRB</w:t>
            </w:r>
          </w:p>
        </w:tc>
      </w:tr>
      <w:tr>
        <w:trPr>
          <w:cantSplit/>
        </w:trPr>
        <w:tc>
          <w:tcPr>
            <w:tcW w:type="dxa" w:w="500"/>
            <w:vAlign w:val="top"/>
            <w:tcMar>
              <w:top w:w="80" w:type="dxa"/>
              <w:start w:w="120" w:type="dxa"/>
              <w:bottom w:w="80" w:type="dxa"/>
              <w:end w:w="120" w:type="dxa"/>
            </w:tcMar>
          </w:tcPr>
          <w:p>
            <w:pPr>
              <w:spacing w:after="0"/>
            </w:pPr>
            <w:r>
              <w:rPr>
                <w:sz w:val="16"/>
              </w:rPr>
              <w:t>6</w:t>
            </w:r>
          </w:p>
        </w:tc>
        <w:tc>
          <w:tcPr>
            <w:tcW w:type="dxa" w:w="1550"/>
            <w:vAlign w:val="top"/>
            <w:tcMar>
              <w:top w:w="80" w:type="dxa"/>
              <w:start w:w="120" w:type="dxa"/>
              <w:bottom w:w="80" w:type="dxa"/>
              <w:end w:w="120" w:type="dxa"/>
            </w:tcMar>
          </w:tcPr>
          <w:p>
            <w:pPr>
              <w:spacing w:after="0"/>
            </w:pPr>
            <w:r>
              <w:rPr>
                <w:sz w:val="16"/>
              </w:rPr>
              <w:t>Consent</w:t>
            </w:r>
          </w:p>
        </w:tc>
        <w:tc>
          <w:tcPr>
            <w:tcW w:type="dxa" w:w="4970"/>
            <w:vAlign w:val="top"/>
            <w:tcMar>
              <w:top w:w="80" w:type="dxa"/>
              <w:start w:w="120" w:type="dxa"/>
              <w:bottom w:w="80" w:type="dxa"/>
              <w:end w:w="120" w:type="dxa"/>
            </w:tcMar>
          </w:tcPr>
          <w:p>
            <w:pPr>
              <w:spacing w:after="0"/>
            </w:pPr>
            <w:r>
              <w:rPr>
                <w:sz w:val="16"/>
              </w:rPr>
              <w:t>Paper vs approved electronic signature; separate voice authorization; injury/cost language; precise withdrawal/deletion limits.</w:t>
            </w:r>
          </w:p>
        </w:tc>
        <w:tc>
          <w:tcPr>
            <w:tcW w:type="dxa" w:w="2340"/>
            <w:vAlign w:val="top"/>
            <w:tcMar>
              <w:top w:w="80" w:type="dxa"/>
              <w:start w:w="120" w:type="dxa"/>
              <w:bottom w:w="80" w:type="dxa"/>
              <w:end w:w="120" w:type="dxa"/>
            </w:tcMar>
          </w:tcPr>
          <w:p>
            <w:pPr>
              <w:spacing w:after="0"/>
            </w:pPr>
            <w:r>
              <w:rPr>
                <w:sz w:val="16"/>
              </w:rPr>
              <w:t>PI + UCF IRB</w:t>
            </w:r>
          </w:p>
        </w:tc>
      </w:tr>
      <w:tr>
        <w:trPr>
          <w:cantSplit/>
        </w:trPr>
        <w:tc>
          <w:tcPr>
            <w:tcW w:type="dxa" w:w="500"/>
            <w:vAlign w:val="top"/>
            <w:tcMar>
              <w:top w:w="80" w:type="dxa"/>
              <w:start w:w="120" w:type="dxa"/>
              <w:bottom w:w="80" w:type="dxa"/>
              <w:end w:w="120" w:type="dxa"/>
            </w:tcMar>
          </w:tcPr>
          <w:p>
            <w:pPr>
              <w:spacing w:after="0"/>
            </w:pPr>
            <w:r>
              <w:rPr>
                <w:sz w:val="16"/>
              </w:rPr>
              <w:t>7</w:t>
            </w:r>
          </w:p>
        </w:tc>
        <w:tc>
          <w:tcPr>
            <w:tcW w:type="dxa" w:w="1550"/>
            <w:vAlign w:val="top"/>
            <w:tcMar>
              <w:top w:w="80" w:type="dxa"/>
              <w:start w:w="120" w:type="dxa"/>
              <w:bottom w:w="80" w:type="dxa"/>
              <w:end w:w="120" w:type="dxa"/>
            </w:tcMar>
          </w:tcPr>
          <w:p>
            <w:pPr>
              <w:spacing w:after="0"/>
            </w:pPr>
            <w:r>
              <w:rPr>
                <w:sz w:val="16"/>
              </w:rPr>
              <w:t>Session logistics</w:t>
            </w:r>
          </w:p>
        </w:tc>
        <w:tc>
          <w:tcPr>
            <w:tcW w:type="dxa" w:w="4970"/>
            <w:vAlign w:val="top"/>
            <w:tcMar>
              <w:top w:w="80" w:type="dxa"/>
              <w:start w:w="120" w:type="dxa"/>
              <w:bottom w:w="80" w:type="dxa"/>
              <w:end w:w="120" w:type="dxa"/>
            </w:tcMar>
          </w:tcPr>
          <w:p>
            <w:pPr>
              <w:spacing w:after="0"/>
            </w:pPr>
            <w:r>
              <w:rPr>
                <w:sz w:val="16"/>
              </w:rPr>
              <w:t>Final duration, room, compensation/proration, parking/costs, break schedule and maximum session length.</w:t>
            </w:r>
          </w:p>
        </w:tc>
        <w:tc>
          <w:tcPr>
            <w:tcW w:type="dxa" w:w="2340"/>
            <w:vAlign w:val="top"/>
            <w:tcMar>
              <w:top w:w="80" w:type="dxa"/>
              <w:start w:w="120" w:type="dxa"/>
              <w:bottom w:w="80" w:type="dxa"/>
              <w:end w:w="120" w:type="dxa"/>
            </w:tcMar>
          </w:tcPr>
          <w:p>
            <w:pPr>
              <w:spacing w:after="0"/>
            </w:pPr>
            <w:r>
              <w:rPr>
                <w:sz w:val="16"/>
              </w:rPr>
              <w:t>PI + funding/lab</w:t>
            </w:r>
          </w:p>
        </w:tc>
      </w:tr>
      <w:tr>
        <w:trPr>
          <w:cantSplit/>
        </w:trPr>
        <w:tc>
          <w:tcPr>
            <w:tcW w:type="dxa" w:w="500"/>
            <w:vAlign w:val="top"/>
            <w:tcMar>
              <w:top w:w="80" w:type="dxa"/>
              <w:start w:w="120" w:type="dxa"/>
              <w:bottom w:w="80" w:type="dxa"/>
              <w:end w:w="120" w:type="dxa"/>
            </w:tcMar>
          </w:tcPr>
          <w:p>
            <w:pPr>
              <w:spacing w:after="0"/>
            </w:pPr>
            <w:r>
              <w:rPr>
                <w:sz w:val="16"/>
              </w:rPr>
              <w:t>8</w:t>
            </w:r>
          </w:p>
        </w:tc>
        <w:tc>
          <w:tcPr>
            <w:tcW w:type="dxa" w:w="1550"/>
            <w:vAlign w:val="top"/>
            <w:tcMar>
              <w:top w:w="80" w:type="dxa"/>
              <w:start w:w="120" w:type="dxa"/>
              <w:bottom w:w="80" w:type="dxa"/>
              <w:end w:w="120" w:type="dxa"/>
            </w:tcMar>
          </w:tcPr>
          <w:p>
            <w:pPr>
              <w:spacing w:after="0"/>
            </w:pPr>
            <w:r>
              <w:rPr>
                <w:sz w:val="16"/>
              </w:rPr>
              <w:t>Enrollment</w:t>
            </w:r>
          </w:p>
        </w:tc>
        <w:tc>
          <w:tcPr>
            <w:tcW w:type="dxa" w:w="4970"/>
            <w:vAlign w:val="top"/>
            <w:tcMar>
              <w:top w:w="80" w:type="dxa"/>
              <w:start w:w="120" w:type="dxa"/>
              <w:bottom w:w="80" w:type="dxa"/>
              <w:end w:w="120" w:type="dxa"/>
            </w:tcMar>
          </w:tcPr>
          <w:p>
            <w:pPr>
              <w:spacing w:after="0"/>
            </w:pPr>
            <w:r>
              <w:rPr>
                <w:sz w:val="16"/>
              </w:rPr>
              <w:t>Power/sensitivity analysis, 48-complete justification, enrolled maximum and attrition assumptions.</w:t>
            </w:r>
          </w:p>
        </w:tc>
        <w:tc>
          <w:tcPr>
            <w:tcW w:type="dxa" w:w="2340"/>
            <w:vAlign w:val="top"/>
            <w:tcMar>
              <w:top w:w="80" w:type="dxa"/>
              <w:start w:w="120" w:type="dxa"/>
              <w:bottom w:w="80" w:type="dxa"/>
              <w:end w:w="120" w:type="dxa"/>
            </w:tcMar>
          </w:tcPr>
          <w:p>
            <w:pPr>
              <w:spacing w:after="0"/>
            </w:pPr>
            <w:r>
              <w:rPr>
                <w:sz w:val="16"/>
              </w:rPr>
              <w:t>Research team before preregistration</w:t>
            </w:r>
          </w:p>
        </w:tc>
      </w:tr>
      <w:tr>
        <w:trPr>
          <w:cantSplit/>
        </w:trPr>
        <w:tc>
          <w:tcPr>
            <w:tcW w:type="dxa" w:w="500"/>
            <w:vAlign w:val="top"/>
            <w:tcMar>
              <w:top w:w="80" w:type="dxa"/>
              <w:start w:w="120" w:type="dxa"/>
              <w:bottom w:w="80" w:type="dxa"/>
              <w:end w:w="120" w:type="dxa"/>
            </w:tcMar>
          </w:tcPr>
          <w:p>
            <w:pPr>
              <w:spacing w:after="0"/>
            </w:pPr>
            <w:r>
              <w:rPr>
                <w:sz w:val="16"/>
              </w:rPr>
              <w:t>9</w:t>
            </w:r>
          </w:p>
        </w:tc>
        <w:tc>
          <w:tcPr>
            <w:tcW w:type="dxa" w:w="1550"/>
            <w:vAlign w:val="top"/>
            <w:tcMar>
              <w:top w:w="80" w:type="dxa"/>
              <w:start w:w="120" w:type="dxa"/>
              <w:bottom w:w="80" w:type="dxa"/>
              <w:end w:w="120" w:type="dxa"/>
            </w:tcMar>
          </w:tcPr>
          <w:p>
            <w:pPr>
              <w:spacing w:after="0"/>
            </w:pPr>
            <w:r>
              <w:rPr>
                <w:sz w:val="16"/>
              </w:rPr>
              <w:t>Safety rules</w:t>
            </w:r>
          </w:p>
        </w:tc>
        <w:tc>
          <w:tcPr>
            <w:tcW w:type="dxa" w:w="4970"/>
            <w:vAlign w:val="top"/>
            <w:tcMar>
              <w:top w:w="80" w:type="dxa"/>
              <w:start w:w="120" w:type="dxa"/>
              <w:bottom w:w="80" w:type="dxa"/>
              <w:end w:w="120" w:type="dxa"/>
            </w:tcMar>
          </w:tcPr>
          <w:p>
            <w:pPr>
              <w:spacing w:after="0"/>
            </w:pPr>
            <w:r>
              <w:rPr>
                <w:sz w:val="16"/>
              </w:rPr>
              <w:t>Pre-session symptom threshold, seizure/visual criteria, calibration retries, seated-rotation limit, post-symptom release rule.</w:t>
            </w:r>
          </w:p>
        </w:tc>
        <w:tc>
          <w:tcPr>
            <w:tcW w:type="dxa" w:w="2340"/>
            <w:vAlign w:val="top"/>
            <w:tcMar>
              <w:top w:w="80" w:type="dxa"/>
              <w:start w:w="120" w:type="dxa"/>
              <w:bottom w:w="80" w:type="dxa"/>
              <w:end w:w="120" w:type="dxa"/>
            </w:tcMar>
          </w:tcPr>
          <w:p>
            <w:pPr>
              <w:spacing w:after="0"/>
            </w:pPr>
            <w:r>
              <w:rPr>
                <w:sz w:val="16"/>
              </w:rPr>
              <w:t>PI + IRB; headset pilot with developers only</w:t>
            </w:r>
          </w:p>
        </w:tc>
      </w:tr>
      <w:tr>
        <w:trPr>
          <w:cantSplit/>
        </w:trPr>
        <w:tc>
          <w:tcPr>
            <w:tcW w:type="dxa" w:w="500"/>
            <w:vAlign w:val="top"/>
            <w:tcMar>
              <w:top w:w="80" w:type="dxa"/>
              <w:start w:w="120" w:type="dxa"/>
              <w:bottom w:w="80" w:type="dxa"/>
              <w:end w:w="120" w:type="dxa"/>
            </w:tcMar>
          </w:tcPr>
          <w:p>
            <w:pPr>
              <w:spacing w:after="0"/>
            </w:pPr>
            <w:r>
              <w:rPr>
                <w:sz w:val="16"/>
              </w:rPr>
              <w:t>10</w:t>
            </w:r>
          </w:p>
        </w:tc>
        <w:tc>
          <w:tcPr>
            <w:tcW w:type="dxa" w:w="1550"/>
            <w:vAlign w:val="top"/>
            <w:tcMar>
              <w:top w:w="80" w:type="dxa"/>
              <w:start w:w="120" w:type="dxa"/>
              <w:bottom w:w="80" w:type="dxa"/>
              <w:end w:w="120" w:type="dxa"/>
            </w:tcMar>
          </w:tcPr>
          <w:p>
            <w:pPr>
              <w:spacing w:after="0"/>
            </w:pPr>
            <w:r>
              <w:rPr>
                <w:sz w:val="16"/>
              </w:rPr>
              <w:t>Questionnaires</w:t>
            </w:r>
          </w:p>
        </w:tc>
        <w:tc>
          <w:tcPr>
            <w:tcW w:type="dxa" w:w="4970"/>
            <w:vAlign w:val="top"/>
            <w:tcMar>
              <w:top w:w="80" w:type="dxa"/>
              <w:start w:w="120" w:type="dxa"/>
              <w:bottom w:w="80" w:type="dxa"/>
              <w:end w:w="120" w:type="dxa"/>
            </w:tcMar>
          </w:tcPr>
          <w:p>
            <w:pPr>
              <w:spacing w:after="0"/>
            </w:pPr>
            <w:r>
              <w:rPr>
                <w:sz w:val="16"/>
              </w:rPr>
              <w:t>NASA-TLX implementation, full SSQ vs adapted check, SUS yes/no, final repeated items, scoring and timing.</w:t>
            </w:r>
          </w:p>
        </w:tc>
        <w:tc>
          <w:tcPr>
            <w:tcW w:type="dxa" w:w="2340"/>
            <w:vAlign w:val="top"/>
            <w:tcMar>
              <w:top w:w="80" w:type="dxa"/>
              <w:start w:w="120" w:type="dxa"/>
              <w:bottom w:w="80" w:type="dxa"/>
              <w:end w:w="120" w:type="dxa"/>
            </w:tcMar>
          </w:tcPr>
          <w:p>
            <w:pPr>
              <w:spacing w:after="0"/>
            </w:pPr>
            <w:r>
              <w:rPr>
                <w:sz w:val="16"/>
              </w:rPr>
              <w:t>Research team before submission</w:t>
            </w:r>
          </w:p>
        </w:tc>
      </w:tr>
      <w:tr>
        <w:trPr>
          <w:cantSplit/>
        </w:trPr>
        <w:tc>
          <w:tcPr>
            <w:tcW w:type="dxa" w:w="500"/>
            <w:vAlign w:val="top"/>
            <w:tcMar>
              <w:top w:w="80" w:type="dxa"/>
              <w:start w:w="120" w:type="dxa"/>
              <w:bottom w:w="80" w:type="dxa"/>
              <w:end w:w="120" w:type="dxa"/>
            </w:tcMar>
          </w:tcPr>
          <w:p>
            <w:pPr>
              <w:spacing w:after="0"/>
            </w:pPr>
            <w:r>
              <w:rPr>
                <w:sz w:val="16"/>
              </w:rPr>
              <w:t>11</w:t>
            </w:r>
          </w:p>
        </w:tc>
        <w:tc>
          <w:tcPr>
            <w:tcW w:type="dxa" w:w="1550"/>
            <w:vAlign w:val="top"/>
            <w:tcMar>
              <w:top w:w="80" w:type="dxa"/>
              <w:start w:w="120" w:type="dxa"/>
              <w:bottom w:w="80" w:type="dxa"/>
              <w:end w:w="120" w:type="dxa"/>
            </w:tcMar>
          </w:tcPr>
          <w:p>
            <w:pPr>
              <w:spacing w:after="0"/>
            </w:pPr>
            <w:r>
              <w:rPr>
                <w:sz w:val="16"/>
              </w:rPr>
              <w:t>Analysis/data quality</w:t>
            </w:r>
          </w:p>
        </w:tc>
        <w:tc>
          <w:tcPr>
            <w:tcW w:type="dxa" w:w="4970"/>
            <w:vAlign w:val="top"/>
            <w:tcMar>
              <w:top w:w="80" w:type="dxa"/>
              <w:start w:w="120" w:type="dxa"/>
              <w:bottom w:w="80" w:type="dxa"/>
              <w:end w:w="120" w:type="dxa"/>
            </w:tcMar>
          </w:tcPr>
          <w:p>
            <w:pPr>
              <w:spacing w:after="0"/>
            </w:pPr>
            <w:r>
              <w:rPr>
                <w:sz w:val="16"/>
              </w:rPr>
              <w:t>Tracking-validity threshold, minimum valid trials, outliers, missing data, objective exclusions and blinded pilot diagnostics.</w:t>
            </w:r>
          </w:p>
        </w:tc>
        <w:tc>
          <w:tcPr>
            <w:tcW w:type="dxa" w:w="2340"/>
            <w:vAlign w:val="top"/>
            <w:tcMar>
              <w:top w:w="80" w:type="dxa"/>
              <w:start w:w="120" w:type="dxa"/>
              <w:bottom w:w="80" w:type="dxa"/>
              <w:end w:w="120" w:type="dxa"/>
            </w:tcMar>
          </w:tcPr>
          <w:p>
            <w:pPr>
              <w:spacing w:after="0"/>
            </w:pPr>
            <w:r>
              <w:rPr>
                <w:sz w:val="16"/>
              </w:rPr>
              <w:t>Research team before confirmatory analysis</w:t>
            </w:r>
          </w:p>
        </w:tc>
      </w:tr>
      <w:tr>
        <w:trPr>
          <w:cantSplit/>
        </w:trPr>
        <w:tc>
          <w:tcPr>
            <w:tcW w:type="dxa" w:w="500"/>
            <w:vAlign w:val="top"/>
            <w:tcMar>
              <w:top w:w="80" w:type="dxa"/>
              <w:start w:w="120" w:type="dxa"/>
              <w:bottom w:w="80" w:type="dxa"/>
              <w:end w:w="120" w:type="dxa"/>
            </w:tcMar>
          </w:tcPr>
          <w:p>
            <w:pPr>
              <w:spacing w:after="0"/>
            </w:pPr>
            <w:r>
              <w:rPr>
                <w:sz w:val="16"/>
              </w:rPr>
              <w:t>12</w:t>
            </w:r>
          </w:p>
        </w:tc>
        <w:tc>
          <w:tcPr>
            <w:tcW w:type="dxa" w:w="1550"/>
            <w:vAlign w:val="top"/>
            <w:tcMar>
              <w:top w:w="80" w:type="dxa"/>
              <w:start w:w="120" w:type="dxa"/>
              <w:bottom w:w="80" w:type="dxa"/>
              <w:end w:w="120" w:type="dxa"/>
            </w:tcMar>
          </w:tcPr>
          <w:p>
            <w:pPr>
              <w:spacing w:after="0"/>
            </w:pPr>
            <w:r>
              <w:rPr>
                <w:sz w:val="16"/>
              </w:rPr>
              <w:t>Runtime</w:t>
            </w:r>
          </w:p>
        </w:tc>
        <w:tc>
          <w:tcPr>
            <w:tcW w:type="dxa" w:w="4970"/>
            <w:vAlign w:val="top"/>
            <w:tcMar>
              <w:top w:w="80" w:type="dxa"/>
              <w:start w:w="120" w:type="dxa"/>
              <w:bottom w:w="80" w:type="dxa"/>
              <w:end w:w="120" w:type="dxa"/>
            </w:tcMar>
          </w:tcPr>
          <w:p>
            <w:pPr>
              <w:spacing w:after="0"/>
            </w:pPr>
            <w:r>
              <w:rPr>
                <w:sz w:val="16"/>
              </w:rPr>
              <w:t>Implementation of approved 360-degree study, condition logic, matched opportunities, voice playback, calibration and audit events.</w:t>
            </w:r>
          </w:p>
        </w:tc>
        <w:tc>
          <w:tcPr>
            <w:tcW w:type="dxa" w:w="2340"/>
            <w:vAlign w:val="top"/>
            <w:tcMar>
              <w:top w:w="80" w:type="dxa"/>
              <w:start w:w="120" w:type="dxa"/>
              <w:bottom w:w="80" w:type="dxa"/>
              <w:end w:w="120" w:type="dxa"/>
            </w:tcMar>
          </w:tcPr>
          <w:p>
            <w:pPr>
              <w:spacing w:after="0"/>
            </w:pPr>
            <w:r>
              <w:rPr>
                <w:sz w:val="16"/>
              </w:rPr>
              <w:t>Development + verification before enrollment</w:t>
            </w:r>
          </w:p>
        </w:tc>
      </w:tr>
    </w:tbl>
    <w:p>
      <w:pPr>
        <w:pStyle w:val="Heading1"/>
        <w:keepNext/>
      </w:pPr>
      <w:r>
        <w:t>9. Recommended submission package</w:t>
      </w:r>
    </w:p>
    <w:tbl>
      <w:tblPr>
        <w:tblStyle w:val="TableGrid"/>
        <w:tblW w:type="dxa" w:w="9360"/>
        <w:jc w:val="center"/>
        <w:tblLayout w:type="fixed"/>
        <w:tblLook w:firstColumn="1" w:firstRow="1" w:lastColumn="0" w:lastRow="0" w:noHBand="0" w:noVBand="1" w:val="04A0"/>
      </w:tblPr>
      <w:tblGrid>
        <w:gridCol w:w="1850"/>
        <w:gridCol w:w="7510"/>
      </w:tblGrid>
      <w:tr>
        <w:trPr>
          <w:tblHeader w:val="true"/>
          <w:cantSplit/>
        </w:trPr>
        <w:tc>
          <w:tcPr>
            <w:tcW w:type="dxa" w:w="1850"/>
            <w:shd w:fill="F2F4F7"/>
            <w:vAlign w:val="center"/>
          </w:tcPr>
          <w:p>
            <w:pPr>
              <w:spacing w:after="0"/>
            </w:pPr>
            <w:r>
              <w:rPr>
                <w:b/>
                <w:color w:val="1F4D78"/>
                <w:sz w:val="18"/>
              </w:rPr>
              <w:t>Package area</w:t>
            </w:r>
          </w:p>
        </w:tc>
        <w:tc>
          <w:tcPr>
            <w:tcW w:type="dxa" w:w="7510"/>
            <w:shd w:fill="F2F4F7"/>
            <w:vAlign w:val="center"/>
          </w:tcPr>
          <w:p>
            <w:pPr>
              <w:spacing w:after="0"/>
            </w:pPr>
            <w:r>
              <w:rPr>
                <w:b/>
                <w:color w:val="1F4D78"/>
                <w:sz w:val="18"/>
              </w:rPr>
              <w:t>Include</w:t>
            </w:r>
          </w:p>
        </w:tc>
      </w:tr>
      <w:tr>
        <w:trPr>
          <w:cantSplit/>
        </w:trPr>
        <w:tc>
          <w:tcPr>
            <w:tcW w:type="dxa" w:w="1850"/>
            <w:vAlign w:val="top"/>
            <w:tcMar>
              <w:top w:w="80" w:type="dxa"/>
              <w:start w:w="120" w:type="dxa"/>
              <w:bottom w:w="80" w:type="dxa"/>
              <w:end w:w="120" w:type="dxa"/>
            </w:tcMar>
          </w:tcPr>
          <w:p>
            <w:pPr>
              <w:spacing w:after="0"/>
            </w:pPr>
            <w:r>
              <w:rPr>
                <w:sz w:val="18"/>
              </w:rPr>
              <w:t>Core</w:t>
            </w:r>
          </w:p>
        </w:tc>
        <w:tc>
          <w:tcPr>
            <w:tcW w:type="dxa" w:w="7510"/>
            <w:vAlign w:val="top"/>
            <w:tcMar>
              <w:top w:w="80" w:type="dxa"/>
              <w:start w:w="120" w:type="dxa"/>
              <w:bottom w:w="80" w:type="dxa"/>
              <w:end w:w="120" w:type="dxa"/>
            </w:tcMar>
          </w:tcPr>
          <w:p>
            <w:pPr>
              <w:spacing w:after="0"/>
            </w:pPr>
            <w:r>
              <w:rPr>
                <w:sz w:val="18"/>
              </w:rPr>
              <w:t>Current clean HRP-503 protocol; current clean HRP-502 adult consent; Huron smart-form responses.</w:t>
            </w:r>
          </w:p>
        </w:tc>
      </w:tr>
      <w:tr>
        <w:trPr>
          <w:cantSplit/>
        </w:trPr>
        <w:tc>
          <w:tcPr>
            <w:tcW w:type="dxa" w:w="1850"/>
            <w:vAlign w:val="top"/>
            <w:tcMar>
              <w:top w:w="80" w:type="dxa"/>
              <w:start w:w="120" w:type="dxa"/>
              <w:bottom w:w="80" w:type="dxa"/>
              <w:end w:w="120" w:type="dxa"/>
            </w:tcMar>
          </w:tcPr>
          <w:p>
            <w:pPr>
              <w:spacing w:after="0"/>
            </w:pPr>
            <w:r>
              <w:rPr>
                <w:sz w:val="18"/>
              </w:rPr>
              <w:t>Recruitment</w:t>
            </w:r>
          </w:p>
        </w:tc>
        <w:tc>
          <w:tcPr>
            <w:tcW w:type="dxa" w:w="7510"/>
            <w:vAlign w:val="top"/>
            <w:tcMar>
              <w:top w:w="80" w:type="dxa"/>
              <w:start w:w="120" w:type="dxa"/>
              <w:bottom w:w="80" w:type="dxa"/>
              <w:end w:w="120" w:type="dxa"/>
            </w:tcMar>
          </w:tcPr>
          <w:p>
            <w:pPr>
              <w:spacing w:after="0"/>
            </w:pPr>
            <w:r>
              <w:rPr>
                <w:sz w:val="18"/>
              </w:rPr>
              <w:t>Email subject/body; flyer; SONA/portal text; social copy if used; referral/phone script; scheduling/reminder messages if they contain study information.</w:t>
            </w:r>
          </w:p>
        </w:tc>
      </w:tr>
      <w:tr>
        <w:trPr>
          <w:cantSplit/>
        </w:trPr>
        <w:tc>
          <w:tcPr>
            <w:tcW w:type="dxa" w:w="1850"/>
            <w:vAlign w:val="top"/>
            <w:tcMar>
              <w:top w:w="80" w:type="dxa"/>
              <w:start w:w="120" w:type="dxa"/>
              <w:bottom w:w="80" w:type="dxa"/>
              <w:end w:w="120" w:type="dxa"/>
            </w:tcMar>
          </w:tcPr>
          <w:p>
            <w:pPr>
              <w:spacing w:after="0"/>
            </w:pPr>
            <w:r>
              <w:rPr>
                <w:sz w:val="18"/>
              </w:rPr>
              <w:t>Eligibility</w:t>
            </w:r>
          </w:p>
        </w:tc>
        <w:tc>
          <w:tcPr>
            <w:tcW w:type="dxa" w:w="7510"/>
            <w:vAlign w:val="top"/>
            <w:tcMar>
              <w:top w:w="80" w:type="dxa"/>
              <w:start w:w="120" w:type="dxa"/>
              <w:bottom w:w="80" w:type="dxa"/>
              <w:end w:w="120" w:type="dxa"/>
            </w:tcMar>
          </w:tcPr>
          <w:p>
            <w:pPr>
              <w:spacing w:after="0"/>
            </w:pPr>
            <w:r>
              <w:rPr>
                <w:sz w:val="18"/>
              </w:rPr>
              <w:t>Exact pre-screen and in-lab safety screen; calibration/fit/color/audio checks; eligibility result/reason codes.</w:t>
            </w:r>
          </w:p>
        </w:tc>
      </w:tr>
      <w:tr>
        <w:trPr>
          <w:cantSplit/>
        </w:trPr>
        <w:tc>
          <w:tcPr>
            <w:tcW w:type="dxa" w:w="1850"/>
            <w:vAlign w:val="top"/>
            <w:tcMar>
              <w:top w:w="80" w:type="dxa"/>
              <w:start w:w="120" w:type="dxa"/>
              <w:bottom w:w="80" w:type="dxa"/>
              <w:end w:w="120" w:type="dxa"/>
            </w:tcMar>
          </w:tcPr>
          <w:p>
            <w:pPr>
              <w:spacing w:after="0"/>
            </w:pPr>
            <w:r>
              <w:rPr>
                <w:sz w:val="18"/>
              </w:rPr>
              <w:t>Participant instruments</w:t>
            </w:r>
          </w:p>
        </w:tc>
        <w:tc>
          <w:tcPr>
            <w:tcW w:type="dxa" w:w="7510"/>
            <w:vAlign w:val="top"/>
            <w:tcMar>
              <w:top w:w="80" w:type="dxa"/>
              <w:start w:w="120" w:type="dxa"/>
              <w:bottom w:w="80" w:type="dxa"/>
              <w:end w:w="120" w:type="dxa"/>
            </w:tcMar>
          </w:tcPr>
          <w:p>
            <w:pPr>
              <w:spacing w:after="0"/>
            </w:pPr>
            <w:r>
              <w:rPr>
                <w:sz w:val="18"/>
              </w:rPr>
              <w:t>Exact baseline measures; block questionnaires; post-session measures; interview prompts; symptom instrument; any consent comprehension questions.</w:t>
            </w:r>
          </w:p>
        </w:tc>
      </w:tr>
      <w:tr>
        <w:trPr>
          <w:cantSplit/>
        </w:trPr>
        <w:tc>
          <w:tcPr>
            <w:tcW w:type="dxa" w:w="1850"/>
            <w:vAlign w:val="top"/>
            <w:tcMar>
              <w:top w:w="80" w:type="dxa"/>
              <w:start w:w="120" w:type="dxa"/>
              <w:bottom w:w="80" w:type="dxa"/>
              <w:end w:w="120" w:type="dxa"/>
            </w:tcMar>
          </w:tcPr>
          <w:p>
            <w:pPr>
              <w:spacing w:after="0"/>
            </w:pPr>
            <w:r>
              <w:rPr>
                <w:sz w:val="18"/>
              </w:rPr>
              <w:t>Voice materials</w:t>
            </w:r>
          </w:p>
        </w:tc>
        <w:tc>
          <w:tcPr>
            <w:tcW w:type="dxa" w:w="7510"/>
            <w:vAlign w:val="top"/>
            <w:tcMar>
              <w:top w:w="80" w:type="dxa"/>
              <w:start w:w="120" w:type="dxa"/>
              <w:bottom w:w="80" w:type="dxa"/>
              <w:end w:w="120" w:type="dxa"/>
            </w:tcMar>
          </w:tcPr>
          <w:p>
            <w:pPr>
              <w:spacing w:after="0"/>
            </w:pPr>
            <w:r>
              <w:rPr>
                <w:sz w:val="18"/>
              </w:rPr>
              <w:t>Participant voice-recording script; fixed generated prompt/hint library; authorization wording; provider/data-flow summary; retention/deletion procedure.</w:t>
            </w:r>
          </w:p>
        </w:tc>
      </w:tr>
      <w:tr>
        <w:trPr>
          <w:cantSplit/>
        </w:trPr>
        <w:tc>
          <w:tcPr>
            <w:tcW w:type="dxa" w:w="1850"/>
            <w:vAlign w:val="top"/>
            <w:tcMar>
              <w:top w:w="80" w:type="dxa"/>
              <w:start w:w="120" w:type="dxa"/>
              <w:bottom w:w="80" w:type="dxa"/>
              <w:end w:w="120" w:type="dxa"/>
            </w:tcMar>
          </w:tcPr>
          <w:p>
            <w:pPr>
              <w:spacing w:after="0"/>
            </w:pPr>
            <w:r>
              <w:rPr>
                <w:sz w:val="18"/>
              </w:rPr>
              <w:t>Operational records</w:t>
            </w:r>
          </w:p>
        </w:tc>
        <w:tc>
          <w:tcPr>
            <w:tcW w:type="dxa" w:w="7510"/>
            <w:vAlign w:val="top"/>
            <w:tcMar>
              <w:top w:w="80" w:type="dxa"/>
              <w:start w:w="120" w:type="dxa"/>
              <w:bottom w:w="80" w:type="dxa"/>
              <w:end w:w="120" w:type="dxa"/>
            </w:tcMar>
          </w:tcPr>
          <w:p>
            <w:pPr>
              <w:spacing w:after="0"/>
            </w:pPr>
            <w:r>
              <w:rPr>
                <w:sz w:val="18"/>
              </w:rPr>
              <w:t>Researcher session/event/deviation record; counterbalancing schedule description; release build/configuration and stimulus-manifest controls.</w:t>
            </w:r>
          </w:p>
        </w:tc>
      </w:tr>
      <w:tr>
        <w:trPr>
          <w:cantSplit/>
        </w:trPr>
        <w:tc>
          <w:tcPr>
            <w:tcW w:type="dxa" w:w="1850"/>
            <w:vAlign w:val="top"/>
            <w:tcMar>
              <w:top w:w="80" w:type="dxa"/>
              <w:start w:w="120" w:type="dxa"/>
              <w:bottom w:w="80" w:type="dxa"/>
              <w:end w:w="120" w:type="dxa"/>
            </w:tcMar>
          </w:tcPr>
          <w:p>
            <w:pPr>
              <w:spacing w:after="0"/>
            </w:pPr>
            <w:r>
              <w:rPr>
                <w:sz w:val="18"/>
              </w:rPr>
              <w:t>Post-participation</w:t>
            </w:r>
          </w:p>
        </w:tc>
        <w:tc>
          <w:tcPr>
            <w:tcW w:type="dxa" w:w="7510"/>
            <w:vAlign w:val="top"/>
            <w:tcMar>
              <w:top w:w="80" w:type="dxa"/>
              <w:start w:w="120" w:type="dxa"/>
              <w:bottom w:w="80" w:type="dxa"/>
              <w:end w:w="120" w:type="dxa"/>
            </w:tcMar>
          </w:tcPr>
          <w:p>
            <w:pPr>
              <w:spacing w:after="0"/>
            </w:pPr>
            <w:r>
              <w:rPr>
                <w:sz w:val="18"/>
              </w:rPr>
              <w:t>Plain-language study explanation; HRP-509 only if UCF determines it is required; withdrawal/deletion contact instructions.</w:t>
            </w:r>
          </w:p>
        </w:tc>
      </w:tr>
      <w:tr>
        <w:trPr>
          <w:cantSplit/>
        </w:trPr>
        <w:tc>
          <w:tcPr>
            <w:tcW w:type="dxa" w:w="1850"/>
            <w:vAlign w:val="top"/>
            <w:tcMar>
              <w:top w:w="80" w:type="dxa"/>
              <w:start w:w="120" w:type="dxa"/>
              <w:bottom w:w="80" w:type="dxa"/>
              <w:end w:w="120" w:type="dxa"/>
            </w:tcMar>
          </w:tcPr>
          <w:p>
            <w:pPr>
              <w:spacing w:after="0"/>
            </w:pPr>
            <w:r>
              <w:rPr>
                <w:sz w:val="18"/>
              </w:rPr>
              <w:t>Supporting evidence</w:t>
            </w:r>
          </w:p>
        </w:tc>
        <w:tc>
          <w:tcPr>
            <w:tcW w:type="dxa" w:w="7510"/>
            <w:vAlign w:val="top"/>
            <w:tcMar>
              <w:top w:w="80" w:type="dxa"/>
              <w:start w:w="120" w:type="dxa"/>
              <w:bottom w:w="80" w:type="dxa"/>
              <w:end w:w="120" w:type="dxa"/>
            </w:tcMar>
          </w:tcPr>
          <w:p>
            <w:pPr>
              <w:spacing w:after="0"/>
            </w:pPr>
            <w:r>
              <w:rPr>
                <w:sz w:val="18"/>
              </w:rPr>
              <w:t>Power/sensitivity summary; data-flow diagram; vendor privacy/security/deletion evidence; ancillary approvals/letters; PI/faculty-advisor review; training records retained as required.</w:t>
            </w:r>
          </w:p>
        </w:tc>
      </w:tr>
    </w:tbl>
    <w:p>
      <w:pPr>
        <w:pStyle w:val="Heading1"/>
        <w:keepNext/>
      </w:pPr>
      <w:r>
        <w:t>10. Source handling and privacy note</w:t>
      </w:r>
    </w:p>
    <w:p>
      <w:pPr>
        <w:keepLines/>
      </w:pPr>
      <w:r>
        <w:rPr>
          <w:b w:val="0"/>
          <w:i w:val="0"/>
        </w:rPr>
        <w:t>The supplied folder appears to contain real investigator names/contact information and Google Forms edit URLs. This comparison intentionally references filenames and structural lessons without reproducing personal contact details or editable-form links. Keep the source folder restricted, do not publish it, and do not treat its study number, personnel, rooms, dates, compensation, or approval history as belonging to this project.</w:t>
      </w:r>
    </w:p>
    <w:p>
      <w:pPr>
        <w:keepLines/>
      </w:pPr>
      <w:r>
        <w:rPr>
          <w:b w:val="0"/>
          <w:i w:val="0"/>
        </w:rPr>
        <w:t>The temporary file beginning with '~$' is a Word lock file and should be ignored. The duplicate SSQ export should be deduplicated. Before sharing any derivative packet, remove tracked changes/comments, internal instructions, stale hyperlinks, metadata, prior-study identifiers, and other investigators’ personal information.</w:t>
      </w:r>
    </w:p>
    <w:p>
      <w:pPr>
        <w:pStyle w:val="Heading1"/>
        <w:keepNext/>
      </w:pPr>
      <w:r>
        <w:t>11. Authoritative sources and project records</w:t>
      </w:r>
    </w:p>
    <w:p>
      <w:pPr>
        <w:ind w:left="288" w:hanging="288"/>
      </w:pPr>
      <w:r>
        <w:rPr>
          <w:b/>
          <w:i w:val="0"/>
          <w:color w:val="1F4D78"/>
        </w:rPr>
        <w:t xml:space="preserve">[U1] </w:t>
      </w:r>
      <w:hyperlink r:id="rId11">
        <w:r>
          <w:rPr>
            <w:color w:val="2E74B5"/>
            <w:u w:val="single"/>
          </w:rPr>
          <w:t>UCF IRB home and training overview</w:t>
        </w:r>
      </w:hyperlink>
    </w:p>
    <w:p>
      <w:pPr>
        <w:ind w:left="288" w:hanging="288"/>
      </w:pPr>
      <w:r>
        <w:rPr>
          <w:b/>
          <w:i w:val="0"/>
          <w:color w:val="1F4D78"/>
        </w:rPr>
        <w:t xml:space="preserve">[U2] </w:t>
      </w:r>
      <w:hyperlink r:id="rId12">
        <w:r>
          <w:rPr>
            <w:color w:val="2E74B5"/>
            <w:u w:val="single"/>
          </w:rPr>
          <w:t>UCF IRB FAQ</w:t>
        </w:r>
      </w:hyperlink>
    </w:p>
    <w:p>
      <w:pPr>
        <w:ind w:left="288" w:hanging="288"/>
      </w:pPr>
      <w:r>
        <w:rPr>
          <w:b/>
          <w:i w:val="0"/>
          <w:color w:val="1F4D78"/>
        </w:rPr>
        <w:t xml:space="preserve">[U3] </w:t>
      </w:r>
      <w:hyperlink r:id="rId13">
        <w:r>
          <w:rPr>
            <w:color w:val="2E74B5"/>
            <w:u w:val="single"/>
          </w:rPr>
          <w:t>UCF Study Application Instructions, Guidance 07 (version 11/19/25)</w:t>
        </w:r>
      </w:hyperlink>
    </w:p>
    <w:p>
      <w:pPr>
        <w:ind w:left="288" w:hanging="288"/>
      </w:pPr>
      <w:r>
        <w:rPr>
          <w:b/>
          <w:i w:val="0"/>
          <w:color w:val="1F4D78"/>
        </w:rPr>
        <w:t xml:space="preserve">[U4] </w:t>
      </w:r>
      <w:hyperlink r:id="rId14">
        <w:r>
          <w:rPr>
            <w:color w:val="2E74B5"/>
            <w:u w:val="single"/>
          </w:rPr>
          <w:t>UCF investigator forms and current-template routing</w:t>
        </w:r>
      </w:hyperlink>
    </w:p>
    <w:p>
      <w:pPr>
        <w:ind w:left="288" w:hanging="288"/>
      </w:pPr>
      <w:r>
        <w:rPr>
          <w:b/>
          <w:i w:val="0"/>
          <w:color w:val="1F4D78"/>
        </w:rPr>
        <w:t xml:space="preserve">[U5] </w:t>
      </w:r>
      <w:hyperlink r:id="rId15">
        <w:r>
          <w:rPr>
            <w:color w:val="2E74B5"/>
            <w:u w:val="single"/>
          </w:rPr>
          <w:t>UCF Research Data Privacy</w:t>
        </w:r>
      </w:hyperlink>
    </w:p>
    <w:p>
      <w:pPr>
        <w:ind w:left="288" w:hanging="288"/>
      </w:pPr>
      <w:r>
        <w:rPr>
          <w:b/>
          <w:i w:val="0"/>
          <w:color w:val="1F4D78"/>
        </w:rPr>
        <w:t xml:space="preserve">[F1] </w:t>
      </w:r>
      <w:hyperlink r:id="rId16">
        <w:r>
          <w:rPr>
            <w:color w:val="2E74B5"/>
            <w:u w:val="single"/>
          </w:rPr>
          <w:t>Federal Policy for the Protection of Human Subjects, 45 CFR 46</w:t>
        </w:r>
      </w:hyperlink>
    </w:p>
    <w:p>
      <w:pPr>
        <w:pStyle w:val="Heading2"/>
        <w:keepNext/>
      </w:pPr>
      <w:r>
        <w:t>Project records consulted</w:t>
      </w:r>
    </w:p>
    <w:p>
      <w:pPr>
        <w:pStyle w:val="ListBullet"/>
        <w:keepLines/>
      </w:pPr>
      <w:r>
        <w:rPr>
          <w:b w:val="0"/>
          <w:i w:val="0"/>
        </w:rPr>
        <w:t>docs/irb/source/protocol.md and submission/HRP-503_Gaze_Contingency_Protocol_DRAFT.docx</w:t>
      </w:r>
    </w:p>
    <w:p>
      <w:pPr>
        <w:pStyle w:val="ListBullet"/>
        <w:keepLines/>
      </w:pPr>
      <w:r>
        <w:rPr>
          <w:b w:val="0"/>
          <w:i w:val="0"/>
        </w:rPr>
        <w:t>docs/irb/source/consent.md and submission/HRP-502_Gaze_Contingency_Adult_Consent_DRAFT.docx</w:t>
      </w:r>
    </w:p>
    <w:p>
      <w:pPr>
        <w:pStyle w:val="ListBullet"/>
        <w:keepLines/>
      </w:pPr>
      <w:r>
        <w:rPr>
          <w:b w:val="0"/>
          <w:i w:val="0"/>
        </w:rPr>
        <w:t>docs/irb/source/recruitment.md, screening.md, questionnaires.md, voice-script.md, session-record.md, and post-participation.md</w:t>
      </w:r>
    </w:p>
    <w:p>
      <w:pPr>
        <w:pStyle w:val="ListBullet"/>
        <w:keepLines/>
      </w:pPr>
      <w:r>
        <w:rPr>
          <w:b w:val="0"/>
          <w:i w:val="0"/>
        </w:rPr>
        <w:t>docs/irb/irb-readiness-brief.md and docs/irb/README.md</w:t>
      </w:r>
    </w:p>
    <w:p>
      <w:pPr>
        <w:pStyle w:val="ListBullet"/>
        <w:keepLines/>
      </w:pPr>
      <w:r>
        <w:rPr>
          <w:b w:val="0"/>
          <w:i w:val="0"/>
        </w:rPr>
        <w:t>docs/manuscript/gaze-guidance-planned-study.tex and docs/experiment-procedure.md</w:t>
      </w:r>
    </w:p>
    <w:sectPr w:rsidR="00FC693F" w:rsidRPr="0006063C" w:rsidSect="00034616">
      <w:headerReference w:type="default" r:id="rId9"/>
      <w:footerReference w:type="default" r:id="rId10"/>
      <w:pgSz w:w="12240" w:h="15840"/>
      <w:pgMar w:top="1123"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b/>
        <w:i w:val="0"/>
        <w:color w:val="1F4D78"/>
        <w:sz w:val="18"/>
      </w:rPr>
      <w:t>FOLLOW MY VOICE</w:t>
    </w:r>
    <w:r>
      <w:rPr>
        <w:b w:val="0"/>
        <w:i w:val="0"/>
        <w:color w:val="475467"/>
        <w:sz w:val="18"/>
      </w:rPr>
      <w:t xml:space="preserve">  |  IRB source comparison and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59"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search.ucf.edu/compliance/irb/" TargetMode="External"/><Relationship Id="rId12" Type="http://schemas.openxmlformats.org/officeDocument/2006/relationships/hyperlink" Target="https://www.research.ucf.edu/compliance/irb-faq/" TargetMode="External"/><Relationship Id="rId13" Type="http://schemas.openxmlformats.org/officeDocument/2006/relationships/hyperlink" Target="https://www.research.ucf.edu/wp-content/uploads/sites/56/2026/02/IRB-Guidance-07-Study-Application-Instructions.pdf" TargetMode="External"/><Relationship Id="rId14" Type="http://schemas.openxmlformats.org/officeDocument/2006/relationships/hyperlink" Target="https://www.research.ucf.edu/compliance/irb/investigators/irb-investigators-responsibilities/irb-forms/" TargetMode="External"/><Relationship Id="rId15" Type="http://schemas.openxmlformats.org/officeDocument/2006/relationships/hyperlink" Target="https://rci.research.ucf.edu/resource/research-data-privacy/" TargetMode="External"/><Relationship Id="rId16" Type="http://schemas.openxmlformats.org/officeDocument/2006/relationships/hyperlink" Target="https://www.ecfr.gov/current/title-45/subtitle-A/subchapter-A/part-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My Voice IRB Source-to-Submission Comparison</dc:title>
  <dc:subject>Comparison of supplied UCF IRB precedent, current gaze-contingency packet, and remaining requirements</dc:subject>
  <dc:creator>Gaze Contingency Project</dc:creator>
  <cp:keywords>IRB, UCF, gaze-contingent XR, voice cloning, source comparison, requirements</cp:keywords>
  <dc:description>generated by python-docx</dc:description>
  <cp:lastModifiedBy/>
  <cp:revision>1</cp:revision>
  <dcterms:created xsi:type="dcterms:W3CDTF">2013-12-23T23:15:00Z</dcterms:created>
  <dcterms:modified xsi:type="dcterms:W3CDTF">2013-12-23T23:15:00Z</dcterms:modified>
  <cp:category/>
</cp:coreProperties>
</file>