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title="University of Central Florida logo" descr="University of Central Flori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pPr>
        <w:spacing w:after="100"/>
        <w:jc w:val="center"/>
        <w:shd w:fill="FCE4D6"/>
        <w:pBdr>
          <w:top w:val="single" w:sz="4" w:color="F4B084"/>
          <w:left w:val="single" w:sz="4" w:color="F4B084"/>
          <w:bottom w:val="single" w:sz="4" w:color="F4B084"/>
          <w:right w:val="single" w:sz="4" w:color="F4B084"/>
        </w:pBdr>
      </w:pPr>
      <w:r>
        <w:rPr>
          <w:rFonts w:ascii="Arial" w:hAnsi="Arial"/>
          <w:b/>
          <w:color w:val="9C0006"/>
          <w:sz w:val="18"/>
        </w:rPr>
        <w:t>DRAFT — NOT FOR SUBMISSION OR PARTICIPANT USE</w:t>
        <w:br/>
        <w:t>Resolve all OPEN DECISION items and obtain UCF approval before use.</w:t>
      </w:r>
    </w:p>
    <w:p>
      <w:pPr>
        <w:pStyle w:val="Title"/>
        <w:jc w:val="center"/>
      </w:pPr>
      <w:r>
        <w:rPr>
          <w:rFonts w:ascii="Arial" w:hAnsi="Arial"/>
          <w:b/>
        </w:rPr>
        <w:t>Follow My Voice: Gaze-Contingent XR Search with a Self-Similar Agent</w:t>
      </w:r>
    </w:p>
    <w:p>
      <w:r>
        <w:rPr>
          <w:rFonts w:ascii="Arial" w:hAnsi="Arial"/>
          <w:b w:val="0"/>
        </w:rPr>
        <w:t xml:space="preserve">Principal Investigator: </w:t>
      </w:r>
      <w:r>
        <w:rPr>
          <w:rFonts w:ascii="Arial" w:hAnsi="Arial"/>
          <w:b/>
          <w:color w:val="9C0006"/>
          <w:highlight w:val="yellow"/>
        </w:rPr>
        <w:t>[OPEN DECISION: confirm UCF PI of record]</w:t>
      </w:r>
    </w:p>
    <w:p>
      <w:r>
        <w:rPr>
          <w:rFonts w:ascii="Arial" w:hAnsi="Arial"/>
          <w:b w:val="0"/>
        </w:rPr>
        <w:t xml:space="preserve">Department/School: </w:t>
      </w:r>
      <w:r>
        <w:rPr>
          <w:rFonts w:ascii="Arial" w:hAnsi="Arial"/>
          <w:b/>
          <w:color w:val="9C0006"/>
          <w:highlight w:val="yellow"/>
        </w:rPr>
        <w:t>[OPEN DECISION]</w:t>
      </w:r>
    </w:p>
    <w:p>
      <w:r>
        <w:rPr>
          <w:rFonts w:ascii="Arial" w:hAnsi="Arial"/>
          <w:b w:val="0"/>
        </w:rPr>
        <w:t xml:space="preserve">Telephone: </w:t>
      </w:r>
      <w:r>
        <w:rPr>
          <w:rFonts w:ascii="Arial" w:hAnsi="Arial"/>
          <w:b/>
          <w:color w:val="9C0006"/>
          <w:highlight w:val="yellow"/>
        </w:rPr>
        <w:t>[OPEN DECISION]</w:t>
      </w:r>
    </w:p>
    <w:p>
      <w:r>
        <w:rPr>
          <w:rFonts w:ascii="Arial" w:hAnsi="Arial"/>
          <w:b w:val="0"/>
        </w:rPr>
        <w:t xml:space="preserve">Email: </w:t>
      </w:r>
      <w:r>
        <w:rPr>
          <w:rFonts w:ascii="Arial" w:hAnsi="Arial"/>
          <w:b/>
          <w:color w:val="9C0006"/>
          <w:highlight w:val="yellow"/>
        </w:rPr>
        <w:t>[OPEN DECISION]</w:t>
      </w:r>
    </w:p>
    <w:p>
      <w:r>
        <w:rPr>
          <w:rFonts w:ascii="Arial" w:hAnsi="Arial"/>
          <w:b w:val="0"/>
        </w:rPr>
        <w:t xml:space="preserve">Faculty Advisor: </w:t>
      </w:r>
      <w:r>
        <w:rPr>
          <w:rFonts w:ascii="Arial" w:hAnsi="Arial"/>
          <w:b/>
          <w:color w:val="9C0006"/>
          <w:highlight w:val="yellow"/>
        </w:rPr>
        <w:t>[OPEN DECISION: required if the PI is a student]</w:t>
      </w:r>
    </w:p>
    <w:p>
      <w:r>
        <w:rPr>
          <w:rFonts w:ascii="Arial" w:hAnsi="Arial"/>
          <w:b w:val="0"/>
        </w:rPr>
        <w:t xml:space="preserve">Version Number/Date: Version 1 / </w:t>
      </w:r>
      <w:r>
        <w:rPr>
          <w:rFonts w:ascii="Arial" w:hAnsi="Arial"/>
          <w:b/>
          <w:color w:val="9C0006"/>
          <w:highlight w:val="yellow"/>
        </w:rPr>
        <w:t>[OPEN DECISION: submission date]</w:t>
      </w:r>
    </w:p>
    <w:p>
      <w:pPr>
        <w:pStyle w:val="Heading1"/>
      </w:pPr>
      <w:r>
        <w:rPr>
          <w:rFonts w:ascii="Arial" w:hAnsi="Arial"/>
          <w:b/>
        </w:rPr>
        <w:t>Version History</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80" w:type="dxa"/>
              <w:start w:w="90" w:type="dxa"/>
              <w:bottom w:w="80" w:type="dxa"/>
              <w:end w:w="90" w:type="dxa"/>
            </w:tcMar>
            <w:shd w:fill="D9EAF7"/>
          </w:tcPr>
          <w:p>
            <w:pPr>
              <w:spacing w:after="0"/>
            </w:pPr>
            <w:r>
              <w:rPr>
                <w:rFonts w:ascii="Arial" w:hAnsi="Arial"/>
                <w:b/>
              </w:rPr>
              <w:t>Version</w:t>
            </w:r>
          </w:p>
        </w:tc>
        <w:tc>
          <w:tcPr>
            <w:tcW w:type="dxa" w:w="3360"/>
            <w:vAlign w:val="center"/>
            <w:tcMar>
              <w:top w:w="80" w:type="dxa"/>
              <w:start w:w="90" w:type="dxa"/>
              <w:bottom w:w="80" w:type="dxa"/>
              <w:end w:w="90" w:type="dxa"/>
            </w:tcMar>
            <w:shd w:fill="D9EAF7"/>
          </w:tcPr>
          <w:p>
            <w:pPr>
              <w:spacing w:after="0"/>
            </w:pPr>
            <w:r>
              <w:rPr>
                <w:rFonts w:ascii="Arial" w:hAnsi="Arial"/>
                <w:b/>
              </w:rPr>
              <w:t>Date</w:t>
            </w:r>
          </w:p>
        </w:tc>
        <w:tc>
          <w:tcPr>
            <w:tcW w:type="dxa" w:w="3360"/>
            <w:vAlign w:val="center"/>
            <w:tcMar>
              <w:top w:w="80" w:type="dxa"/>
              <w:start w:w="90" w:type="dxa"/>
              <w:bottom w:w="80" w:type="dxa"/>
              <w:end w:w="90" w:type="dxa"/>
            </w:tcMar>
            <w:shd w:fill="D9EAF7"/>
          </w:tcPr>
          <w:p>
            <w:pPr>
              <w:spacing w:after="0"/>
            </w:pPr>
            <w:r>
              <w:rPr>
                <w:rFonts w:ascii="Arial" w:hAnsi="Arial"/>
                <w:b/>
              </w:rPr>
              <w:t>Summary</w:t>
            </w:r>
          </w:p>
        </w:tc>
      </w:tr>
      <w:tr>
        <w:trPr>
          <w:cantSplit/>
        </w:trPr>
        <w:tc>
          <w:tcPr>
            <w:tcW w:type="dxa" w:w="3360"/>
            <w:vAlign w:val="center"/>
            <w:tcMar>
              <w:top w:w="80" w:type="dxa"/>
              <w:start w:w="90" w:type="dxa"/>
              <w:bottom w:w="80" w:type="dxa"/>
              <w:end w:w="90" w:type="dxa"/>
            </w:tcMar>
          </w:tcPr>
          <w:p>
            <w:pPr>
              <w:spacing w:after="0"/>
            </w:pPr>
            <w:r>
              <w:rPr>
                <w:rFonts w:ascii="Arial" w:hAnsi="Arial"/>
                <w:b w:val="0"/>
              </w:rPr>
              <w:t>1</w:t>
            </w:r>
          </w:p>
        </w:tc>
        <w:tc>
          <w:tcPr>
            <w:tcW w:type="dxa" w:w="3360"/>
            <w:vAlign w:val="center"/>
            <w:tcMar>
              <w:top w:w="80" w:type="dxa"/>
              <w:start w:w="90" w:type="dxa"/>
              <w:bottom w:w="80" w:type="dxa"/>
              <w:end w:w="90" w:type="dxa"/>
            </w:tcMar>
          </w:tcPr>
          <w:p>
            <w:pPr>
              <w:spacing w:after="0"/>
            </w:pPr>
            <w:r>
              <w:rPr>
                <w:rFonts w:ascii="Arial" w:hAnsi="Arial"/>
                <w:b w:val="0"/>
              </w:rPr>
              <w:t>[submission date]</w:t>
            </w:r>
          </w:p>
        </w:tc>
        <w:tc>
          <w:tcPr>
            <w:tcW w:type="dxa" w:w="3360"/>
            <w:vAlign w:val="center"/>
            <w:tcMar>
              <w:top w:w="80" w:type="dxa"/>
              <w:start w:w="90" w:type="dxa"/>
              <w:bottom w:w="80" w:type="dxa"/>
              <w:end w:w="90" w:type="dxa"/>
            </w:tcMar>
          </w:tcPr>
          <w:p>
            <w:pPr>
              <w:spacing w:after="0"/>
            </w:pPr>
            <w:r>
              <w:rPr>
                <w:rFonts w:ascii="Arial" w:hAnsi="Arial"/>
                <w:b w:val="0"/>
              </w:rPr>
              <w:t>Initial submission.</w:t>
            </w:r>
          </w:p>
        </w:tc>
      </w:tr>
    </w:tbl>
    <w:p>
      <w:pPr>
        <w:spacing w:after="0"/>
      </w:pPr>
    </w:p>
    <w:p>
      <w:pPr>
        <w:pStyle w:val="Heading1"/>
      </w:pPr>
      <w:r>
        <w:rPr>
          <w:rFonts w:ascii="Arial" w:hAnsi="Arial"/>
          <w:b/>
        </w:rPr>
        <w:t>Study Summary</w:t>
      </w:r>
    </w:p>
    <w:p>
      <w:r>
        <w:rPr>
          <w:rFonts w:ascii="Arial" w:hAnsi="Arial"/>
          <w:b w:val="0"/>
        </w:rPr>
        <w:t>This laboratory study evaluates how two-step gaze-contingent spoken guidance and a participant-derived self-similar synthetic voice affect visual-search performance, workload, trust, and experience in mixed reality. Adults will remain seated in a swivel chair while wearing an HTC Vive Focus Vision headset and search 56 virtual colored shapes distributed across eight vertical planes surrounding them at 45-degree intervals. The system will provide spoken guidance under four within-participant conditions formed by gaze-contingent versus noncontingent guidance and a generic versus participant-derived self-similar voice.</w:t>
      </w:r>
    </w:p>
    <w:p>
      <w:r>
        <w:rPr>
          <w:rFonts w:ascii="Arial" w:hAnsi="Arial"/>
          <w:b w:val="0"/>
        </w:rPr>
        <w:t>Participants will provide approximately 1–2 minutes of speech for Instant Voice Cloning (IVC). The recording will be uploaded to an institutionally approved third-party speech service only after consent. The resulting voice will be used only to synthesize study prompts for that participant, will not be shared or published, and will be deleted under the approved deletion procedure. Eye-gaze telemetry, task events, performance, questionnaires, and limited demographics will be recorded under a study ID. No eye-camera images, room video, webcam video, or face video will be saved.</w:t>
      </w:r>
    </w:p>
    <w:p>
      <w:r>
        <w:rPr>
          <w:rFonts w:ascii="Arial" w:hAnsi="Arial"/>
          <w:b/>
        </w:rPr>
        <w:t>Protocol proposal:</w:t>
      </w:r>
      <w:r>
        <w:rPr>
          <w:rFonts w:ascii="Arial" w:hAnsi="Arial"/>
          <w:b w:val="0"/>
        </w:rPr>
        <w:t xml:space="preserve"> One in-person session of approximately </w:t>
      </w:r>
      <w:r>
        <w:rPr>
          <w:rFonts w:ascii="Arial" w:hAnsi="Arial"/>
          <w:b/>
          <w:color w:val="9C0006"/>
          <w:highlight w:val="yellow"/>
        </w:rPr>
        <w:t>[OPEN DECISION: proposed 75–90 minutes]</w:t>
      </w:r>
      <w:r>
        <w:rPr>
          <w:rFonts w:ascii="Arial" w:hAnsi="Arial"/>
          <w:b w:val="0"/>
        </w:rPr>
        <w:t>, including consent, screening, voice recording, headset setup/calibration, up to eight nonanalyzed practice trials, four 16-trial experimental blocks (64 analyzed trials), questionnaires, breaks, debriefing, cleanup, and compensation if offered.</w:t>
      </w:r>
    </w:p>
    <w:p>
      <w:r>
        <w:rPr>
          <w:rFonts w:ascii="Arial" w:hAnsi="Arial"/>
          <w:b/>
        </w:rPr>
        <w:t>Study-readiness gate:</w:t>
      </w:r>
      <w:r>
        <w:rPr>
          <w:rFonts w:ascii="Arial" w:hAnsi="Arial"/>
          <w:b w:val="0"/>
        </w:rPr>
        <w:t xml:space="preserve"> The current Unity build implements a 14-round, front-facing bookshelf task with alternating “gaze-aware”/gaze-unaware rounds and a fixed generic voice. It does not implement the planned eight-plane 360-degree environment, 64-trial four-block schedule, Williams counterbalancing, participant-scoped voice playback, matched hint opportunities, two-step coarse/fine guidance policy, post-block questionnaires, or all required audit events. Voice recording, provider upload, prompt generation, and deletion will occur through a separate approved staff-controlled workflow, not in the headset application. No participant enrollment or research data collection will begin until the Unity release build and operational workflow together match this approved protocol and are verified with non-participant test data.</w:t>
      </w:r>
    </w:p>
    <w:p>
      <w:pPr>
        <w:pStyle w:val="Heading1"/>
      </w:pPr>
      <w:r>
        <w:rPr>
          <w:rFonts w:ascii="Arial" w:hAnsi="Arial"/>
          <w:b/>
        </w:rPr>
        <w:t>Background</w:t>
      </w:r>
    </w:p>
    <w:p>
      <w:r>
        <w:rPr>
          <w:rFonts w:ascii="Arial" w:hAnsi="Arial"/>
          <w:b w:val="0"/>
        </w:rPr>
        <w:t>Gaze can provide moment-to-moment information about what a person is inspecting in a visual-search task. Two-Step Gaze Guidance separates rapid approximate-direction guidance from fine target acquisition; related XR research also shows that spatial audio, visual cueing, and gaze-contingent feedback can support out-of-view search. This study adapts that architecture: a coarse spatialized utterance first orients the participant toward the target plane, and a fine stage computes the angle between the gaze ray and the ray from the eye to the target center. The angular error is normalized by target angular size and a pilot-frozen operating range. “Warmer” means meaningful progress since the preceding valid fine-stage opportunity, “colder” means movement away, “about the same” means negligible change, and “very close” means the gaze is within the target's angular extent plus a pilot-validated tolerance. A voice that resembles the participant may change perceived familiarity, comfort, trust, or reliance. The study therefore manipulates guidance contingency and voice similarity independently to estimate their separate and combined effects.</w:t>
      </w:r>
    </w:p>
    <w:p>
      <w:r>
        <w:rPr>
          <w:rFonts w:ascii="Arial" w:hAnsi="Arial"/>
          <w:b w:val="0"/>
        </w:rPr>
        <w:t>Eye-gaze hover and dwell events generated by the XR Interaction Toolkit are interaction proxies. They are not treated as clinically validated fixations. Angular transitions are not treated as validated saccades. The research will use neutral, implementation-accurate terminology in reports unless a validated classification pipeline is added through an approved modification.</w:t>
      </w:r>
    </w:p>
    <w:p>
      <w:r>
        <w:rPr>
          <w:rFonts w:ascii="Arial" w:hAnsi="Arial"/>
          <w:b w:val="0"/>
        </w:rPr>
        <w:t xml:space="preserve">Community Advisory Board Input: N/A. This minimal-risk laboratory usability study does not currently use a community advisory board. </w:t>
      </w:r>
      <w:r>
        <w:rPr>
          <w:rFonts w:ascii="Arial" w:hAnsi="Arial"/>
          <w:b/>
          <w:color w:val="9C0006"/>
          <w:highlight w:val="yellow"/>
        </w:rPr>
        <w:t>[OPEN DECISION: confirm with UCF.]</w:t>
      </w:r>
    </w:p>
    <w:p>
      <w:pPr>
        <w:pStyle w:val="Heading1"/>
      </w:pPr>
      <w:r>
        <w:rPr>
          <w:rFonts w:ascii="Arial" w:hAnsi="Arial"/>
          <w:b/>
        </w:rPr>
        <w:t>Objectives</w:t>
      </w:r>
    </w:p>
    <w:p>
      <w:r>
        <w:rPr>
          <w:rFonts w:ascii="Arial" w:hAnsi="Arial"/>
          <w:b w:val="0"/>
        </w:rPr>
        <w:t>Primary scientific objectives:</w:t>
      </w:r>
    </w:p>
    <w:p>
      <w:pPr>
        <w:spacing w:after="40"/>
        <w:ind w:left="360" w:hanging="259"/>
      </w:pPr>
      <w:r>
        <w:rPr>
          <w:rFonts w:ascii="Arial" w:hAnsi="Arial"/>
          <w:b w:val="0"/>
        </w:rPr>
        <w:t>• Estimate the effect of gaze-contingent two-step guidance versus noncontingent general prompts on visual-search time.</w:t>
      </w:r>
    </w:p>
    <w:p>
      <w:pPr>
        <w:spacing w:after="40"/>
        <w:ind w:left="360" w:hanging="259"/>
      </w:pPr>
      <w:r>
        <w:rPr>
          <w:rFonts w:ascii="Arial" w:hAnsi="Arial"/>
          <w:b w:val="0"/>
        </w:rPr>
        <w:t>• Estimate whether self-similar versus generic voice changes the effect of gaze contingency on the pre-specified primary experience/performance outcome.</w:t>
      </w:r>
    </w:p>
    <w:p>
      <w:r>
        <w:rPr>
          <w:rFonts w:ascii="Arial" w:hAnsi="Arial"/>
          <w:b w:val="0"/>
        </w:rPr>
        <w:t>Secondary objectives:</w:t>
      </w:r>
    </w:p>
    <w:p>
      <w:pPr>
        <w:spacing w:after="40"/>
        <w:ind w:left="360" w:hanging="259"/>
      </w:pPr>
      <w:r>
        <w:rPr>
          <w:rFonts w:ascii="Arial" w:hAnsi="Arial"/>
          <w:b w:val="0"/>
        </w:rPr>
        <w:t>• Estimate the effect of self-similar versus generic voice on workload, trust/helpfulness, comfort, and perceived voice similarity.</w:t>
      </w:r>
    </w:p>
    <w:p>
      <w:pPr>
        <w:spacing w:after="40"/>
        <w:ind w:left="360" w:hanging="259"/>
      </w:pPr>
      <w:r>
        <w:rPr>
          <w:rFonts w:ascii="Arial" w:hAnsi="Arial"/>
          <w:b w:val="0"/>
        </w:rPr>
        <w:t>• Characterize wrong captures, head-yaw travel, target-plane latency, plane revisits, hint-response latency, gaze-hover/dwell inspection proxies, technical failures, and adverse symptoms.</w:t>
      </w:r>
    </w:p>
    <w:p>
      <w:pPr>
        <w:spacing w:after="40"/>
        <w:ind w:left="360" w:hanging="259"/>
      </w:pPr>
      <w:r>
        <w:rPr>
          <w:rFonts w:ascii="Arial" w:hAnsi="Arial"/>
          <w:b w:val="0"/>
        </w:rPr>
        <w:t>• Evaluate feasibility and data quality while completing the simulation-based sensitivity/power analysis required before preregistration and confirmatory enrollment.</w:t>
      </w:r>
    </w:p>
    <w:p>
      <w:r>
        <w:rPr>
          <w:rFonts w:ascii="Arial" w:hAnsi="Arial"/>
          <w:b w:val="0"/>
        </w:rPr>
        <w:t xml:space="preserve">Primary outcome: search time in seconds from the logged `search_onset` event, when all 56 objects are available, through correct gaze-dwell capture, including time spent on preceding wrong captures. H1 predicts shorter search time under gaze-contingent guidance. The guidance-by-voice interaction on search time is the second focal contrast and is directional but secondary because prior evidence for the interaction is limited. Holm's sequential procedure will control multiplicity across these two focal tests. </w:t>
      </w:r>
      <w:r>
        <w:rPr>
          <w:rFonts w:ascii="Arial" w:hAnsi="Arial"/>
          <w:b/>
          <w:color w:val="9C0006"/>
          <w:highlight w:val="yellow"/>
        </w:rPr>
        <w:t>[OPEN DECISION: complete simulation-based power/sensitivity analysis and confirm whether this hierarchy is adequately powered before preregistration.]</w:t>
      </w:r>
    </w:p>
    <w:p>
      <w:r>
        <w:rPr>
          <w:rFonts w:ascii="Arial" w:hAnsi="Arial"/>
          <w:b w:val="0"/>
        </w:rPr>
        <w:t>Secondary outcomes include wrong captures, first-attempt success, head-yaw travel, target-plane latency, plane revisits, hint-response latency, raw NASA-TLX ratings, guidance/voice manipulation checks, trust/helpfulness/reliance/control ratings, symptom ratings, valid gaze availability, gaze-hover/dwell inspection proxies, and completion/withdrawal.</w:t>
      </w:r>
    </w:p>
    <w:p>
      <w:pPr>
        <w:pStyle w:val="Heading1"/>
      </w:pPr>
      <w:r>
        <w:rPr>
          <w:rFonts w:ascii="Arial" w:hAnsi="Arial"/>
          <w:b/>
        </w:rPr>
        <w:t>What is Being Measured or Evaluated?</w:t>
      </w:r>
    </w:p>
    <w:p>
      <w:r>
        <w:rPr>
          <w:rFonts w:ascii="Arial" w:hAnsi="Arial"/>
          <w:b w:val="0"/>
        </w:rPr>
        <w:t>The study measures task performance, interaction telemetry, subjective workload, perceived assistance quality, perceived voice similarity, trust, comfort, prior XR/voice-AI experience, and adverse symptoms. The study does not diagnose health conditions and does not use eye tracking as a medical measure.</w:t>
      </w:r>
    </w:p>
    <w:p>
      <w:r>
        <w:rPr>
          <w:rFonts w:ascii="Arial" w:hAnsi="Arial"/>
          <w:b w:val="0"/>
        </w:rPr>
        <w:t>The implemented telemetry currently includes frame time, gaze origin/direction/orientation, per-eye position where available, eye openness where available, provider-reported gaze point, hovered object metadata, target status, dwell progress, target identity, application state, ray visibility, and a custom blink proxy. Discrete logs include task and hover/capture events and summary metrics.</w:t>
      </w:r>
    </w:p>
    <w:p>
      <w:r>
        <w:rPr>
          <w:rFonts w:ascii="Arial" w:hAnsi="Arial"/>
          <w:b/>
        </w:rPr>
        <w:t>Protocol proposal:</w:t>
      </w:r>
      <w:r>
        <w:rPr>
          <w:rFonts w:ascii="Arial" w:hAnsi="Arial"/>
          <w:b w:val="0"/>
        </w:rPr>
        <w:t xml:space="preserve"> Add calibration result, tracking validity/availability, explicit search-display onset, hint request/playback/failure, block and counterbalancing assignment, voice condition and non-identifying voice alias, and cleanup/deletion result. Preserve raw values and calculate derived measures in version-controlled analysis code.</w:t>
      </w:r>
    </w:p>
    <w:p>
      <w:r>
        <w:rPr>
          <w:rFonts w:ascii="Arial" w:hAnsi="Arial"/>
          <w:b w:val="0"/>
        </w:rPr>
        <w:t xml:space="preserve">Clinical trial/clinical investigation: No. The study evaluates behavioral interaction with a mixed-reality research application and does not evaluate an FDA-regulated drug, biologic, or medical device for diagnosis or treatment. </w:t>
      </w:r>
      <w:r>
        <w:rPr>
          <w:rFonts w:ascii="Arial" w:hAnsi="Arial"/>
          <w:b/>
        </w:rPr>
        <w:t>[UCF must confirm this classification.]</w:t>
      </w:r>
    </w:p>
    <w:p>
      <w:pPr>
        <w:pStyle w:val="Heading1"/>
      </w:pPr>
      <w:r>
        <w:rPr>
          <w:rFonts w:ascii="Arial" w:hAnsi="Arial"/>
          <w:b/>
        </w:rPr>
        <w:t>Drugs and Medical Devices (If not a drug or medical device study, check N/A and skip to the Endpoints section)</w:t>
      </w:r>
    </w:p>
    <w:p>
      <w:r>
        <w:rPr>
          <w:rFonts w:ascii="Arial" w:hAnsi="Arial"/>
          <w:b w:val="0"/>
        </w:rPr>
        <w:t xml:space="preserve">N/A. The HTC Vive Focus Vision and computer are used as research apparatus for a behavioral task, not as investigational medical devices. No drug, biologic, IDE, or abbreviated IDE is involved. </w:t>
      </w:r>
      <w:r>
        <w:rPr>
          <w:rFonts w:ascii="Arial" w:hAnsi="Arial"/>
          <w:b/>
        </w:rPr>
        <w:t>[UCF must confirm.]</w:t>
      </w:r>
    </w:p>
    <w:p>
      <w:pPr>
        <w:pStyle w:val="Heading1"/>
      </w:pPr>
      <w:r>
        <w:rPr>
          <w:rFonts w:ascii="Arial" w:hAnsi="Arial"/>
          <w:b/>
        </w:rPr>
        <w:t>Endpoints (clinical trials only—if not a clinical trial, check N/A and skip to the Number of Subjects section)</w:t>
      </w:r>
    </w:p>
    <w:p>
      <w:r>
        <w:rPr>
          <w:rFonts w:ascii="Arial" w:hAnsi="Arial"/>
          <w:b w:val="0"/>
        </w:rPr>
        <w:t>N/A. This is not proposed as a clinical trial or clinical investigation. Behavioral outcomes are described under Objectives and Data Analysis Plan.</w:t>
      </w:r>
    </w:p>
    <w:p>
      <w:pPr>
        <w:pStyle w:val="Heading1"/>
      </w:pPr>
      <w:r>
        <w:rPr>
          <w:rFonts w:ascii="Arial" w:hAnsi="Arial"/>
          <w:b/>
        </w:rPr>
        <w:t>Number of Subjects</w:t>
      </w:r>
    </w:p>
    <w:p>
      <w:r>
        <w:rPr>
          <w:rFonts w:ascii="Arial" w:hAnsi="Arial"/>
          <w:b w:val="0"/>
        </w:rPr>
        <w:t xml:space="preserve">LOCAL: Target </w:t>
      </w:r>
      <w:r>
        <w:rPr>
          <w:rFonts w:ascii="Arial" w:hAnsi="Arial"/>
          <w:b/>
        </w:rPr>
        <w:t>48 complete participant datasets</w:t>
      </w:r>
      <w:r>
        <w:rPr>
          <w:rFonts w:ascii="Arial" w:hAnsi="Arial"/>
          <w:b w:val="0"/>
        </w:rPr>
        <w:t xml:space="preserve">. </w:t>
      </w:r>
      <w:r>
        <w:rPr>
          <w:rFonts w:ascii="Arial" w:hAnsi="Arial"/>
          <w:b/>
          <w:color w:val="9C0006"/>
          <w:highlight w:val="yellow"/>
        </w:rPr>
        <w:t>[OPEN DECISION: enrolled maximum after power/sensitivity analysis and anticipated screening/technical attrition; distinguish enrolled from completed/analyzed.]</w:t>
      </w:r>
    </w:p>
    <w:p>
      <w:r>
        <w:rPr>
          <w:rFonts w:ascii="Arial" w:hAnsi="Arial"/>
          <w:b w:val="0"/>
        </w:rPr>
        <w:t>ALL SITES: Same as local; this is currently a single-site UCF study.</w:t>
      </w:r>
    </w:p>
    <w:p>
      <w:r>
        <w:rPr>
          <w:rFonts w:ascii="Arial" w:hAnsi="Arial"/>
          <w:b w:val="0"/>
        </w:rPr>
        <w:t>The application will state anticipated screening failures and technical/data-quality attrition. Participants whose data are excluded remain enrolled participants and will be reported in the disposition summary.</w:t>
      </w:r>
    </w:p>
    <w:p>
      <w:pPr>
        <w:pStyle w:val="Heading1"/>
      </w:pPr>
      <w:r>
        <w:rPr>
          <w:rFonts w:ascii="Arial" w:hAnsi="Arial"/>
          <w:b/>
        </w:rPr>
        <w:t>Inclusion/Exclusion Criteria</w:t>
      </w:r>
    </w:p>
    <w:p>
      <w:r>
        <w:rPr>
          <w:rFonts w:ascii="Arial" w:hAnsi="Arial"/>
          <w:b w:val="0"/>
        </w:rPr>
        <w:t>Inclusion criteria:</w:t>
      </w:r>
    </w:p>
    <w:p>
      <w:pPr>
        <w:spacing w:after="40"/>
        <w:ind w:left="360" w:hanging="259"/>
      </w:pPr>
      <w:r>
        <w:rPr>
          <w:rFonts w:ascii="Arial" w:hAnsi="Arial"/>
          <w:b w:val="0"/>
        </w:rPr>
        <w:t>• Age 18 years or older.</w:t>
      </w:r>
    </w:p>
    <w:p>
      <w:pPr>
        <w:spacing w:after="40"/>
        <w:ind w:left="360" w:hanging="259"/>
      </w:pPr>
      <w:r>
        <w:rPr>
          <w:rFonts w:ascii="Arial" w:hAnsi="Arial"/>
          <w:b w:val="0"/>
        </w:rPr>
        <w:t>• Able to provide informed consent in English.</w:t>
      </w:r>
    </w:p>
    <w:p>
      <w:pPr>
        <w:spacing w:after="40"/>
        <w:ind w:left="360" w:hanging="259"/>
      </w:pPr>
      <w:r>
        <w:rPr>
          <w:rFonts w:ascii="Arial" w:hAnsi="Arial"/>
          <w:b w:val="0"/>
        </w:rPr>
        <w:t>• Able to understand spoken English study instructions and prompts.</w:t>
      </w:r>
    </w:p>
    <w:p>
      <w:pPr>
        <w:spacing w:after="40"/>
        <w:ind w:left="360" w:hanging="259"/>
      </w:pPr>
      <w:r>
        <w:rPr>
          <w:rFonts w:ascii="Arial" w:hAnsi="Arial"/>
          <w:b w:val="0"/>
        </w:rPr>
        <w:t>• Able to wear the headset, remain seated, and safely turn in a swivel chair to search the surrounding field, with or without ordinary vision correction compatible with the headset.</w:t>
      </w:r>
    </w:p>
    <w:p>
      <w:pPr>
        <w:spacing w:after="40"/>
        <w:ind w:left="360" w:hanging="259"/>
      </w:pPr>
      <w:r>
        <w:rPr>
          <w:rFonts w:ascii="Arial" w:hAnsi="Arial"/>
          <w:b w:val="0"/>
        </w:rPr>
        <w:t>• Willing to provide a short recording of their own voice and authorize creation of a study-limited synthetic voice.</w:t>
      </w:r>
    </w:p>
    <w:p>
      <w:r>
        <w:rPr>
          <w:rFonts w:ascii="Arial" w:hAnsi="Arial"/>
          <w:b w:val="0"/>
        </w:rPr>
        <w:t>Proposed exclusion criteria, subject to PI/UCF confirmation:</w:t>
      </w:r>
    </w:p>
    <w:p>
      <w:pPr>
        <w:spacing w:after="40"/>
        <w:ind w:left="360" w:hanging="259"/>
      </w:pPr>
      <w:r>
        <w:rPr>
          <w:rFonts w:ascii="Arial" w:hAnsi="Arial"/>
          <w:b w:val="0"/>
        </w:rPr>
        <w:t>• History of photosensitive seizure/epilepsy or a clinician’s instruction to avoid immersive displays.</w:t>
      </w:r>
    </w:p>
    <w:p>
      <w:pPr>
        <w:spacing w:after="40"/>
        <w:ind w:left="360" w:hanging="259"/>
      </w:pPr>
      <w:r>
        <w:rPr>
          <w:rFonts w:ascii="Arial" w:hAnsi="Arial"/>
          <w:b w:val="0"/>
        </w:rPr>
        <w:t>• Current severe dizziness, nausea, migraine, eye pain/infection, or other condition that makes headset use unsafe or intolerable.</w:t>
      </w:r>
    </w:p>
    <w:p>
      <w:pPr>
        <w:spacing w:after="40"/>
        <w:ind w:left="360" w:hanging="259"/>
      </w:pPr>
      <w:r>
        <w:rPr>
          <w:rFonts w:ascii="Arial" w:hAnsi="Arial"/>
          <w:b w:val="0"/>
        </w:rPr>
        <w:t>• Inability to obtain a minimally usable eye-tracking calibration after the pre-specified retry procedure. This is a technical eligibility criterion, not a health diagnosis.</w:t>
      </w:r>
    </w:p>
    <w:p>
      <w:pPr>
        <w:spacing w:after="40"/>
        <w:ind w:left="360" w:hanging="259"/>
      </w:pPr>
      <w:r>
        <w:rPr>
          <w:rFonts w:ascii="Arial" w:hAnsi="Arial"/>
          <w:b w:val="0"/>
        </w:rPr>
        <w:t>• Inability or unwillingness to complete required voice recording/cloning.</w:t>
      </w:r>
    </w:p>
    <w:p>
      <w:pPr>
        <w:spacing w:after="40"/>
        <w:ind w:left="360" w:hanging="259"/>
      </w:pPr>
      <w:r>
        <w:rPr>
          <w:rFonts w:ascii="Arial" w:hAnsi="Arial"/>
          <w:b w:val="0"/>
        </w:rPr>
        <w:t>• Prior participation in this experiment or prior knowledge of the deterministic target schedule that could invalidate the task.</w:t>
      </w:r>
    </w:p>
    <w:p>
      <w:r>
        <w:rPr>
          <w:rFonts w:ascii="Arial" w:hAnsi="Arial"/>
          <w:b w:val="0"/>
        </w:rPr>
        <w:t xml:space="preserve">Pregnancy is not an automatic exclusion in this draft. </w:t>
      </w:r>
      <w:r>
        <w:rPr>
          <w:rFonts w:ascii="Arial" w:hAnsi="Arial"/>
          <w:b/>
          <w:color w:val="9C0006"/>
          <w:highlight w:val="yellow"/>
        </w:rPr>
        <w:t>[OPEN DECISION: UCF/PI must confirm whether any additional scientifically justified criteria are needed.]</w:t>
      </w:r>
    </w:p>
    <w:p>
      <w:r>
        <w:rPr>
          <w:rFonts w:ascii="Arial" w:hAnsi="Arial"/>
          <w:b w:val="0"/>
        </w:rPr>
        <w:t>Vulnerable/special populations: Children, prisoners, and adults unable to consent will not be enrolled. Recruitment will not target pregnant persons, economically or educationally disadvantaged persons, or UCF employees/students under the direct authority of the recruiting investigator. Adults over 65 are not excluded solely because of age.</w:t>
      </w:r>
    </w:p>
    <w:p>
      <w:r>
        <w:rPr>
          <w:rFonts w:ascii="Arial" w:hAnsi="Arial"/>
          <w:b w:val="0"/>
        </w:rPr>
        <w:t>Additional safeguards: Recruitment and consent will emphasize voluntariness. If students are recruited, instructors will not know who participates until grades are final, and any course-credit pathway will include an equivalent alternative assignment.</w:t>
      </w:r>
    </w:p>
    <w:p>
      <w:pPr>
        <w:pStyle w:val="Heading1"/>
      </w:pPr>
      <w:r>
        <w:rPr>
          <w:rFonts w:ascii="Arial" w:hAnsi="Arial"/>
          <w:b/>
        </w:rPr>
        <w:t>Recruitment Methods</w:t>
      </w:r>
    </w:p>
    <w:p>
      <w:r>
        <w:rPr>
          <w:rFonts w:ascii="Arial" w:hAnsi="Arial"/>
          <w:b w:val="0"/>
        </w:rPr>
        <w:t xml:space="preserve">Recruitment may use IRB-approved email, flyer, research-participation portal/SONA listing, and word-of-mouth referral that directs interested people to the approved materials. </w:t>
      </w:r>
      <w:r>
        <w:rPr>
          <w:rFonts w:ascii="Arial" w:hAnsi="Arial"/>
          <w:b/>
          <w:color w:val="9C0006"/>
          <w:highlight w:val="yellow"/>
        </w:rPr>
        <w:t>[OPEN DECISION: select exact methods in Huron and remove unused methods.]</w:t>
      </w:r>
    </w:p>
    <w:p>
      <w:r>
        <w:rPr>
          <w:rFonts w:ascii="Arial" w:hAnsi="Arial"/>
          <w:b w:val="0"/>
        </w:rPr>
        <w:t>Materials will disclose the in-person laboratory visit, mixed-reality headset, eye tracking, short voice recording and synthetic voice creation, estimated duration, basic eligibility, compensation if any, and researcher contact. Recruitment will not claim guaranteed benefit. The team will not recruit before approval and will not use unapproved social-media direct messaging.</w:t>
      </w:r>
    </w:p>
    <w:p>
      <w:r>
        <w:rPr>
          <w:rFonts w:ascii="Arial" w:hAnsi="Arial"/>
          <w:b w:val="0"/>
        </w:rPr>
        <w:t>Potential participants may contact the study team or open an approved screening form. Contact and screening records will be stored separately from research data. Recruitment will avoid undue influence from supervisory, employment, instructional, or grading relationships.</w:t>
      </w:r>
    </w:p>
    <w:p>
      <w:pPr>
        <w:pStyle w:val="Heading1"/>
      </w:pPr>
      <w:r>
        <w:rPr>
          <w:rFonts w:ascii="Arial" w:hAnsi="Arial"/>
          <w:b/>
        </w:rPr>
        <w:t>Consent Process</w:t>
      </w:r>
    </w:p>
    <w:p>
      <w:r>
        <w:rPr>
          <w:rFonts w:ascii="Arial" w:hAnsi="Arial"/>
          <w:b w:val="0"/>
        </w:rPr>
        <w:t>An IRB-approved adult consent form will be used. A trained study-team member will conduct consent in a private lab area before screening procedures that collect research information, voice recording, headset fitting, or data collection. The researcher will explain the study purpose, procedures, eye tracking, voice cloning, third-party processing, risks, compensation, confidentiality limits, voluntary nature, and withdrawal options. The participant will have time to read the form, ask questions, and decide without pressure.</w:t>
      </w:r>
    </w:p>
    <w:p>
      <w:r>
        <w:rPr>
          <w:rFonts w:ascii="Arial" w:hAnsi="Arial"/>
          <w:b w:val="0"/>
        </w:rPr>
        <w:t>The researcher will check comprehension with neutral questions about voluntariness, voice use, third-party upload, withdrawal, and whom to contact. Incorrect responses will be reviewed; the person will not enroll unless they demonstrate understanding and provide consent.</w:t>
      </w:r>
    </w:p>
    <w:p>
      <w:r>
        <w:rPr>
          <w:rFonts w:ascii="Arial" w:hAnsi="Arial"/>
          <w:b w:val="0"/>
        </w:rPr>
        <w:t xml:space="preserve">Electronic consent: </w:t>
      </w:r>
      <w:r>
        <w:rPr>
          <w:rFonts w:ascii="Arial" w:hAnsi="Arial"/>
          <w:b/>
          <w:color w:val="9C0006"/>
          <w:highlight w:val="yellow"/>
        </w:rPr>
        <w:t>[OPEN DECISION: paper signature versus UCF-approved electronic consent; if electronic, specify platform, identity verification, copy delivery, and signature workflow in Huron.]</w:t>
      </w:r>
    </w:p>
    <w:p>
      <w:r>
        <w:rPr>
          <w:rFonts w:ascii="Arial" w:hAnsi="Arial"/>
          <w:b w:val="0"/>
        </w:rPr>
        <w:t>Documentation of consent: A signed and dated consent will be obtained unless UCF grants a waiver of documentation. The participant will receive a copy. The research record will note the consent version, date/time, consenting team member, and whether voice-cloning authorization was provided. A separate voice-authorization initial line is included in the draft consent for clarity; UCF must approve its use.</w:t>
      </w:r>
    </w:p>
    <w:p>
      <w:r>
        <w:rPr>
          <w:rFonts w:ascii="Arial" w:hAnsi="Arial"/>
          <w:b w:val="0"/>
        </w:rPr>
        <w:t>Waiver/alteration of consent: None proposed.</w:t>
      </w:r>
    </w:p>
    <w:p>
      <w:r>
        <w:rPr>
          <w:rFonts w:ascii="Arial" w:hAnsi="Arial"/>
          <w:b w:val="0"/>
        </w:rPr>
        <w:t xml:space="preserve">Deception/incomplete disclosure: None proposed. Consent will fully disclose eye tracking, creation/use of the participant-derived voice, third-party processing, risks, and the fact that different assistance/voice configurations are compared. To reduce expectancy bias, condition labels, the live-gaze rule, and directional hypotheses will not be emphasized before outcome measurement; no false information will be provided. The post-participation information explains the comparison. </w:t>
      </w:r>
      <w:r>
        <w:rPr>
          <w:rFonts w:ascii="Arial" w:hAnsi="Arial"/>
          <w:b/>
          <w:color w:val="9C0006"/>
          <w:highlight w:val="yellow"/>
        </w:rPr>
        <w:t>[OPEN DECISION: UCF must confirm whether this neutral description constitutes ordinary hypothesis withholding or incomplete disclosure requiring HRP-509.]</w:t>
      </w:r>
    </w:p>
    <w:p>
      <w:r>
        <w:rPr>
          <w:rFonts w:ascii="Arial" w:hAnsi="Arial"/>
          <w:b w:val="0"/>
        </w:rPr>
        <w:t xml:space="preserve">Language: English only. </w:t>
      </w:r>
      <w:r>
        <w:rPr>
          <w:rFonts w:ascii="Arial" w:hAnsi="Arial"/>
          <w:b/>
          <w:color w:val="9C0006"/>
          <w:highlight w:val="yellow"/>
        </w:rPr>
        <w:t>[OPEN DECISION: justify scientifically and confirm with UCF; otherwise translate materials and add qualified language support.]</w:t>
      </w:r>
    </w:p>
    <w:p>
      <w:pPr>
        <w:pStyle w:val="Heading1"/>
      </w:pPr>
      <w:r>
        <w:rPr>
          <w:rFonts w:ascii="Arial" w:hAnsi="Arial"/>
          <w:b/>
        </w:rPr>
        <w:t>HIPAA (From medical records only. If data is not coming from medical records, check N/A and skip to the FERPA section)</w:t>
      </w:r>
    </w:p>
    <w:p>
      <w:r>
        <w:rPr>
          <w:rFonts w:ascii="Arial" w:hAnsi="Arial"/>
          <w:b w:val="0"/>
        </w:rPr>
        <w:t>N/A. The study does not access medical records, covered-entity records, or protected health information. Safety screening is collected directly from participants and is limited to present eligibility/safety needs.</w:t>
      </w:r>
    </w:p>
    <w:p>
      <w:pPr>
        <w:pStyle w:val="Heading1"/>
      </w:pPr>
      <w:r>
        <w:rPr>
          <w:rFonts w:ascii="Arial" w:hAnsi="Arial"/>
          <w:b/>
        </w:rPr>
        <w:t>FERPA (From educational records only. If data is not coming from educational records, check N/A and skip to the Study Procedures section)</w:t>
      </w:r>
    </w:p>
    <w:p>
      <w:r>
        <w:rPr>
          <w:rFonts w:ascii="Arial" w:hAnsi="Arial"/>
          <w:b w:val="0"/>
        </w:rPr>
        <w:t xml:space="preserve">N/A. The study does not access educational records. If a research-participation portal or course credit is used, participation/credit administration will be handled under the approved separation and alternative-assignment safeguards without importing grades or educational records into the research dataset. </w:t>
      </w:r>
      <w:r>
        <w:rPr>
          <w:rFonts w:ascii="Arial" w:hAnsi="Arial"/>
          <w:b/>
          <w:color w:val="9C0006"/>
          <w:highlight w:val="yellow"/>
        </w:rPr>
        <w:t>[OPEN DECISION: confirm recruitment/credit plan.]</w:t>
      </w:r>
    </w:p>
    <w:p>
      <w:pPr>
        <w:pStyle w:val="Heading1"/>
      </w:pPr>
      <w:r>
        <w:rPr>
          <w:rFonts w:ascii="Arial" w:hAnsi="Arial"/>
          <w:b/>
        </w:rPr>
        <w:t>Study Procedures (after the consent process)</w:t>
      </w:r>
    </w:p>
    <w:p>
      <w:r>
        <w:rPr>
          <w:rFonts w:ascii="Arial" w:hAnsi="Arial"/>
          <w:b/>
        </w:rPr>
        <w:t>Protocol proposal:</w:t>
      </w:r>
      <w:r>
        <w:rPr>
          <w:rFonts w:ascii="Arial" w:hAnsi="Arial"/>
          <w:b w:val="0"/>
        </w:rPr>
        <w:t xml:space="preserve"> The following numbered procedure is intended study behavior and is not participant-ready until every study-readiness gate and open decision in this protocol is resolved, implemented, verified with non-participant data, and approved by UCF.</w:t>
      </w:r>
    </w:p>
    <w:p>
      <w:pPr>
        <w:spacing w:after="40"/>
        <w:ind w:left="360" w:hanging="259"/>
      </w:pPr>
      <w:r>
        <w:rPr>
          <w:rFonts w:ascii="Arial" w:hAnsi="Arial"/>
          <w:b w:val="0"/>
        </w:rPr>
        <w:t>1. Confirm consent and assign the next sequential study ID, containing no name, initials, or contact information. Map the enrollment sequence to the frozen counterbalancing schedule.</w:t>
      </w:r>
    </w:p>
    <w:p>
      <w:pPr>
        <w:spacing w:after="40"/>
        <w:ind w:left="360" w:hanging="259"/>
      </w:pPr>
      <w:r>
        <w:rPr>
          <w:rFonts w:ascii="Arial" w:hAnsi="Arial"/>
          <w:b w:val="0"/>
        </w:rPr>
        <w:t>2. Complete eligibility and current-symptom screening. A person who is ineligible will not begin headset or voice procedures and will receive any compensation required by the approved plan, if compensation is offered.</w:t>
      </w:r>
    </w:p>
    <w:p>
      <w:pPr>
        <w:spacing w:after="40"/>
        <w:ind w:left="360" w:hanging="259"/>
      </w:pPr>
      <w:r>
        <w:rPr>
          <w:rFonts w:ascii="Arial" w:hAnsi="Arial"/>
          <w:b w:val="0"/>
        </w:rPr>
        <w:t>3. Record approximately 1–2 minutes of the participant reading the approved neutral script in a private room using an institution-managed encrypted workstation. The file name will contain only the study ID and session/run identifier. Automatic cloud backup/synchronization will be disabled for the temporary recording location.</w:t>
      </w:r>
    </w:p>
    <w:p>
      <w:pPr>
        <w:spacing w:after="40"/>
        <w:ind w:left="360" w:hanging="259"/>
      </w:pPr>
      <w:r>
        <w:rPr>
          <w:rFonts w:ascii="Arial" w:hAnsi="Arial"/>
          <w:b w:val="0"/>
        </w:rPr>
        <w:t>4. Upload the recording over an encrypted TLS connection to ElevenLabs IVC or the final institution-approved provider. Before collection, the research account will have model-improvement sharing disabled. The clone will use a non-identifying alias, will remain private, and will never be published or shared to a voice library. Provider access will be limited to designated staff using individual least-privilege accounts, multi-factor authentication when supported, and revocable credentials.</w:t>
      </w:r>
    </w:p>
    <w:p>
      <w:pPr>
        <w:spacing w:after="40"/>
        <w:ind w:left="360" w:hanging="259"/>
      </w:pPr>
      <w:r>
        <w:rPr>
          <w:rFonts w:ascii="Arial" w:hAnsi="Arial"/>
          <w:b w:val="0"/>
        </w:rPr>
        <w:t>5. On the approved staff-controlled workstation, generate only the pre-enumerated study prompt library needed for that participant and record each generation in the restricted provider/deletion log. Copy the prepared audio clips to the headset under the study ID. The headset release build will contain no provider credential, make no provider API call, and accept no free-form synthesis text. Provider interfaces will not be used to generate speech outside the approved prompt library.</w:t>
      </w:r>
    </w:p>
    <w:p>
      <w:pPr>
        <w:spacing w:after="40"/>
        <w:ind w:left="360" w:hanging="259"/>
      </w:pPr>
      <w:r>
        <w:rPr>
          <w:rFonts w:ascii="Arial" w:hAnsi="Arial"/>
          <w:b w:val="0"/>
        </w:rPr>
        <w:t>6. Fit and sanitize the HTC Vive Focus Vision, explain passthrough, adjust fit/vision correction, seat the participant at the marked origin in a swivel chair, establish a clear rotational area, and perform manufacturer/system eye calibration. Validate gaze at multiple directions spanning the eight-plane field. Record calibration/validation result and retry count; abort startup if the approved criterion is not met.</w:t>
      </w:r>
    </w:p>
    <w:p>
      <w:pPr>
        <w:spacing w:after="40"/>
        <w:ind w:left="360" w:hanging="259"/>
      </w:pPr>
      <w:r>
        <w:rPr>
          <w:rFonts w:ascii="Arial" w:hAnsi="Arial"/>
          <w:b w:val="0"/>
        </w:rPr>
        <w:t xml:space="preserve">7. Complete standardized nonanalyzed practice with both guidance policies and both voices. Practice continues until the participant correctly completes three consecutive targets without intervention, up to eight trials. </w:t>
      </w:r>
      <w:r>
        <w:rPr>
          <w:rFonts w:ascii="Arial" w:hAnsi="Arial"/>
          <w:b/>
          <w:color w:val="9C0006"/>
          <w:highlight w:val="yellow"/>
        </w:rPr>
        <w:t>[OPEN DECISION: freeze the handling rule if the participant does not meet the criterion.]</w:t>
      </w:r>
    </w:p>
    <w:p>
      <w:pPr>
        <w:spacing w:after="40"/>
        <w:ind w:left="360" w:hanging="259"/>
      </w:pPr>
      <w:r>
        <w:rPr>
          <w:rFonts w:ascii="Arial" w:hAnsi="Arial"/>
          <w:b w:val="0"/>
        </w:rPr>
        <w:t>8. Complete four 16-trial blocks representing gaze-contingent/generic voice (C), gaze-contingent/self-similar voice (D), noncontingent/generic voice (A), and noncontingent/self-similar voice (B), for 64 analyzed trials. A four-sequence balanced Latin square (Williams design) assigns A-B-D-C, B-C-A-D, C-D-B-A, or D-A-C-B. A pre-generated randomized allocation schedule assigns 12 of the 48 complete datasets to each sequence; participant ID reveals the next assignment so the experimenter cannot select it. Within every condition, the target appears exactly twice on each of the eight planes. Shape, color, within-plane position, initial visibility, and layout family are balanced or rotated across cells, and immediate repetitions of target identity and plane are prohibited.</w:t>
      </w:r>
    </w:p>
    <w:p>
      <w:pPr>
        <w:spacing w:after="40"/>
        <w:ind w:left="360" w:hanging="259"/>
      </w:pPr>
      <w:r>
        <w:rPr>
          <w:rFonts w:ascii="Arial" w:hAnsi="Arial"/>
          <w:b w:val="0"/>
        </w:rPr>
        <w:t>9. In each trial, the participant begins facing the marked forward direction. A fixation display and spoken target description appear, followed by a provisional 0.5-0.9-second blank interval. All 56 objects then appear, seven on each of eight surrounding vertical planes at 45-degree intervals, and a dedicated `search_onset` event starts timing. The participant finds one target among distractors and selects by maintaining gaze hover for approximately 1.6 seconds. The 1.6-second dwell is a selection parameter, not a fixation definition. A wrong capture produces neutral feedback and search continues; correct capture ends the trial.</w:t>
      </w:r>
    </w:p>
    <w:p>
      <w:pPr>
        <w:spacing w:after="40"/>
        <w:ind w:left="360" w:hanging="259"/>
      </w:pPr>
      <w:r>
        <w:rPr>
          <w:rFonts w:ascii="Arial" w:hAnsi="Arial"/>
          <w:b w:val="0"/>
        </w:rPr>
        <w:t xml:space="preserve">10. A “hint opportunity” is a pre-scheduled time at which one prompt should play; “hint exposure” is a prompt that completed playback. The planned opportunity schedule begins 4 seconds after `search_onset` and repeats every 6 seconds until capture. In gaze-contingent blocks, the coarse stage plays a brief spatialized utterance from the target plane when that plane is outside the attended sector. After orientation to the plane, the fine stage normalizes angular gaze-target error by target angular size and a pilot-frozen operating range, then compares progress with the preceding valid fine-stage opportunity: warmer for meaningful approach, colder for movement away, about the same for negligible change, and very close within the target's angular extent plus a pilot-validated tolerance. The policy abstains when gaze is invalid or confidence is below threshold and uses hysteresis/cooldown. In noncontingent blocks, the assistant receives no gaze, hover, coverage, or target-proximity state and plays duration-matched general prompts at the same opportunities. Every opportunity logs raw angle, target angular size, normalized proximity, comparison reference, evidence, confidence, policy stage/state, utterance/voice identifier, playback onset/outcome, and abstention. </w:t>
      </w:r>
      <w:r>
        <w:rPr>
          <w:rFonts w:ascii="Arial" w:hAnsi="Arial"/>
          <w:b/>
          <w:color w:val="9C0006"/>
          <w:highlight w:val="yellow"/>
        </w:rPr>
        <w:t>[OPEN DECISION: freeze filters, confidence threshold, plane-entry rule, operating range, minimum meaningful proximity change, target tolerance, hysteresis, exact approved scripts, maximum trial duration, and any maximum hint count after formative pilot testing and before confirmatory collection.]</w:t>
      </w:r>
    </w:p>
    <w:p>
      <w:pPr>
        <w:spacing w:after="40"/>
        <w:ind w:left="360" w:hanging="259"/>
      </w:pPr>
      <w:r>
        <w:rPr>
          <w:rFonts w:ascii="Arial" w:hAnsi="Arial"/>
          <w:b w:val="0"/>
        </w:rPr>
        <w:t>11. Offer a break after every block and any time requested. Stop immediately for concerning symptoms or participant request.</w:t>
      </w:r>
    </w:p>
    <w:p>
      <w:pPr>
        <w:spacing w:after="40"/>
        <w:ind w:left="360" w:hanging="259"/>
      </w:pPr>
      <w:r>
        <w:rPr>
          <w:rFonts w:ascii="Arial" w:hAnsi="Arial"/>
          <w:b w:val="0"/>
        </w:rPr>
        <w:t>12. Complete the six raw NASA-TLX subscales after each block without pairwise weighting, following Hart and Staveland (1988), and brief guidance/voice manipulation, trust, helpfulness, reliance, comfort, and control checks. Complete demographics, experience, comparative ratings, and open-ended questions once at the end unless collected earlier as specified.</w:t>
      </w:r>
    </w:p>
    <w:p>
      <w:pPr>
        <w:spacing w:after="40"/>
        <w:ind w:left="360" w:hanging="259"/>
      </w:pPr>
      <w:r>
        <w:rPr>
          <w:rFonts w:ascii="Arial" w:hAnsi="Arial"/>
          <w:b w:val="0"/>
        </w:rPr>
        <w:t>13. Remove the headset, complete a symptom check, explain the study, answer questions, provide compensation under the approved plan if offered, and provide contact information.</w:t>
      </w:r>
    </w:p>
    <w:p>
      <w:pPr>
        <w:spacing w:after="40"/>
        <w:ind w:left="360" w:hanging="259"/>
      </w:pPr>
      <w:r>
        <w:rPr>
          <w:rFonts w:ascii="Arial" w:hAnsi="Arial"/>
          <w:b w:val="0"/>
        </w:rPr>
        <w:t>14. Verify transfer of coded research logs to approved UCF storage; delete the local source recording, private clone, source sample, generated self-similar clips/history where possible, and device TTS cache under the approved deletion procedure. Record the result. Treat any failed deletion of an identifiable voice asset as an immediate privacy incident: disable/revoke access to the clone, retry and escalate to the provider, notify the PI, assess UCF reporting, and suspend further voice collection while material exposure remains unresolved.</w:t>
      </w:r>
    </w:p>
    <w:p>
      <w:r>
        <w:rPr>
          <w:rFonts w:ascii="Arial" w:hAnsi="Arial"/>
          <w:b w:val="0"/>
        </w:rPr>
        <w:t>Participants may pause or stop at any time. No procedure involves physical contact other than optional researcher assistance adjusting the headset after permission.</w:t>
      </w:r>
    </w:p>
    <w:p>
      <w:r>
        <w:rPr>
          <w:rFonts w:ascii="Arial" w:hAnsi="Arial"/>
          <w:b w:val="0"/>
        </w:rPr>
        <w:t>Long-term follow-up: N/A.</w:t>
      </w:r>
    </w:p>
    <w:p>
      <w:r>
        <w:rPr>
          <w:rFonts w:ascii="Arial" w:hAnsi="Arial"/>
          <w:b w:val="0"/>
        </w:rPr>
        <w:t xml:space="preserve">Recontacting participants: N/A, except to provide compensation if offered or respond to a participant request. </w:t>
      </w:r>
      <w:r>
        <w:rPr>
          <w:rFonts w:ascii="Arial" w:hAnsi="Arial"/>
          <w:b/>
          <w:color w:val="9C0006"/>
          <w:highlight w:val="yellow"/>
        </w:rPr>
        <w:t>[OPEN DECISION: confirm.]</w:t>
      </w:r>
    </w:p>
    <w:p>
      <w:pPr>
        <w:pStyle w:val="Heading1"/>
      </w:pPr>
      <w:r>
        <w:rPr>
          <w:rFonts w:ascii="Arial" w:hAnsi="Arial"/>
          <w:b/>
        </w:rPr>
        <w:t>Setting</w:t>
      </w:r>
    </w:p>
    <w:p>
      <w:r>
        <w:rPr>
          <w:rFonts w:ascii="Arial" w:hAnsi="Arial"/>
          <w:b w:val="0"/>
        </w:rPr>
        <w:t xml:space="preserve">The study will occur in </w:t>
      </w:r>
      <w:r>
        <w:rPr>
          <w:rFonts w:ascii="Arial" w:hAnsi="Arial"/>
          <w:b/>
          <w:color w:val="9C0006"/>
          <w:highlight w:val="yellow"/>
        </w:rPr>
        <w:t>[OPEN DECISION: UCF building, lab, and room]</w:t>
      </w:r>
      <w:r>
        <w:rPr>
          <w:rFonts w:ascii="Arial" w:hAnsi="Arial"/>
          <w:b w:val="0"/>
        </w:rPr>
        <w:t>. The room will have a marked seated origin, swivel chair, clear rotational area, institution-managed encrypted researcher workstation, sanitized headset, microphone, and secure network. The release build will instantiate and validate eight vertical virtual search planes around the seated origin at 45-degree intervals. The door will be closed or access controlled during voice recording. A trained researcher will remain present.</w:t>
      </w:r>
    </w:p>
    <w:p>
      <w:r>
        <w:rPr>
          <w:rFonts w:ascii="Arial" w:hAnsi="Arial"/>
          <w:b w:val="0"/>
        </w:rPr>
        <w:t>The headset uses video-passthrough cameras to render the immediate environment locally. The current application does not save or transmit passthrough frames, room video, webcam video, or face video. Raw eye-camera images are not collected. Any future camera recording or image transfer requires prior IRB modification and updated consent.</w:t>
      </w:r>
    </w:p>
    <w:p>
      <w:r>
        <w:rPr>
          <w:rFonts w:ascii="Arial" w:hAnsi="Arial"/>
          <w:b w:val="0"/>
        </w:rPr>
        <w:t>Online procedures: N/A, except any approved pre-screening or scheduling form.</w:t>
      </w:r>
    </w:p>
    <w:p>
      <w:r>
        <w:rPr>
          <w:rFonts w:ascii="Arial" w:hAnsi="Arial"/>
          <w:b w:val="0"/>
        </w:rPr>
        <w:t>International/multi-site locations: N/A.</w:t>
      </w:r>
    </w:p>
    <w:p>
      <w:pPr>
        <w:pStyle w:val="Heading1"/>
      </w:pPr>
      <w:r>
        <w:rPr>
          <w:rFonts w:ascii="Arial" w:hAnsi="Arial"/>
          <w:b/>
        </w:rPr>
        <w:t>Study Timelines</w:t>
      </w:r>
    </w:p>
    <w:p>
      <w:r>
        <w:rPr>
          <w:rFonts w:ascii="Arial" w:hAnsi="Arial"/>
          <w:b w:val="0"/>
        </w:rPr>
        <w:t xml:space="preserve">Participant duration: </w:t>
      </w:r>
      <w:r>
        <w:rPr>
          <w:rFonts w:ascii="Arial" w:hAnsi="Arial"/>
          <w:b/>
          <w:color w:val="9C0006"/>
          <w:highlight w:val="yellow"/>
        </w:rPr>
        <w:t>[OPEN DECISION: proposed 75–90 minutes in one visit.]</w:t>
      </w:r>
    </w:p>
    <w:p>
      <w:r>
        <w:rPr>
          <w:rFonts w:ascii="Arial" w:hAnsi="Arial"/>
          <w:b w:val="0"/>
        </w:rPr>
        <w:t xml:space="preserve">Enrollment period: </w:t>
      </w:r>
      <w:r>
        <w:rPr>
          <w:rFonts w:ascii="Arial" w:hAnsi="Arial"/>
          <w:b/>
          <w:color w:val="9C0006"/>
          <w:highlight w:val="yellow"/>
        </w:rPr>
        <w:t>[OPEN DECISION.]</w:t>
      </w:r>
    </w:p>
    <w:p>
      <w:r>
        <w:rPr>
          <w:rFonts w:ascii="Arial" w:hAnsi="Arial"/>
          <w:b w:val="0"/>
        </w:rPr>
        <w:t xml:space="preserve">Analysis and study completion: </w:t>
      </w:r>
      <w:r>
        <w:rPr>
          <w:rFonts w:ascii="Arial" w:hAnsi="Arial"/>
          <w:b/>
          <w:color w:val="9C0006"/>
          <w:highlight w:val="yellow"/>
        </w:rPr>
        <w:t>[OPEN DECISION.]</w:t>
      </w:r>
    </w:p>
    <w:p>
      <w:r>
        <w:rPr>
          <w:rFonts w:ascii="Arial" w:hAnsi="Arial"/>
          <w:b w:val="0"/>
        </w:rPr>
        <w:t>No recruitment or research data collection will begin before written UCF approval. The study will close or seek continuing review/status updates as UCF requires.</w:t>
      </w:r>
    </w:p>
    <w:p>
      <w:pPr>
        <w:pStyle w:val="Heading1"/>
      </w:pPr>
      <w:r>
        <w:rPr>
          <w:rFonts w:ascii="Arial" w:hAnsi="Arial"/>
          <w:b/>
        </w:rPr>
        <w:t>Resources Available</w:t>
      </w:r>
    </w:p>
    <w:p>
      <w:r>
        <w:rPr>
          <w:rFonts w:ascii="Arial" w:hAnsi="Arial"/>
          <w:b w:val="0"/>
        </w:rPr>
        <w:t>Required resources include an eligible UCF PI, trained study staff, approved lab, HTC Vive Focus Vision, marked seated origin, stable swivel chair and clear rotational area, validated eight-plane virtual geometry, institution-managed encrypted staff workstation, compatible secure network, sanitized face interface, private microphone setup, UCF-approved encrypted archival storage, licensed/approved voice provider account, secure secrets management, data-transfer/deletion procedures, and time for consent and breaks.</w:t>
      </w:r>
    </w:p>
    <w:p>
      <w:r>
        <w:rPr>
          <w:rFonts w:ascii="Arial" w:hAnsi="Arial"/>
          <w:b w:val="0"/>
        </w:rPr>
        <w:t>All team members interacting with participants or identifiable data will be listed in Huron and complete required CITI training before beginning work. Staff will be trained on consent, headset safety, calibration, symptom response, data handling, deviations, adverse events, and vendor deletion.</w:t>
      </w:r>
    </w:p>
    <w:p>
      <w:r>
        <w:rPr>
          <w:rFonts w:ascii="Arial" w:hAnsi="Arial"/>
          <w:b/>
          <w:color w:val="9C0006"/>
          <w:highlight w:val="yellow"/>
        </w:rPr>
        <w:t>OPEN DECISION:</w:t>
      </w:r>
      <w:r>
        <w:rPr>
          <w:rFonts w:ascii="Arial" w:hAnsi="Arial"/>
          <w:b w:val="0"/>
        </w:rPr>
        <w:t xml:space="preserve"> Confirm whether information-security, privacy, purchasing/contracts, export-control, accessibility, or other ancillary review is required for the voice service and headset data path.</w:t>
      </w:r>
    </w:p>
    <w:p>
      <w:pPr>
        <w:pStyle w:val="Heading1"/>
      </w:pPr>
      <w:r>
        <w:rPr>
          <w:rFonts w:ascii="Arial" w:hAnsi="Arial"/>
          <w:b/>
        </w:rPr>
        <w:t>Potential Benefits to Subjects</w:t>
      </w:r>
    </w:p>
    <w:p>
      <w:r>
        <w:rPr>
          <w:rFonts w:ascii="Arial" w:hAnsi="Arial"/>
          <w:b w:val="0"/>
        </w:rPr>
        <w:t>Participants should not expect direct benefit. They may find the task interesting or learn generally about mixed-reality research. The research may contribute knowledge about adaptive assistance and voice similarity, but benefit to others is uncertain.</w:t>
      </w:r>
    </w:p>
    <w:p>
      <w:pPr>
        <w:pStyle w:val="Heading1"/>
      </w:pPr>
      <w:r>
        <w:rPr>
          <w:rFonts w:ascii="Arial" w:hAnsi="Arial"/>
          <w:b/>
        </w:rPr>
        <w:t>Risks to Subjects</w:t>
      </w:r>
    </w:p>
    <w:p>
      <w:r>
        <w:rPr>
          <w:rFonts w:ascii="Arial" w:hAnsi="Arial"/>
          <w:b w:val="0"/>
        </w:rPr>
        <w:t>Physical and sensory risks include temporary nausea, dizziness, disorientation, eyestrain, headache, fatigue, blurred vision, balance difficulty, or discomfort from headset fit. A rare seizure may be triggered in susceptible persons. Mitigations include screening, clear area, stable posture, fit adjustment, practice, frequent breaks, researcher monitoring, immediate stopping, headset removal, seated recovery, and emergency response when needed.</w:t>
      </w:r>
    </w:p>
    <w:p>
      <w:r>
        <w:rPr>
          <w:rFonts w:ascii="Arial" w:hAnsi="Arial"/>
          <w:b w:val="0"/>
        </w:rPr>
        <w:t>Privacy/confidentiality risks include unauthorized access to contact information, gaze and performance data, or identifiable voice assets. A voice recording or clone may identify the speaker. A synthetic clone can produce speech the participant never recorded, creating an impersonation or misuse concern. Mitigations include explicit authorization, a fixed neutral script, private recording, study IDs, separate linkage, encrypted approved storage, least-privilege access, no public sharing, no Voice Library publication, model-improvement opt-out, restricted prompt set, and documented deletion.</w:t>
      </w:r>
    </w:p>
    <w:p>
      <w:r>
        <w:rPr>
          <w:rFonts w:ascii="Arial" w:hAnsi="Arial"/>
          <w:b w:val="0"/>
        </w:rPr>
        <w:t>Third-party risk: The approved voice provider will receive source audio and study-authored prompt text and will create/process voice data. Provider systems and policy may not permit the team to guarantee immediate removal from every backup, security, or legal-retention system. ElevenLabs currently states that some user data may be used to improve models unless opted out and that generated voice data may be retained for up to three years after the last interaction, subject to deletion requests and policy exceptions. No participant audio will be uploaded until UCF approves the provider and the final consent accurately states the tested deletion limits.</w:t>
      </w:r>
    </w:p>
    <w:p>
      <w:r>
        <w:rPr>
          <w:rFonts w:ascii="Arial" w:hAnsi="Arial"/>
          <w:b w:val="0"/>
        </w:rPr>
        <w:t>Psychological/social risks include discomfort, self-consciousness, or an uncanny feeling when hearing a self-similar synthetic voice; frustration with incorrect or delayed hints; and concern about being evaluated. The system is not a diagnostic test, individual scores will not be shared with instructors/employers, participants may pause/stop, and staff will use nonjudgmental language.</w:t>
      </w:r>
    </w:p>
    <w:p>
      <w:r>
        <w:rPr>
          <w:rFonts w:ascii="Arial" w:hAnsi="Arial"/>
          <w:b w:val="0"/>
        </w:rPr>
        <w:t>Unforeseeable risks are possible because mixed-reality and voice-cloning systems evolve. New material risks or vendor changes will be submitted as a modification before use.</w:t>
      </w:r>
    </w:p>
    <w:p>
      <w:r>
        <w:rPr>
          <w:rFonts w:ascii="Arial" w:hAnsi="Arial"/>
          <w:b w:val="0"/>
        </w:rPr>
        <w:t>Pregnancy risks: No pregnancy-specific risk is known beyond ordinary headset discomfort; pregnancy is not an exclusion in this draft. UCF must confirm.</w:t>
      </w:r>
    </w:p>
    <w:p>
      <w:r>
        <w:rPr>
          <w:rFonts w:ascii="Arial" w:hAnsi="Arial"/>
          <w:b w:val="0"/>
        </w:rPr>
        <w:t>Risks to others: A cloned voice could be misused if accessed. The restricted prompt set, access controls, no sharing, and deletion procedure mitigate this risk.</w:t>
      </w:r>
    </w:p>
    <w:p>
      <w:r>
        <w:rPr>
          <w:rFonts w:ascii="Arial" w:hAnsi="Arial"/>
          <w:b w:val="0"/>
        </w:rPr>
        <w:t>Minimal-risk analysis: The team expects temporary headset symptoms to be comparable in probability and magnitude to ordinary use of a consumer mixed-reality headset with the listed screening and stop controls. The identifiable voice upload, synthetic-voice impersonation potential, and residual provider retention are less routine and are the load-bearing uncertainty in the proposed minimal-risk classification. The team will provide UCF with the final provider controls, deletion test, retention terms, and restricted-prompt workflow so UCF can compare the probability and magnitude of harm with the regulatory ordinary-life/routine-examination baseline. If UCF determines the study exceeds minimal risk, the protocol and consent will be revised to include the required injury, monitoring, and review provisions before enrollment.</w:t>
      </w:r>
    </w:p>
    <w:p>
      <w:pPr>
        <w:pStyle w:val="Heading1"/>
      </w:pPr>
      <w:r>
        <w:rPr>
          <w:rFonts w:ascii="Arial" w:hAnsi="Arial"/>
          <w:b/>
        </w:rPr>
        <w:t>Compensation for Research-Related Injury (for more than minimal risk studies only—if this is a minimal risk study, check N/A and skip to the Withdrawal of Subjects section)</w:t>
      </w:r>
    </w:p>
    <w:p>
      <w:r>
        <w:rPr>
          <w:rFonts w:ascii="Arial" w:hAnsi="Arial"/>
          <w:b w:val="0"/>
        </w:rPr>
        <w:t xml:space="preserve">N/A is proposed because the study is expected to be minimal risk. </w:t>
      </w:r>
      <w:r>
        <w:rPr>
          <w:rFonts w:ascii="Arial" w:hAnsi="Arial"/>
          <w:b/>
        </w:rPr>
        <w:t>[UCF must confirm the risk level and whether specific injury/cost language is required in the protocol and consent.]</w:t>
      </w:r>
      <w:r>
        <w:rPr>
          <w:rFonts w:ascii="Arial" w:hAnsi="Arial"/>
          <w:b w:val="0"/>
        </w:rPr>
        <w:t xml:space="preserve"> Staff will follow emergency procedures and document/report research-related problems as required.</w:t>
      </w:r>
    </w:p>
    <w:p>
      <w:pPr>
        <w:pStyle w:val="Heading1"/>
      </w:pPr>
      <w:r>
        <w:rPr>
          <w:rFonts w:ascii="Arial" w:hAnsi="Arial"/>
          <w:b/>
        </w:rPr>
        <w:t>Withdrawal of Subjects</w:t>
      </w:r>
    </w:p>
    <w:p>
      <w:r>
        <w:rPr>
          <w:rFonts w:ascii="Arial" w:hAnsi="Arial"/>
          <w:b w:val="0"/>
        </w:rPr>
        <w:t>Participants may decline any nonessential question, request a break, or withdraw at any time without penalty. Because voice recording/cloning and eye tracking are core procedures, a person who declines either before starting cannot participate in the main experiment but will not be penalized.</w:t>
      </w:r>
    </w:p>
    <w:p>
      <w:r>
        <w:rPr>
          <w:rFonts w:ascii="Arial" w:hAnsi="Arial"/>
          <w:b w:val="0"/>
        </w:rPr>
        <w:t>The researcher may stop participation for concerning symptoms, inability to safely use the headset or rotate while seated, repeated calibration failure, eight-plane geometry/origin validation failure, equipment/vendor failure, protocol noncompliance that creates risk, or study suspension. If compensation is offered, stopping for safety will not reduce compensation already earned under the approved prorating plan.</w:t>
      </w:r>
    </w:p>
    <w:p>
      <w:r>
        <w:rPr>
          <w:rFonts w:ascii="Arial" w:hAnsi="Arial"/>
          <w:b w:val="0"/>
        </w:rPr>
        <w:t>On withdrawal, no new data will be collected. The participant may request deletion of identifiable source voice assets and the linkage key to the extent they remain under team control. Data already de-identified or included in aggregate analysis may not be retrievable. The consent will accurately state these limits.</w:t>
      </w:r>
    </w:p>
    <w:p>
      <w:pPr>
        <w:pStyle w:val="Heading1"/>
      </w:pPr>
      <w:r>
        <w:rPr>
          <w:rFonts w:ascii="Arial" w:hAnsi="Arial"/>
          <w:b/>
        </w:rPr>
        <w:t>Economic Burden to Subjects (If there are no economic burdens to subjects, check N/A and skip to the Compensation section)</w:t>
      </w:r>
    </w:p>
    <w:p>
      <w:r>
        <w:rPr>
          <w:rFonts w:ascii="Arial" w:hAnsi="Arial"/>
          <w:b w:val="0"/>
        </w:rPr>
        <w:t xml:space="preserve">No study fee is proposed. Participants may incur ordinary travel, parking, and time costs. </w:t>
      </w:r>
      <w:r>
        <w:rPr>
          <w:rFonts w:ascii="Arial" w:hAnsi="Arial"/>
          <w:b/>
          <w:color w:val="9C0006"/>
          <w:highlight w:val="yellow"/>
        </w:rPr>
        <w:t>[OPEN DECISION: confirm whether parking reimbursement or any participant-purchased equipment/data is involved.]</w:t>
      </w:r>
    </w:p>
    <w:p>
      <w:pPr>
        <w:pStyle w:val="Heading1"/>
      </w:pPr>
      <w:r>
        <w:rPr>
          <w:rFonts w:ascii="Arial" w:hAnsi="Arial"/>
          <w:b/>
        </w:rPr>
        <w:t>Compensation</w:t>
      </w:r>
    </w:p>
    <w:p>
      <w:r>
        <w:rPr>
          <w:rFonts w:ascii="Arial" w:hAnsi="Arial"/>
          <w:b w:val="0"/>
        </w:rPr>
        <w:t xml:space="preserve">Are participants compensated? </w:t>
      </w:r>
      <w:r>
        <w:rPr>
          <w:rFonts w:ascii="Arial" w:hAnsi="Arial"/>
          <w:b/>
          <w:color w:val="9C0006"/>
          <w:highlight w:val="yellow"/>
        </w:rPr>
        <w:t>[OPEN DECISION: yes/no.]</w:t>
      </w:r>
    </w:p>
    <w:p>
      <w:r>
        <w:rPr>
          <w:rFonts w:ascii="Arial" w:hAnsi="Arial"/>
          <w:b w:val="0"/>
        </w:rPr>
        <w:t>If yes, specify amount, form (cash/check/gift card/course credit), funding source, payment records, timing, prorating, no-show policy, and withdrawal payment. Compensation will not depend on task performance, correct responses, eye-tracking quality, voice-clone quality, or analyzability. If course credit is offered, an equivalent nonresearch alternative will be available.</w:t>
      </w:r>
    </w:p>
    <w:p>
      <w:pPr>
        <w:pStyle w:val="Heading1"/>
      </w:pPr>
      <w:r>
        <w:rPr>
          <w:rFonts w:ascii="Arial" w:hAnsi="Arial"/>
          <w:b/>
        </w:rPr>
        <w:t>Data Validity</w:t>
      </w:r>
    </w:p>
    <w:p>
      <w:r>
        <w:rPr>
          <w:rFonts w:ascii="Arial" w:hAnsi="Arial"/>
          <w:b w:val="0"/>
        </w:rPr>
        <w:t>The team will use a frozen build/configuration, nonrepeating deterministic stimulus manifests balanced across sequences, the four-sequence Williams schedule, exact per-condition target-plane quotas, practice trials, calibration/validation checks, session checklist, event logs, and automated file validation. Researcher notes will document deviations and technical failures. Generic/self-similar versions of each semantic prompt will be matched or normalized for wording, duration range, loudness, intelligibility, spatial rendering, and delivery settings; technical quality-control results will be recorded. Provider product/model/version and synthesis settings will be recorded for every generated library. A provider/model or material quality drift will pause collection pending PI review and, when required, an IRB modification.</w:t>
      </w:r>
    </w:p>
    <w:p>
      <w:r>
        <w:rPr>
          <w:rFonts w:ascii="Arial" w:hAnsi="Arial"/>
          <w:b w:val="0"/>
        </w:rPr>
        <w:t xml:space="preserve">Before analysis, the PI will approve objective exclusion rules. Pre-assignment eligibility/calibration failures will be distinguished from post-assignment tracking failures. Proposed reason codes include: consent withdrawn; ineligible; calibration failure after specified retries; eight-plane geometry/origin validation failure; post-assignment tracking availability below </w:t>
      </w:r>
      <w:r>
        <w:rPr>
          <w:rFonts w:ascii="Arial" w:hAnsi="Arial"/>
          <w:b/>
          <w:color w:val="9C0006"/>
          <w:highlight w:val="yellow"/>
        </w:rPr>
        <w:t>[OPEN DECISION threshold]</w:t>
      </w:r>
      <w:r>
        <w:rPr>
          <w:rFonts w:ascii="Arial" w:hAnsi="Arial"/>
          <w:b w:val="0"/>
        </w:rPr>
        <w:t xml:space="preserve">; missing `search_onset` or response event; corrupted/incomplete file; incorrect build/configuration/schedule; major interruption; and noncompletion. A wrong selection does not exclude a trial: primary search time continues from `search_onset` through the eventual correct capture, and wrong selections are analyzed as a secondary count/outcome. The primary assignment-policy analysis will retain assigned participants/trials to the extent an outcome is observable; per-protocol and missing-data sensitivity analyses will assess tracking-dependent failures. Outlier handling and minimum valid-trial requirements are </w:t>
      </w:r>
      <w:r>
        <w:rPr>
          <w:rFonts w:ascii="Arial" w:hAnsi="Arial"/>
          <w:b/>
          <w:color w:val="9C0006"/>
          <w:highlight w:val="yellow"/>
        </w:rPr>
        <w:t>[OPEN DECISION]</w:t>
      </w:r>
      <w:r>
        <w:rPr>
          <w:rFonts w:ascii="Arial" w:hAnsi="Arial"/>
          <w:b w:val="0"/>
        </w:rPr>
        <w:t>. Exclusions will not be based on condition results, manipulation-check ratings, or voice similarity and will not affect compensation, if offered.</w:t>
      </w:r>
    </w:p>
    <w:p>
      <w:r>
        <w:rPr>
          <w:rFonts w:ascii="Arial" w:hAnsi="Arial"/>
          <w:b w:val="0"/>
        </w:rPr>
        <w:t>Participant disposition will report screened, enrolled, started, completed, withdrawn, excluded by reason, and analyzed. Coded raw task, telemetry, and questionnaire files will be retained under the approved policy so exclusions are auditable; identifiable voice assets follow their separate approved deletion schedule.</w:t>
      </w:r>
    </w:p>
    <w:p>
      <w:pPr>
        <w:pStyle w:val="Heading1"/>
      </w:pPr>
      <w:r>
        <w:rPr>
          <w:rFonts w:ascii="Arial" w:hAnsi="Arial"/>
          <w:b/>
        </w:rPr>
        <w:t>Sharing Results with Subjects</w:t>
      </w:r>
    </w:p>
    <w:p>
      <w:r>
        <w:rPr>
          <w:rFonts w:ascii="Arial" w:hAnsi="Arial"/>
          <w:b w:val="0"/>
        </w:rPr>
        <w:t xml:space="preserve">Individual performance or eye-tracking results will not be returned because they are research measures, not diagnostic assessments. Participants may request a plain-language aggregate summary after the study by contacting the team. </w:t>
      </w:r>
      <w:r>
        <w:rPr>
          <w:rFonts w:ascii="Arial" w:hAnsi="Arial"/>
          <w:b/>
          <w:color w:val="9C0006"/>
          <w:highlight w:val="yellow"/>
        </w:rPr>
        <w:t>[OPEN DECISION: whether/how summaries will be offered without retaining an unnecessary contact list.]</w:t>
      </w:r>
    </w:p>
    <w:p>
      <w:pPr>
        <w:pStyle w:val="Heading1"/>
      </w:pPr>
      <w:r>
        <w:rPr>
          <w:rFonts w:ascii="Arial" w:hAnsi="Arial"/>
          <w:b/>
        </w:rPr>
        <w:t>Data Management and Confidentiality</w:t>
      </w:r>
    </w:p>
    <w:p>
      <w:r>
        <w:rPr>
          <w:rFonts w:ascii="Arial" w:hAnsi="Arial"/>
          <w:b w:val="0"/>
        </w:rPr>
        <w:t>Identifiable data access/collection:</w:t>
      </w:r>
    </w:p>
    <w:p>
      <w:pPr>
        <w:spacing w:after="40"/>
        <w:ind w:left="360" w:hanging="259"/>
      </w:pPr>
      <w:r>
        <w:rPr>
          <w:rFonts w:ascii="Arial" w:hAnsi="Arial"/>
          <w:b w:val="0"/>
        </w:rPr>
        <w:t>• Contact/scheduling information: yes, if a participant contacts the team.</w:t>
      </w:r>
    </w:p>
    <w:p>
      <w:pPr>
        <w:spacing w:after="40"/>
        <w:ind w:left="360" w:hanging="259"/>
      </w:pPr>
      <w:r>
        <w:rPr>
          <w:rFonts w:ascii="Arial" w:hAnsi="Arial"/>
          <w:b w:val="0"/>
        </w:rPr>
        <w:t>• Signed consent and compensation records: yes.</w:t>
      </w:r>
    </w:p>
    <w:p>
      <w:pPr>
        <w:spacing w:after="40"/>
        <w:ind w:left="360" w:hanging="259"/>
      </w:pPr>
      <w:r>
        <w:rPr>
          <w:rFonts w:ascii="Arial" w:hAnsi="Arial"/>
          <w:b w:val="0"/>
        </w:rPr>
        <w:t>• Voice recording: yes.</w:t>
      </w:r>
    </w:p>
    <w:p>
      <w:pPr>
        <w:spacing w:after="40"/>
        <w:ind w:left="360" w:hanging="259"/>
      </w:pPr>
      <w:r>
        <w:rPr>
          <w:rFonts w:ascii="Arial" w:hAnsi="Arial"/>
          <w:b w:val="0"/>
        </w:rPr>
        <w:t>• Voice data/private clone and self-similar synthesized speech: yes; potentially identifiable.</w:t>
      </w:r>
    </w:p>
    <w:p>
      <w:pPr>
        <w:spacing w:after="40"/>
        <w:ind w:left="360" w:hanging="259"/>
      </w:pPr>
      <w:r>
        <w:rPr>
          <w:rFonts w:ascii="Arial" w:hAnsi="Arial"/>
          <w:b w:val="0"/>
        </w:rPr>
        <w:t>• Eye tracking, interaction telemetry, performance, questionnaires, and limited demographics: coded with a study ID.</w:t>
      </w:r>
    </w:p>
    <w:p>
      <w:pPr>
        <w:spacing w:after="40"/>
        <w:ind w:left="360" w:hanging="259"/>
      </w:pPr>
      <w:r>
        <w:rPr>
          <w:rFonts w:ascii="Arial" w:hAnsi="Arial"/>
          <w:b w:val="0"/>
        </w:rPr>
        <w:t>• Video/face/room recording: no.</w:t>
      </w:r>
    </w:p>
    <w:p>
      <w:pPr>
        <w:spacing w:after="40"/>
        <w:ind w:left="360" w:hanging="259"/>
      </w:pPr>
      <w:r>
        <w:rPr>
          <w:rFonts w:ascii="Arial" w:hAnsi="Arial"/>
          <w:b w:val="0"/>
        </w:rPr>
        <w:t>• Protected health information or medical records: no.</w:t>
      </w:r>
    </w:p>
    <w:p>
      <w:pPr>
        <w:spacing w:after="40"/>
        <w:ind w:left="360" w:hanging="259"/>
      </w:pPr>
      <w:r>
        <w:rPr>
          <w:rFonts w:ascii="Arial" w:hAnsi="Arial"/>
          <w:b w:val="0"/>
        </w:rPr>
        <w:t>• Biospecimens: no.</w:t>
      </w:r>
    </w:p>
    <w:p>
      <w:r>
        <w:rPr>
          <w:rFonts w:ascii="Arial" w:hAnsi="Arial"/>
          <w:b w:val="0"/>
        </w:rPr>
        <w:t>Data flow:</w:t>
      </w:r>
    </w:p>
    <w:p>
      <w:pPr>
        <w:spacing w:after="40"/>
        <w:ind w:left="360" w:hanging="259"/>
      </w:pPr>
      <w:r>
        <w:rPr>
          <w:rFonts w:ascii="Arial" w:hAnsi="Arial"/>
          <w:b w:val="0"/>
        </w:rPr>
        <w:t>1. Contact/screening and consent records are stored separately from research data.</w:t>
      </w:r>
    </w:p>
    <w:p>
      <w:pPr>
        <w:spacing w:after="40"/>
        <w:ind w:left="360" w:hanging="259"/>
      </w:pPr>
      <w:r>
        <w:rPr>
          <w:rFonts w:ascii="Arial" w:hAnsi="Arial"/>
          <w:b w:val="0"/>
        </w:rPr>
        <w:t xml:space="preserve">2. A study ID is assigned. The identity-to-ID key is encrypted and restricted to </w:t>
      </w:r>
      <w:r>
        <w:rPr>
          <w:rFonts w:ascii="Arial" w:hAnsi="Arial"/>
          <w:b/>
          <w:color w:val="9C0006"/>
          <w:highlight w:val="yellow"/>
        </w:rPr>
        <w:t>[OPEN DECISION: roles]</w:t>
      </w:r>
      <w:r>
        <w:rPr>
          <w:rFonts w:ascii="Arial" w:hAnsi="Arial"/>
          <w:b w:val="0"/>
        </w:rPr>
        <w:t>.</w:t>
      </w:r>
    </w:p>
    <w:p>
      <w:pPr>
        <w:spacing w:after="40"/>
        <w:ind w:left="360" w:hanging="259"/>
      </w:pPr>
      <w:r>
        <w:rPr>
          <w:rFonts w:ascii="Arial" w:hAnsi="Arial"/>
          <w:b w:val="0"/>
        </w:rPr>
        <w:t>3. The source voice file is recorded on an institution-managed encrypted workstation using only the study ID, uploaded over encrypted TLS to the approved IVC account, and used to create a private clone and fixed study prompts. The temporary folder will not synchronize to consumer/cloud backup.</w:t>
      </w:r>
    </w:p>
    <w:p>
      <w:pPr>
        <w:spacing w:after="40"/>
        <w:ind w:left="360" w:hanging="259"/>
      </w:pPr>
      <w:r>
        <w:rPr>
          <w:rFonts w:ascii="Arial" w:hAnsi="Arial"/>
          <w:b w:val="0"/>
        </w:rPr>
        <w:t>4. Prepared speech clips are copied to the headset without provider credentials. The headset writes gaze and trial files to `Application.persistentDataPath/GazeData` in participant/run folders. Generated/prepared TTS clips may be cached locally. The headset and workstation are institution-managed, encrypted or protected by an institution-approved equivalent control, access-restricted, and not configured to back up study folders automatically. These device locations are temporary working storage, not the archival repository.</w:t>
      </w:r>
    </w:p>
    <w:p>
      <w:pPr>
        <w:spacing w:after="40"/>
        <w:ind w:left="360" w:hanging="259"/>
      </w:pPr>
      <w:r>
        <w:rPr>
          <w:rFonts w:ascii="Arial" w:hAnsi="Arial"/>
          <w:b w:val="0"/>
        </w:rPr>
        <w:t xml:space="preserve">5. After the session, coded logs/questionnaires are transferred to </w:t>
      </w:r>
      <w:r>
        <w:rPr>
          <w:rFonts w:ascii="Arial" w:hAnsi="Arial"/>
          <w:b/>
          <w:color w:val="9C0006"/>
          <w:highlight w:val="yellow"/>
        </w:rPr>
        <w:t>[OPEN DECISION: approved UCF encrypted storage]</w:t>
      </w:r>
      <w:r>
        <w:rPr>
          <w:rFonts w:ascii="Arial" w:hAnsi="Arial"/>
          <w:b w:val="0"/>
        </w:rPr>
        <w:t>, checked for completeness/checksum, and removed from the headset after verified transfer.</w:t>
      </w:r>
    </w:p>
    <w:p>
      <w:pPr>
        <w:spacing w:after="40"/>
        <w:ind w:left="360" w:hanging="259"/>
      </w:pPr>
      <w:r>
        <w:rPr>
          <w:rFonts w:ascii="Arial" w:hAnsi="Arial"/>
          <w:b w:val="0"/>
        </w:rPr>
        <w:t xml:space="preserve">6. Source recording, provider sample/clone/history, self-similar generated clips, and device cache are deleted on the approved schedule, with operator/date/result recorded. A failed deletion triggers immediate access containment, PI escalation, UCF reportability assessment, and a pause on further voice collection while exposure remains unresolved. </w:t>
      </w:r>
      <w:r>
        <w:rPr>
          <w:rFonts w:ascii="Arial" w:hAnsi="Arial"/>
          <w:b/>
          <w:color w:val="9C0006"/>
          <w:highlight w:val="yellow"/>
        </w:rPr>
        <w:t>[OPEN DECISION: final timing and vendor residual-retention language.]</w:t>
      </w:r>
    </w:p>
    <w:p>
      <w:r>
        <w:rPr>
          <w:rFonts w:ascii="Arial" w:hAnsi="Arial"/>
          <w:b w:val="0"/>
        </w:rPr>
        <w:t>Access will be limited by role. Consent/payment records and the linkage key will not be stored with gaze/questionnaire data. Filenames, provider voice names, application logs, and CSV files will not contain names, emails, or initials. Provider credentials will be stored only on the approved staff workflow in an institution-approved secrets mechanism, rotated/revoked on suspected exposure or staff change, and never embedded in the headset release build or study datasets.</w:t>
      </w:r>
    </w:p>
    <w:p>
      <w:r>
        <w:rPr>
          <w:rFonts w:ascii="Arial" w:hAnsi="Arial"/>
          <w:b w:val="0"/>
        </w:rPr>
        <w:t xml:space="preserve">Retention: Coded research data, approved protocol/materials, consent records, audit logs, and analysis code will be retained for at least </w:t>
      </w:r>
      <w:r>
        <w:rPr>
          <w:rFonts w:ascii="Arial" w:hAnsi="Arial"/>
          <w:b/>
          <w:color w:val="9C0006"/>
          <w:highlight w:val="yellow"/>
        </w:rPr>
        <w:t>[OPEN DECISION: UCF-required period; working proposal is five years after study closure or publication, whichever UCF requires]</w:t>
      </w:r>
      <w:r>
        <w:rPr>
          <w:rFonts w:ascii="Arial" w:hAnsi="Arial"/>
          <w:b w:val="0"/>
        </w:rPr>
        <w:t>. The PI will ask UCF whether identifiable voice assets may/should be deleted earlier after derived measures and audit fields are secured. The consent will match the approved schedule.</w:t>
      </w:r>
    </w:p>
    <w:p>
      <w:r>
        <w:rPr>
          <w:rFonts w:ascii="Arial" w:hAnsi="Arial"/>
          <w:b w:val="0"/>
        </w:rPr>
        <w:t xml:space="preserve">Data sharing: De-identified aggregate results and possibly a de-identified coded dataset may be published. Raw voice recordings, clone identifiers, generated self-similar clips, identity key, contact information, consent/payment records, and precise raw data that UCF determines could reasonably identify a person will not be publicly shared. </w:t>
      </w:r>
      <w:r>
        <w:rPr>
          <w:rFonts w:ascii="Arial" w:hAnsi="Arial"/>
          <w:b/>
          <w:color w:val="9C0006"/>
          <w:highlight w:val="yellow"/>
        </w:rPr>
        <w:t>[OPEN DECISION: repository and data-sharing plan.]</w:t>
      </w:r>
    </w:p>
    <w:p>
      <w:r>
        <w:rPr>
          <w:rFonts w:ascii="Arial" w:hAnsi="Arial"/>
          <w:b w:val="0"/>
        </w:rPr>
        <w:t xml:space="preserve">No Certificate of Confidentiality is currently proposed. </w:t>
      </w:r>
      <w:r>
        <w:rPr>
          <w:rFonts w:ascii="Arial" w:hAnsi="Arial"/>
          <w:b/>
        </w:rPr>
        <w:t>[UCF must confirm eligibility/need.]</w:t>
      </w:r>
    </w:p>
    <w:p>
      <w:pPr>
        <w:pStyle w:val="Heading1"/>
      </w:pPr>
      <w:r>
        <w:rPr>
          <w:rFonts w:ascii="Arial" w:hAnsi="Arial"/>
          <w:b/>
        </w:rPr>
        <w:t>Long-Term Data and/or Specimen Banking (If there are no plans for long-term data and/or specimen banking, check N/A and skip to the Data Analysis Plan section)</w:t>
      </w:r>
    </w:p>
    <w:p>
      <w:r>
        <w:rPr>
          <w:rFonts w:ascii="Arial" w:hAnsi="Arial"/>
          <w:b w:val="0"/>
        </w:rPr>
        <w:t>N/A. The study does not collect specimens and does not propose a repository for future unspecified research. Retention of coded research records for reproducibility and UCF recordkeeping is described above and is not permission to reuse identifiable voice assets in another study.</w:t>
      </w:r>
    </w:p>
    <w:p>
      <w:pPr>
        <w:pStyle w:val="Heading1"/>
      </w:pPr>
      <w:r>
        <w:rPr>
          <w:rFonts w:ascii="Arial" w:hAnsi="Arial"/>
          <w:b/>
        </w:rPr>
        <w:t>Data Analysis Plan</w:t>
      </w:r>
    </w:p>
    <w:p>
      <w:r>
        <w:rPr>
          <w:rFonts w:ascii="Arial" w:hAnsi="Arial"/>
          <w:b w:val="0"/>
        </w:rPr>
        <w:t>The primary analysis will model trial-level search time across the 2 × 2 within-participant conditions with a log-normal mixed-effects model. Fixed effects will include guidance policy, voice identity, their interaction, centered trial index, block position, target azimuth/plane, and initial target visibility. Participant random intercepts and within-participant slopes for both manipulated factors will be included when estimable. Search time runs from explicit `search_onset` through correct capture, including time spent on preceding wrong captures. The estimand is assignment to the complete guidance policy, not receipt of any individual hint. The guidance main effect and guidance-by-voice interaction on search time are the focal contrasts; Holm's sequential procedure will control multiplicity across the two tests.</w:t>
      </w:r>
    </w:p>
    <w:p>
      <w:r>
        <w:rPr>
          <w:rFonts w:ascii="Arial" w:hAnsi="Arial"/>
          <w:b w:val="0"/>
        </w:rPr>
        <w:t>Wrong-capture counts will use a negative-binomial generalized mixed model, and first-attempt success will use a logistic mixed model. Head-yaw travel, target-plane latency, plane revisits, and hint-response latency will use distributions selected from blinded pilot diagnostics and frozen before confirmatory analysis. Post-block continuous ratings will use linear mixed models; ordinal models will be used when interval assumptions are untenable. Models will include counterbalancing sequence/order/prior condition and distinguish confirmatory from exploratory analyses. Missingness and exclusions will be summarized by condition. Voice-similarity and perceived-guidance-responsiveness checks support causal interpretation but are not post-assignment exclusion criteria. Because participants can recognize the self-similar voice, voice-condition blinding is not possible. The design supports relative claims about gaze-contingent versus noncontingent policies, not either policy versus no assistance. The analysis will not relabel XRI hover/dwell inspection proxies as validated fixation or saccade measures.</w:t>
      </w:r>
    </w:p>
    <w:p>
      <w:r>
        <w:rPr>
          <w:rFonts w:ascii="Arial" w:hAnsi="Arial"/>
          <w:b w:val="0"/>
        </w:rPr>
        <w:t>A simulation-based sensitivity and power analysis using pilot variance components must confirm the target of 48 complete datasets and determine the enrolled maximum before preregistration. The plan and code will be timestamped before condition-effect analysis.</w:t>
      </w:r>
    </w:p>
    <w:p>
      <w:pPr>
        <w:pStyle w:val="Heading1"/>
      </w:pPr>
      <w:r>
        <w:rPr>
          <w:rFonts w:ascii="Arial" w:hAnsi="Arial"/>
          <w:b/>
        </w:rPr>
        <w:t>Provisions to Monitor the Data to Ensure the Safety of Subjects (for more than minimal risk studies only—if this is a minimal risk study, check N/A and skip to the Provisions to Protect the Privacy Interests of Subjects section)</w:t>
      </w:r>
    </w:p>
    <w:p>
      <w:r>
        <w:rPr>
          <w:rFonts w:ascii="Arial" w:hAnsi="Arial"/>
          <w:b w:val="0"/>
        </w:rPr>
        <w:t xml:space="preserve">N/A is proposed because the study is expected to be minimal risk and no independent data-safety monitoring board is proposed. Session staff will nevertheless monitor symptoms and technical/privacy incidents in real time; the PI will review events, deviations, withdrawals, tracking failures, and deletion failures at </w:t>
      </w:r>
      <w:r>
        <w:rPr>
          <w:rFonts w:ascii="Arial" w:hAnsi="Arial"/>
          <w:b/>
          <w:color w:val="9C0006"/>
          <w:highlight w:val="yellow"/>
        </w:rPr>
        <w:t>[OPEN DECISION: specified interval]</w:t>
      </w:r>
      <w:r>
        <w:rPr>
          <w:rFonts w:ascii="Arial" w:hAnsi="Arial"/>
          <w:b w:val="0"/>
        </w:rPr>
        <w:t xml:space="preserve"> and pause the study if risk or failure patterns exceed the approved stopping criteria. UCF must confirm whether this monitoring description is sufficient.</w:t>
      </w:r>
    </w:p>
    <w:p>
      <w:pPr>
        <w:pStyle w:val="Heading1"/>
      </w:pPr>
      <w:r>
        <w:rPr>
          <w:rFonts w:ascii="Arial" w:hAnsi="Arial"/>
          <w:b/>
        </w:rPr>
        <w:t>Provisions to Protect the Privacy Interests of Subjects</w:t>
      </w:r>
    </w:p>
    <w:p>
      <w:r>
        <w:rPr>
          <w:rFonts w:ascii="Arial" w:hAnsi="Arial"/>
          <w:b w:val="0"/>
        </w:rPr>
        <w:t>Consent, screening, and voice recording will occur in a private area. Participants will be addressed respectfully and may skip nonessential questions, take breaks, or stop. Only necessary demographics will be collected. The headset view and researcher monitor will be positioned to reduce observation by passersby. No individual results will be disclosed to instructors, employers, or other participants.</w:t>
      </w:r>
    </w:p>
    <w:p>
      <w:r>
        <w:rPr>
          <w:rFonts w:ascii="Arial" w:hAnsi="Arial"/>
          <w:b w:val="0"/>
        </w:rPr>
        <w:t>The research team will explain what the headset tracks and demonstrate neutral audio output before experimental trials without revealing condition labels or directional hypotheses. The source script avoids names and sensitive content. The clone will only synthesize a fixed, approved set of neutral task phrases on the staff-controlled workflow. Provider account access will be limited to designated staff with individual least-privilege accounts, multi-factor authentication when supported, revocable credentials, and an auditable generation/deletion record. Staff will not imitate participants, generate jokes/personal statements, or use the voice outside the session.</w:t>
      </w:r>
    </w:p>
    <w:p>
      <w:pPr>
        <w:pStyle w:val="Heading1"/>
      </w:pPr>
      <w:r>
        <w:rPr>
          <w:rFonts w:ascii="Arial" w:hAnsi="Arial"/>
          <w:b/>
        </w:rPr>
        <w:t>Adverse Events, Unanticipated Problems, and Deviations</w:t>
      </w:r>
    </w:p>
    <w:p>
      <w:r>
        <w:rPr>
          <w:rFonts w:ascii="Arial" w:hAnsi="Arial"/>
          <w:b w:val="0"/>
        </w:rPr>
        <w:t>For symptoms or immediate risk, the researcher will stop the task, remove the headset, seat the participant, assess whether emergency assistance is needed, and follow UCF/lab emergency procedures. The researcher will document observations and participant-reported symptoms without making a diagnosis, notify the PI promptly, and preserve relevant device/build records.</w:t>
      </w:r>
    </w:p>
    <w:p>
      <w:r>
        <w:rPr>
          <w:rFonts w:ascii="Arial" w:hAnsi="Arial"/>
          <w:b w:val="0"/>
        </w:rPr>
        <w:t>The PI will assess and report adverse events, unanticipated problems, confidentiality incidents, and serious/continuing noncompliance according to current UCF requirements. Changes will not be implemented before UCF approval except when necessary to eliminate an immediate hazard; emergency changes will be reported promptly.</w:t>
      </w:r>
    </w:p>
    <w:p>
      <w:r>
        <w:rPr>
          <w:rFonts w:ascii="Arial" w:hAnsi="Arial"/>
          <w:b w:val="0"/>
        </w:rPr>
        <w:t>Protocol modifications requiring prior review include changes to voice provider/model/account/data use, recording duration/script, deletion/retention, camera or audio collection, telemetry fields, eligibility, recruitment, compensation, trial/block schedule, counterbalancing, hint timing/content, outcomes, sample size, sites, or study team.</w:t>
      </w:r>
    </w:p>
    <w:p>
      <w:pPr>
        <w:pStyle w:val="Heading1"/>
      </w:pPr>
      <w:r>
        <w:rPr>
          <w:rFonts w:ascii="Arial" w:hAnsi="Arial"/>
          <w:b/>
        </w:rPr>
        <w:t>Records</w:t>
      </w:r>
    </w:p>
    <w:p>
      <w:r>
        <w:rPr>
          <w:rFonts w:ascii="Arial" w:hAnsi="Arial"/>
          <w:b w:val="0"/>
        </w:rPr>
        <w:t>The PI will maintain current and superseded approvals/protocols/consents/materials; Huron correspondence; study-team/CITI/delegation records; screening/enrollment and consent logs; build/configuration and session records; counterbalancing assignments; data-transfer and deletion logs; compensation records if applicable; deviations/events and corrective actions; data dictionaries; coded raw task/telemetry/questionnaire data; analysis code/outputs; publications; and closure records for the approved retention period. Identifiable source voice recordings, provider samples/clones/history, and self-similar clips follow the separately approved early-deletion schedule and are not included in the general “raw data” retention statement.</w:t>
      </w:r>
    </w:p>
    <w:p>
      <w:pPr>
        <w:pStyle w:val="Heading1"/>
      </w:pPr>
      <w:r>
        <w:rPr>
          <w:rFonts w:ascii="Arial" w:hAnsi="Arial"/>
          <w:b/>
        </w:rPr>
        <w:t>Rationale for the Voice-Cloning Factor and Provider Path</w:t>
      </w:r>
    </w:p>
    <w:p>
      <w:r>
        <w:rPr>
          <w:rFonts w:ascii="Arial" w:hAnsi="Arial"/>
          <w:b w:val="0"/>
        </w:rPr>
        <w:t>The self-similar voice factor is a core scientific aim of the 2 × 2 design because the study tests whether voice similarity changes the effect of gaze-contingent assistance, not merely whether gaze contingency works with a generic voice. The final hypothesis hierarchy and power analysis must reflect that interaction; if it remains only a low-priority exploratory outcome, the PI will reconsider whether identifiable voice cloning is proportionate to the added risk.</w:t>
      </w:r>
    </w:p>
    <w:p>
      <w:r>
        <w:rPr>
          <w:rFonts w:ascii="Arial" w:hAnsi="Arial"/>
          <w:b/>
          <w:color w:val="9C0006"/>
          <w:highlight w:val="yellow"/>
        </w:rPr>
        <w:t>OPEN DECISION:</w:t>
      </w:r>
      <w:r>
        <w:rPr>
          <w:rFonts w:ascii="Arial" w:hAnsi="Arial"/>
          <w:b w:val="0"/>
        </w:rPr>
        <w:t xml:space="preserve"> Before submission, compare an institution-hosted/on-device voice-conversion or cloning workflow with the proposed approved cloud IVC workflow. Document voice quality, latency/session feasibility, security review, deletion control, contracting, and reproducibility. Use the lower-risk path that can validly deliver the manipulation. If no acceptable voice path is approved, remove the voice factor through a protocol revision rather than collecting identifiable voice data under an unapproved compromise.</w:t>
      </w:r>
    </w:p>
    <w:p>
      <w:pPr>
        <w:pStyle w:val="Heading1"/>
      </w:pPr>
      <w:r>
        <w:rPr>
          <w:rFonts w:ascii="Arial" w:hAnsi="Arial"/>
          <w:b/>
        </w:rPr>
        <w:t>Multi-Site Research</w:t>
      </w:r>
    </w:p>
    <w:p>
      <w:r>
        <w:rPr>
          <w:rFonts w:ascii="Arial" w:hAnsi="Arial"/>
          <w:b w:val="0"/>
        </w:rPr>
        <w:t>N/A. This is currently a single-site UCF study. Adding a site or relying institution requires a modification and reliance/IRB determination before that site begins work.</w:t>
      </w:r>
    </w:p>
    <w:p>
      <w:pPr>
        <w:pStyle w:val="Heading1"/>
      </w:pPr>
      <w:r>
        <w:rPr>
          <w:rFonts w:ascii="Arial" w:hAnsi="Arial"/>
          <w:b/>
        </w:rPr>
        <w:t>References and External Services</w:t>
      </w:r>
    </w:p>
    <w:p>
      <w:pPr>
        <w:spacing w:after="40"/>
        <w:ind w:left="360" w:hanging="259"/>
      </w:pPr>
      <w:r>
        <w:rPr>
          <w:rFonts w:ascii="Arial" w:hAnsi="Arial"/>
          <w:b w:val="0"/>
        </w:rPr>
        <w:t>• UCF Office of Research, IRB and current Huron guidance: https://www.research.ucf.edu/compliance/irb/</w:t>
      </w:r>
    </w:p>
    <w:p>
      <w:pPr>
        <w:spacing w:after="40"/>
        <w:ind w:left="360" w:hanging="259"/>
      </w:pPr>
      <w:r>
        <w:rPr>
          <w:rFonts w:ascii="Arial" w:hAnsi="Arial"/>
          <w:b w:val="0"/>
        </w:rPr>
        <w:t>• Federal Policy for the Protection of Human Subjects, 45 CFR 46: https://www.ecfr.gov/current/title-45/subtitle-A/subchapter-A/part-46</w:t>
      </w:r>
    </w:p>
    <w:p>
      <w:pPr>
        <w:spacing w:after="40"/>
        <w:ind w:left="360" w:hanging="259"/>
      </w:pPr>
      <w:r>
        <w:rPr>
          <w:rFonts w:ascii="Arial" w:hAnsi="Arial"/>
          <w:b w:val="0"/>
        </w:rPr>
        <w:t>• Hart, S. G., &amp; Staveland, L. E. (1988). Development of NASA-TLX (Task Load Index): Results of empirical and theoretical research. In P. A. Hancock &amp; N. Meshkati (Eds.), Human Mental Workload (pp. 139–183). North-Holland. https://doi.org/10.1016/S0166-4115(08)62386-9</w:t>
      </w:r>
    </w:p>
    <w:p>
      <w:pPr>
        <w:spacing w:after="40"/>
        <w:ind w:left="360" w:hanging="259"/>
      </w:pPr>
      <w:r>
        <w:rPr>
          <w:rFonts w:ascii="Arial" w:hAnsi="Arial"/>
          <w:b w:val="0"/>
        </w:rPr>
        <w:t>• Kwok, T. C. K., Kiefer, P., &amp; Raubal, M. (2022). Two-Step Gaze Guidance. ICMI, 299–309. https://doi.org/10.1145/3536221.3556612</w:t>
      </w:r>
    </w:p>
    <w:p>
      <w:pPr>
        <w:spacing w:after="40"/>
        <w:ind w:left="360" w:hanging="259"/>
      </w:pPr>
      <w:r>
        <w:rPr>
          <w:rFonts w:ascii="Arial" w:hAnsi="Arial"/>
          <w:b w:val="0"/>
        </w:rPr>
        <w:t>• Warden, A. C., et al. (2022). Visual Search in Augmented Reality: Effect of Target Cue Type and Location. HFES Annual Meeting, 66(1), 373–377. https://doi.org/10.1177/1071181322661260</w:t>
      </w:r>
    </w:p>
    <w:p>
      <w:pPr>
        <w:spacing w:after="40"/>
        <w:ind w:left="360" w:hanging="259"/>
      </w:pPr>
      <w:r>
        <w:rPr>
          <w:rFonts w:ascii="Arial" w:hAnsi="Arial"/>
          <w:b w:val="0"/>
        </w:rPr>
        <w:t>• Kelley, B., et al. (2025). The Importance of Cueing While Visually Searching a 360 Degree Environment for Multiple Targets in the Presence of Distractors. VRST, 1–11. https://doi.org/10.1145/3756884.3765992</w:t>
      </w:r>
    </w:p>
    <w:p>
      <w:pPr>
        <w:spacing w:after="40"/>
        <w:ind w:left="360" w:hanging="259"/>
      </w:pPr>
      <w:r>
        <w:rPr>
          <w:rFonts w:ascii="Arial" w:hAnsi="Arial"/>
          <w:b w:val="0"/>
        </w:rPr>
        <w:t>• Chiossi, F., et al. (2024). Searching Across Realities: Investigating ERPs and Eye-Tracking Correlates of Visual Search in Mixed Reality. IEEE TVCG, 30(11), 6997–7007. https://doi.org/10.1109/TVCG.2024.3456172</w:t>
      </w:r>
    </w:p>
    <w:p>
      <w:pPr>
        <w:spacing w:after="40"/>
        <w:ind w:left="360" w:hanging="259"/>
      </w:pPr>
      <w:r>
        <w:rPr>
          <w:rFonts w:ascii="Arial" w:hAnsi="Arial"/>
          <w:b w:val="0"/>
        </w:rPr>
        <w:t>• Kao, D., et al. (2021). The Effects of a Self-Similar Avatar Voice in Educational Games. PACMHCI, 5(CHI PLAY), 1–28. https://doi.org/10.1145/3474665</w:t>
      </w:r>
    </w:p>
    <w:p>
      <w:pPr>
        <w:spacing w:after="40"/>
        <w:ind w:left="360" w:hanging="259"/>
      </w:pPr>
      <w:r>
        <w:rPr>
          <w:rFonts w:ascii="Arial" w:hAnsi="Arial"/>
          <w:b w:val="0"/>
        </w:rPr>
        <w:t>• Guo, S., et al. (2024). Collaborating with My Doppelgänger. PACMCGIT, 7(1), 1–23. https://doi.org/10.1145/3651288</w:t>
      </w:r>
    </w:p>
    <w:p>
      <w:pPr>
        <w:spacing w:after="40"/>
        <w:ind w:left="360" w:hanging="259"/>
      </w:pPr>
      <w:r>
        <w:rPr>
          <w:rFonts w:ascii="Arial" w:hAnsi="Arial"/>
          <w:b w:val="0"/>
        </w:rPr>
        <w:t>• Williams, E. J. (1949). Experimental Designs Balanced for the Estimation of Residual Effects of Treatments. Australian Journal of Scientific Research Series A, 2(2), 149–168. https://doi.org/10.1071/CH9490149</w:t>
      </w:r>
    </w:p>
    <w:p>
      <w:pPr>
        <w:spacing w:after="40"/>
        <w:ind w:left="360" w:hanging="259"/>
      </w:pPr>
      <w:r>
        <w:rPr>
          <w:rFonts w:ascii="Arial" w:hAnsi="Arial"/>
          <w:b w:val="0"/>
        </w:rPr>
        <w:t>• ElevenLabs Instant Voice Cloning: https://elevenlabs.io/docs/eleven-creative/voices/voice-cloning/instant-voice-cloning</w:t>
      </w:r>
    </w:p>
    <w:p>
      <w:pPr>
        <w:spacing w:after="40"/>
        <w:ind w:left="360" w:hanging="259"/>
      </w:pPr>
      <w:r>
        <w:rPr>
          <w:rFonts w:ascii="Arial" w:hAnsi="Arial"/>
          <w:b w:val="0"/>
        </w:rPr>
        <w:t>• ElevenLabs voice-cloning concepts: https://elevenlabs.io/docs/eleven-api/concepts/voice-cloning</w:t>
      </w:r>
    </w:p>
    <w:p>
      <w:pPr>
        <w:spacing w:after="40"/>
        <w:ind w:left="360" w:hanging="259"/>
      </w:pPr>
      <w:r>
        <w:rPr>
          <w:rFonts w:ascii="Arial" w:hAnsi="Arial"/>
          <w:b w:val="0"/>
        </w:rPr>
        <w:t>• ElevenLabs privacy policy: https://elevenlabs.io/privacy-policy</w:t>
      </w:r>
    </w:p>
    <w:p>
      <w:pPr>
        <w:spacing w:before="240"/>
        <w:jc w:val="center"/>
      </w:pPr>
      <w:r>
        <w:rPr>
          <w:rFonts w:ascii="Arial" w:hAnsi="Arial"/>
          <w:i/>
          <w:color w:val="646464"/>
          <w:sz w:val="16"/>
        </w:rPr>
        <w:t>Draft generated from HRP-503 - TEMPLATE - Protocol.docx structure and styles. Content source: protocol.md.</w:t>
      </w:r>
    </w:p>
    <w:sectPr w:rsidR="00416A41" w:rsidRPr="00153B2F">
      <w:headerReference w:type="default" r:id="rId11"/>
      <w:footerReference w:type="default" r:id="rId12"/>
      <w:type w:val="continuous"/>
      <w:pgSz w:w="12240" w:h="15840"/>
      <w:pgMar w:top="792"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pPr>
      <w:spacing w:after="120" w:line="240" w:lineRule="auto"/>
    </w:pPr>
    <w:rPr>
      <w:rFonts w:ascii="Arial" w:hAnsi="Arial"/>
      <w:sz w:val="20"/>
      <w:szCs w:val="24"/>
    </w:rPr>
  </w:style>
  <w:style w:type="paragraph" w:styleId="Heading1">
    <w:name w:val="heading 1"/>
    <w:basedOn w:val="Normal"/>
    <w:next w:val="Normal"/>
    <w:link w:val="Heading1Char"/>
    <w:qFormat/>
    <w:rsid w:val="00811473"/>
    <w:pPr>
      <w:keepNext/>
      <w:numPr>
        <w:numId w:val="16"/>
      </w:numPr>
      <w:spacing w:before="200" w:after="100"/>
      <w:outlineLvl w:val="0"/>
    </w:pPr>
    <w:rPr>
      <w:rFonts w:ascii="Arial" w:hAnsi="Arial"/>
      <w:b/>
      <w:color w:val="1F4E79"/>
      <w:sz w:val="28"/>
      <w:szCs w:val="28"/>
    </w:rPr>
  </w:style>
  <w:style w:type="paragraph" w:styleId="Heading3">
    <w:name w:val="heading 3"/>
    <w:basedOn w:val="Normal"/>
    <w:next w:val="Normal"/>
    <w:qFormat/>
    <w:rsid w:val="008D7AA0"/>
    <w:pPr>
      <w:keepNext/>
      <w:spacing w:before="200" w:after="100"/>
      <w:outlineLvl w:val="2"/>
    </w:pPr>
    <w:rPr>
      <w:rFonts w:ascii="Arial" w:hAnsi="Arial" w:cs="Arial"/>
      <w:b/>
      <w:bCs/>
      <w:color w:val="40404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 w:type="paragraph" w:customStyle="1" w:styleId="Title">
    <w:name w:val="Title"/>
    <w:pPr>
      <w:keepNext/>
      <w:spacing w:before="0" w:after="100"/>
    </w:pPr>
    <w:rPr>
      <w:rFonts w:ascii="Arial" w:hAnsi="Arial"/>
      <w:b/>
      <w:color w:val="000000"/>
      <w:sz w:val="36"/>
    </w:rPr>
  </w:style>
  <w:style w:type="paragraph" w:customStyle="1" w:styleId="Heading2">
    <w:name w:val="heading 2"/>
    <w:pPr>
      <w:keepNext/>
      <w:spacing w:before="200" w:after="100"/>
    </w:pPr>
    <w:rPr>
      <w:rFonts w:ascii="Arial" w:hAnsi="Arial"/>
      <w:b/>
      <w:color w:val="1F4E79"/>
      <w:sz w:val="22"/>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HRP-503_Gaze_Contingency_Protocol_DRAFT</dc:title>
  <dc:subject>First-pass UCF IRB submission draft</dc:subject>
  <dc:creator>Gaze Contingency Project research team</dc:creator>
  <cp:keywords>UCF, IRB, mixed reality, eye tracking, voice cloning</cp:keywords>
  <dc:description>Generated from auditable Markdown; resolve all OPEN DECISION items before submission.</dc:description>
  <cp:lastModifiedBy>Kamille Birkbeck</cp:lastModifiedBy>
  <cp:revision>2</cp:revision>
  <dcterms:created xsi:type="dcterms:W3CDTF">2026-03-03T19:08:00Z</dcterms:created>
  <dcterms:modified xsi:type="dcterms:W3CDTF">2026-03-03T19:08:00Z</dcterms:modified>
  <cp:category/>
</cp:coreProperties>
</file>