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F03" w:rsidRPr="00514F03" w:rsidRDefault="00514F03" w:rsidP="00514F03">
      <w:pPr>
        <w:pStyle w:val="NormalWeb"/>
        <w:spacing w:before="0" w:beforeAutospacing="0" w:after="120" w:afterAutospacing="0"/>
        <w:rPr>
          <w:rFonts w:ascii="Arial" w:hAnsi="Arial" w:cs="Arial"/>
          <w:b/>
          <w:sz w:val="30"/>
          <w:szCs w:val="30"/>
        </w:rPr>
      </w:pPr>
      <w:r>
        <w:rPr>
          <w:rFonts w:ascii="Arial" w:hAnsi="Arial" w:cs="Arial"/>
          <w:b/>
          <w:sz w:val="30"/>
          <w:szCs w:val="30"/>
        </w:rPr>
        <w:t xml:space="preserve">Nota: </w:t>
      </w:r>
      <w:r w:rsidRPr="00514F03">
        <w:rPr>
          <w:rFonts w:ascii="Arial" w:hAnsi="Arial" w:cs="Arial"/>
          <w:b/>
          <w:sz w:val="30"/>
          <w:szCs w:val="30"/>
        </w:rPr>
        <w:t xml:space="preserve">Lo marcado en </w:t>
      </w:r>
      <w:r w:rsidRPr="00514F03">
        <w:rPr>
          <w:rFonts w:ascii="Arial" w:hAnsi="Arial" w:cs="Arial"/>
          <w:b/>
          <w:color w:val="00B050"/>
          <w:sz w:val="30"/>
          <w:szCs w:val="30"/>
        </w:rPr>
        <w:t>verde</w:t>
      </w:r>
      <w:r w:rsidRPr="00514F03">
        <w:rPr>
          <w:rFonts w:ascii="Arial" w:hAnsi="Arial" w:cs="Arial"/>
          <w:b/>
          <w:sz w:val="30"/>
          <w:szCs w:val="30"/>
        </w:rPr>
        <w:t xml:space="preserve"> está hecho</w:t>
      </w:r>
    </w:p>
    <w:p w:rsidR="00514F03" w:rsidRDefault="00514F03" w:rsidP="00514F03">
      <w:pPr>
        <w:pStyle w:val="NormalWeb"/>
        <w:spacing w:before="0" w:beforeAutospacing="0" w:after="120" w:afterAutospacing="0"/>
      </w:pPr>
      <w:r>
        <w:rPr>
          <w:rFonts w:ascii="Arial" w:hAnsi="Arial" w:cs="Arial"/>
          <w:color w:val="666666"/>
          <w:sz w:val="30"/>
          <w:szCs w:val="30"/>
          <w:u w:val="single"/>
        </w:rPr>
        <w:t>1ra Entrega</w:t>
      </w:r>
      <w:r>
        <w:rPr>
          <w:rFonts w:ascii="Arial" w:hAnsi="Arial" w:cs="Arial"/>
          <w:color w:val="666666"/>
          <w:sz w:val="30"/>
          <w:szCs w:val="30"/>
        </w:rPr>
        <w:t xml:space="preserve"> (14 de Junio)</w:t>
      </w:r>
    </w:p>
    <w:p w:rsidR="00514F03" w:rsidRP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14F03">
        <w:rPr>
          <w:rFonts w:ascii="Arial" w:hAnsi="Arial" w:cs="Arial"/>
          <w:color w:val="000000"/>
          <w:sz w:val="22"/>
          <w:szCs w:val="22"/>
          <w:highlight w:val="green"/>
        </w:rPr>
        <w:t>Colocar una carta de monstruo en posición de ataque.</w:t>
      </w:r>
    </w:p>
    <w:p w:rsidR="00514F03" w:rsidRP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14F03">
        <w:rPr>
          <w:rFonts w:ascii="Arial" w:hAnsi="Arial" w:cs="Arial"/>
          <w:color w:val="000000"/>
          <w:sz w:val="22"/>
          <w:szCs w:val="22"/>
          <w:highlight w:val="green"/>
        </w:rPr>
        <w:t>Colocar un monstruo en posición de defensa</w:t>
      </w:r>
    </w:p>
    <w:p w:rsidR="00514F03" w:rsidRPr="00AA179A"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AA179A">
        <w:rPr>
          <w:rFonts w:ascii="Arial" w:hAnsi="Arial" w:cs="Arial"/>
          <w:color w:val="000000"/>
          <w:sz w:val="22"/>
          <w:szCs w:val="22"/>
          <w:highlight w:val="green"/>
        </w:rPr>
        <w:t>Colocar una carta mágica en el campo boca abajo (no activa ningún efecto)</w:t>
      </w:r>
    </w:p>
    <w:p w:rsidR="00514F03" w:rsidRPr="00AA179A"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AA179A">
        <w:rPr>
          <w:rFonts w:ascii="Arial" w:hAnsi="Arial" w:cs="Arial"/>
          <w:color w:val="000000"/>
          <w:sz w:val="22"/>
          <w:szCs w:val="22"/>
          <w:highlight w:val="green"/>
        </w:rPr>
        <w:t>Colocar una carta trampa en el campo boca abajo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Mandar una carta al cementerio (sinónimo de destruir) y verificar que estén ahí.</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ataque, el oponente coloca otra carta de monstruo en posición de ataque (con mayor ataque). Atacar al primer monstruo y verificar que este se destruyó, y sufro daño a los puntos de vida igual a la diferencia de los puntos de ataque de los monstruos</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ataque, el oponente coloca otra carta de monstruo en posición de ataque (con menor ataque), atacar al primer monstruo, verificar que el monstruo atacante es destruido y el atacante recibe daño a los puntos de vida igual a la diferencia de ataques.</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ataque, el oponente coloca otra carta de monstruo en posición de ataque (con igual ataque), atacar al primer monstruo, verificar que ambos monstruos son destruidos y nadie recibe daño a los puntos de vida.</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defensa, el oponente coloca otra carta de monstruo en posición de ataque (con mayor ataque que la defensa del primer monstruo), atacar al primer monstruo y verificar que este se destruyó y no sufrió ningún daño vital.</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defensa, el oponente coloca otra carta de monstruo en posición de ataque (con menor ataque que la defensa del primer monstruo), atacar al primer monstruo y verificar que este no se destruyó y no sufrió ningún daño vital.</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monstruos en ambos lados del campo. Colocar “Agujero negro” boca arriba (es decir, se activa el efecto). Verificar que se destruyeron todos los monstruos de ambos lados del campo, y que nadie recibió daño alguno.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coloca un monstruo en el campo, se quiere colocar un monstruo de 5 o 6 estrellas que requiere sacrificio. se verifica que se convocó al monstruo y se destruyó el primero.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colocan 2  monstruos en el campo, se quiere colocar un monstruo de 7 o más estrellas que requiere 2 sacrificios. se verifica que se convocó al monstruo y se destruyeron los demás.</w:t>
      </w:r>
    </w:p>
    <w:p w:rsidR="00776E2C" w:rsidRDefault="00776E2C"/>
    <w:sectPr w:rsidR="00776E2C" w:rsidSect="00D603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D31"/>
    <w:multiLevelType w:val="multilevel"/>
    <w:tmpl w:val="11961E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14F03"/>
    <w:rsid w:val="00514F03"/>
    <w:rsid w:val="00776E2C"/>
    <w:rsid w:val="00AA179A"/>
    <w:rsid w:val="00D603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D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4F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85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1953</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dcterms:created xsi:type="dcterms:W3CDTF">2018-06-11T15:02:00Z</dcterms:created>
  <dcterms:modified xsi:type="dcterms:W3CDTF">2018-06-13T01:02:00Z</dcterms:modified>
</cp:coreProperties>
</file>