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Projeto InvestiApp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Especificação de Caso de Uso: UC5 Obter Cotação de 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e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Este caso de uso tem por objetivo que o Investidor obtenha a cotação das ações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Investidor, Sistema de Gerenciamento de Ações.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Investidor autenticado pelo UC2.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Lista com cotação fornecida pelo Sistema de Gerenciamento de Ações ao Investidor 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993" w:hanging="596"/>
        <w:contextualSpacing w:val="0"/>
      </w:pPr>
      <w:r w:rsidDel="00000000" w:rsidR="00000000" w:rsidRPr="00000000">
        <w:rPr>
          <w:rtl w:val="0"/>
        </w:rPr>
        <w:t xml:space="preserve">Usuário se autentica no sistema como Investidor, e escolhe no menu da tela inicial a opção Obter Cotação de Ações (interface I01).</w:t>
      </w:r>
    </w:p>
    <w:p w:rsidR="00000000" w:rsidDel="00000000" w:rsidP="00000000" w:rsidRDefault="00000000" w:rsidRPr="00000000">
      <w:pPr>
        <w:pStyle w:val="Heading3"/>
        <w:ind w:left="993" w:hanging="596"/>
        <w:contextualSpacing w:val="0"/>
      </w:pPr>
      <w:r w:rsidDel="00000000" w:rsidR="00000000" w:rsidRPr="00000000">
        <w:rPr>
          <w:rtl w:val="0"/>
        </w:rPr>
        <w:t xml:space="preserve">Sistema de Gerenciamento de Ações, lista junto aos recursos da BOVESPA o valor das Ações para o Investidor..</w:t>
      </w:r>
    </w:p>
    <w:p w:rsidR="00000000" w:rsidDel="00000000" w:rsidP="00000000" w:rsidRDefault="00000000" w:rsidRPr="00000000">
      <w:pPr>
        <w:pStyle w:val="Heading3"/>
        <w:ind w:left="993" w:hanging="596"/>
        <w:contextualSpacing w:val="0"/>
      </w:pPr>
      <w:r w:rsidDel="00000000" w:rsidR="00000000" w:rsidRPr="00000000">
        <w:rPr>
          <w:rtl w:val="0"/>
        </w:rPr>
        <w:t xml:space="preserve">Sistema exibe a Lista das Ações do dia em destaque para o Investidor que pode selecionar para ver o gráfico, junto com seu valor (interface I02).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900" w:hanging="900"/>
        <w:contextualSpacing w:val="0"/>
        <w:jc w:val="both"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Fluxo Alternativo 1 – Compra de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1418" w:hanging="1021"/>
        <w:contextualSpacing w:val="0"/>
      </w:pPr>
      <w:r w:rsidDel="00000000" w:rsidR="00000000" w:rsidRPr="00000000">
        <w:rPr>
          <w:rtl w:val="0"/>
        </w:rPr>
        <w:t xml:space="preserve">Investidor após receber a listagem de Ações escolhe uma Ação para visualizar o valor e comprar.</w:t>
      </w:r>
    </w:p>
    <w:p w:rsidR="00000000" w:rsidDel="00000000" w:rsidP="00000000" w:rsidRDefault="00000000" w:rsidRPr="00000000">
      <w:pPr>
        <w:pStyle w:val="Heading3"/>
        <w:ind w:left="1418" w:hanging="1021"/>
        <w:contextualSpacing w:val="0"/>
      </w:pPr>
      <w:r w:rsidDel="00000000" w:rsidR="00000000" w:rsidRPr="00000000">
        <w:rPr>
          <w:rtl w:val="0"/>
        </w:rPr>
        <w:t xml:space="preserve">Sistema redireciona para a janela com dados para pagamento (interface I03).</w:t>
      </w:r>
    </w:p>
    <w:p w:rsidR="00000000" w:rsidDel="00000000" w:rsidP="00000000" w:rsidRDefault="00000000" w:rsidRPr="00000000">
      <w:pPr>
        <w:pStyle w:val="Heading3"/>
        <w:ind w:left="1418" w:hanging="1021"/>
        <w:contextualSpacing w:val="0"/>
      </w:pPr>
      <w:r w:rsidDel="00000000" w:rsidR="00000000" w:rsidRPr="00000000">
        <w:rPr>
          <w:rtl w:val="0"/>
        </w:rPr>
        <w:t xml:space="preserve">Sistema confirma o pagamento junto ao Banco, em seguida envia os dados da compra pelo email cadastrado e registra o cliente como dono daquela ação.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900" w:hanging="90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900" w:hanging="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Detalhamento das Interfaces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I01 – Tela Inicial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Esboço da Interface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438150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414500" y="1419225"/>
                            <a:ext cx="4791000" cy="2771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INVESTIAPP - 2016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14500" y="2805075"/>
                            <a:ext cx="733500" cy="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16125" y="1825131"/>
                            <a:ext cx="480600" cy="4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47074" y="1825131"/>
                            <a:ext cx="556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38600" y="2805075"/>
                            <a:ext cx="6669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 rot="-2518544">
                            <a:off x="1432613" y="2103707"/>
                            <a:ext cx="1001172" cy="43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Contatar o Administrador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 rot="-1130">
                            <a:off x="2897387" y="1631339"/>
                            <a:ext cx="18252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Vender suas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 rot="2715284">
                            <a:off x="5063838" y="2196473"/>
                            <a:ext cx="1192830" cy="35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Obter Histórico de Atividades.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749125" y="3568275"/>
                            <a:ext cx="2800500" cy="4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Obter Cotação de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438150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709" w:firstLine="0"/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Comandos</w:t>
      </w:r>
    </w:p>
    <w:tbl>
      <w:tblPr>
        <w:tblStyle w:val="Table1"/>
        <w:bidi w:val="0"/>
        <w:tblW w:w="99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445"/>
        <w:tblGridChange w:id="0">
          <w:tblGrid>
            <w:gridCol w:w="2517"/>
            <w:gridCol w:w="74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Opções da Tela Inicial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Contatar o Administrador, Vender suas Ações, Obter Histórico de Atividades, Obter Cotação de Ações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tela Inicial é possível escolher entre as opções que convem ao investidor, a opção Obter Cotação de 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I02 – Tela de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Esboço da Interface</w:t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75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571575" y="1364100"/>
                            <a:ext cx="22671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Ações do Dia (Destaques e Altas em primeiro)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571575" y="1981275"/>
                            <a:ext cx="2267100" cy="23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2400375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2771850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3143325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3514800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1025" y="3886275"/>
                            <a:ext cx="2286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47550" y="2101225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PETR4 (Petrobrás)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2847975" y="2000250"/>
                            <a:ext cx="171300" cy="23526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2847975" y="2025025"/>
                            <a:ext cx="171300" cy="202200"/>
                          </a:xfrm>
                          <a:prstGeom prst="up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847975" y="4131675"/>
                            <a:ext cx="171300" cy="2022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47975" y="2419350"/>
                            <a:ext cx="17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867025" y="3886125"/>
                            <a:ext cx="171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3228975" y="1390650"/>
                            <a:ext cx="3562500" cy="59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Ação selecionada: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PETR4 (Petrobrás)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3038475" y="2057400"/>
                            <a:ext cx="2286000" cy="22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3057525" y="2085975"/>
                            <a:ext cx="2267100" cy="2266800"/>
                          </a:xfrm>
                          <a:prstGeom prst="frame">
                            <a:avLst>
                              <a:gd fmla="val 12500" name="adj1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362325" y="3238575"/>
                            <a:ext cx="705000" cy="409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4067325" y="2457450"/>
                            <a:ext cx="971355" cy="781137"/>
                          </a:xfrm>
                          <a:custGeom>
                            <a:pathLst>
                              <a:path extrusionOk="0" h="32004" w="38862">
                                <a:moveTo>
                                  <a:pt x="0" y="32004"/>
                                </a:moveTo>
                                <a:cubicBezTo>
                                  <a:pt x="2413" y="31178"/>
                                  <a:pt x="9652" y="30734"/>
                                  <a:pt x="14478" y="27051"/>
                                </a:cubicBezTo>
                                <a:cubicBezTo>
                                  <a:pt x="19304" y="23368"/>
                                  <a:pt x="26162" y="14097"/>
                                  <a:pt x="28956" y="9906"/>
                                </a:cubicBezTo>
                                <a:cubicBezTo>
                                  <a:pt x="31750" y="5715"/>
                                  <a:pt x="29591" y="3556"/>
                                  <a:pt x="31242" y="1905"/>
                                </a:cubicBezTo>
                                <a:cubicBezTo>
                                  <a:pt x="32893" y="254"/>
                                  <a:pt x="37592" y="317"/>
                                  <a:pt x="3886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019275" y="4038675"/>
                            <a:ext cx="5910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Mês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3352800" y="2367000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895400" y="2071800"/>
                            <a:ext cx="5910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Valor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35718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38004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0290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42576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44862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4714800" y="2383575"/>
                            <a:ext cx="219300" cy="167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2628900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43275" y="284797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52875" y="3086100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330517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43275" y="3529050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376237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62325" y="3971925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9" name="Shape 69"/>
                        <wps:spPr>
                          <a:xfrm>
                            <a:off x="5343525" y="2047875"/>
                            <a:ext cx="1447800" cy="1038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Valor da Ação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(Preço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Unitário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):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3,64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3028950" y="1990725"/>
                            <a:ext cx="16764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Gráfico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5343675" y="3095700"/>
                            <a:ext cx="1447800" cy="409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Comprar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647550" y="242305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Vale do Rio Doce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638025" y="2794537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Biscoitos S.A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637950" y="316600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Unichristus S.A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637950" y="354700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R4 (Nintendo)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637950" y="3928000"/>
                            <a:ext cx="1505100" cy="20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Sony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5553000" y="2638500"/>
                            <a:ext cx="276300" cy="29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5895825" y="2685000"/>
                            <a:ext cx="276300" cy="2022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5314950" y="2607600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Campos </w:t>
      </w:r>
    </w:p>
    <w:tbl>
      <w:tblPr>
        <w:tblStyle w:val="Table2"/>
        <w:bidi w:val="0"/>
        <w:tblW w:w="91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2490"/>
        <w:gridCol w:w="2490"/>
        <w:gridCol w:w="1650"/>
        <w:tblGridChange w:id="0">
          <w:tblGrid>
            <w:gridCol w:w="2490"/>
            <w:gridCol w:w="2490"/>
            <w:gridCol w:w="2490"/>
            <w:gridCol w:w="16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Valores Válidos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Quantidade de 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Números Inteiros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Comandos</w:t>
      </w:r>
    </w:p>
    <w:tbl>
      <w:tblPr>
        <w:tblStyle w:val="Table3"/>
        <w:bidi w:val="0"/>
        <w:tblW w:w="99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7425"/>
        <w:tblGridChange w:id="0">
          <w:tblGrid>
            <w:gridCol w:w="2550"/>
            <w:gridCol w:w="7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Ícone da Ação (Diversas)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a Ação selecionada para ver gráfico e preço unitário.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Ícone de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após escolhida uma ou mais Ações, a janela de pagamento.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I03 – Janela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Esboço da Interface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93345</wp:posOffset>
                </wp:positionH>
                <wp:positionV relativeFrom="paragraph">
                  <wp:posOffset>0</wp:posOffset>
                </wp:positionV>
                <wp:extent cx="6238875" cy="375092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0922"/>
                          <a:chOff x="571500" y="628650"/>
                          <a:chExt cx="6238875" cy="3743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00075" y="1428750"/>
                            <a:ext cx="3591000" cy="293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600075" y="2114550"/>
                            <a:ext cx="3591000" cy="22479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38175" y="1533525"/>
                            <a:ext cx="35529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Dados para pagamento da Ação selecionada: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71500" y="2667000"/>
                            <a:ext cx="2562300" cy="2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19125" y="2314575"/>
                            <a:ext cx="2514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Nome Completo: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71500" y="3219450"/>
                            <a:ext cx="2562300" cy="2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28650" y="2876475"/>
                            <a:ext cx="23811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Endereço para Cobrança: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71500" y="3752850"/>
                            <a:ext cx="1686000" cy="2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71500" y="3438525"/>
                            <a:ext cx="1962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Numero do Cartão: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533650" y="3771900"/>
                            <a:ext cx="895200" cy="285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/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457450" y="3438375"/>
                            <a:ext cx="12384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Val. Cartão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286250" y="2124075"/>
                            <a:ext cx="2514600" cy="224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295775" y="1428750"/>
                            <a:ext cx="2514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Obrigado por utilizar a InvestiApp!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762500" y="2533575"/>
                            <a:ext cx="1447800" cy="1038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PETR4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33,64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4971975" y="3124200"/>
                            <a:ext cx="276300" cy="29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33925" y="3093300"/>
                            <a:ext cx="2763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5314950" y="3162300"/>
                            <a:ext cx="276300" cy="1809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643400" y="3738600"/>
                            <a:ext cx="1686000" cy="3525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Confirmar Compra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71500" y="866775"/>
                            <a:ext cx="619200" cy="457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676275" y="952500"/>
                            <a:ext cx="419100" cy="295200"/>
                          </a:xfrm>
                          <a:prstGeom prst="curvedLef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93345</wp:posOffset>
                </wp:positionH>
                <wp:positionV relativeFrom="paragraph">
                  <wp:posOffset>0</wp:posOffset>
                </wp:positionV>
                <wp:extent cx="6238875" cy="3750922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0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Campos </w:t>
      </w:r>
    </w:p>
    <w:tbl>
      <w:tblPr>
        <w:tblStyle w:val="Table4"/>
        <w:bidi w:val="0"/>
        <w:tblW w:w="99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4"/>
        <w:gridCol w:w="2497"/>
        <w:gridCol w:w="2484"/>
        <w:gridCol w:w="2497"/>
        <w:tblGridChange w:id="0">
          <w:tblGrid>
            <w:gridCol w:w="2484"/>
            <w:gridCol w:w="2497"/>
            <w:gridCol w:w="2484"/>
            <w:gridCol w:w="249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Valores Válidos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Nome completo (Investidor)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       Strings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Endereço para Cobrança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Strings e Números Inteiros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Número do Cartão de Crédito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Números Inteiros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 Sistema do Banco (serviço externo) irá verificar se os dados do cartão são verdadeiros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Validade do Cartão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Numérico 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Números Inteiros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Idem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Quantidade de Ações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     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Números Inteiros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Comandos</w:t>
      </w:r>
    </w:p>
    <w:tbl>
      <w:tblPr>
        <w:tblStyle w:val="Table5"/>
        <w:bidi w:val="0"/>
        <w:tblW w:w="99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7447"/>
        <w:tblGridChange w:id="0">
          <w:tblGrid>
            <w:gridCol w:w="2515"/>
            <w:gridCol w:w="74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 os dados do comprador para o serviço bancário fazer a verificação e processo do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Ícone de volta (Seta)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Retorna para a tela anterior à confirmação da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357" w:hanging="357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Regras de Negócio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Não se aplicam.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18" w:top="1701" w:left="1134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9486.000000000002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43"/>
      <w:gridCol w:w="3381"/>
      <w:gridCol w:w="3162"/>
      <w:tblGridChange w:id="0">
        <w:tblGrid>
          <w:gridCol w:w="2943"/>
          <w:gridCol w:w="3381"/>
          <w:gridCol w:w="3162"/>
        </w:tblGrid>
      </w:tblGridChange>
    </w:tblGrid>
    <w:tr>
      <w:trPr>
        <w:trHeight w:val="4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Sistema InvestiApp – 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8990.84251968504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611.84251968504"/>
      <w:tblGridChange w:id="0">
        <w:tblGrid>
          <w:gridCol w:w="6379"/>
          <w:gridCol w:w="2611.84251968504"/>
        </w:tblGrid>
      </w:tblGridChange>
    </w:tblGrid>
    <w:tr>
      <w:trPr>
        <w:trHeight w:val="6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widowControl w:val="0"/>
            <w:tabs>
              <w:tab w:val="center" w:pos="4320"/>
              <w:tab w:val="right" w:pos="8640"/>
            </w:tabs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rtl w:val="0"/>
            </w:rPr>
            <w:t xml:space="preserve">Projeto InvestiApp - </w:t>
          </w:r>
          <w:r w:rsidDel="00000000" w:rsidR="00000000" w:rsidRPr="00000000">
            <w:rPr>
              <w:rtl w:val="0"/>
            </w:rPr>
            <w:t xml:space="preserve">Especificação de Caso de Uso: UC5 Obter Cotação de Ações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  <w:t xml:space="preserve">  Versão:           1.0</w:t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68" w:firstLine="568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68" w:firstLine="568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5953" w:firstLine="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2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