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FUNCIONARIO.NOME = Preenchimento obrigatório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FUNCIONARIO.CPF = Não pode haver duas instâncias com mesmo valor no campo CPF.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FUNCIONARIO.SALARIO = O salário dos funcionários não pode ser menor que 1000,00.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FUNCIONARIO.SEXO = Só aceitar os caracteres “M” ou “F”.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FUNCIONARIO.COD_SUPER = coluna usada para definição do auto-relacionamento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DEPARTAMENTO.NOME = Preenchimento obrigatório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DEPENDENTE.NOME = Preenchimento obrigatório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DEPENDENTE.PARENTESCO = Preenchimento obrigatório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DEPENDENTE.PARENTESCO = Só aceitar valores dentro do conjunto (“PAI”,”MÃE”, “IRMAOS”,”FILHO”)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PROJETO.TITULO = Preenchimento obrigatório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PROJETO.DATA_CAD = Data de cadastro dos projetos com valor padrão igual à data do dia. A função que retorna a data do dia no oracle é Sysdate.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resoluçao em rascunho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FUNCIONARIO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COD_FUNC number(4)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FUNC_NOME varchar2(100),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FUNC_CPF varchar2(15),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FUNC_SALARIO number(p, e),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FUNC_ENDERECO varchar(252),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FUNC_SEXO char(1),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COD_SUPER number(4) forget key;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COD_DEPART number(4) forget key;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DEPARTAMENTO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COD_DEPART number(4)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DEPART_NOME varchar(30),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DATA_INICIAL date,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LOCALIZACAO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COD_DEPART number(4) unique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LOCAL varchar(252)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DEPENDENTE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COD_FUNC number(4) unique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SEQ number(4)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DEPEN_NOME varchar2(100),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DEPEN_PARENTESCO varchar2(30),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DATA_NASC date(20),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PARTICIPA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COD_FUNC number(4) unique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COD_PROJ number(4) unique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PART_HORAS varchar2(50)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PROJETO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COD_PROJ number (4)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COD_DEPART number (4) forget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PROJ_TITULO varchar2(150),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PROJ_DESCRICAO varchar(252),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PROJ_DATA date(7),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