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Regras de negócio: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FUNCIONARIO.NOME = Preenchimento obrigatório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FUNCIONARIO.CPF = Não pode haver duas instâncias com mesmo valor no campo CPF.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FUNCIONARIO.SALARIO = O salário dos funcionários não pode ser menor que 1000,00.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FUNCIONARIO.SEXO = Só aceitar os caracteres “M” ou “F”.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FUNCIONARIO.COD_SUPER = coluna usada para definição do auto-relacionamento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DEPARTAMENTO.NOME = Preenchimento obrigatório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DEPENDENTE.NOME = Preenchimento obrigatório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DEPENDENTE.PARENTESCO = Preenchimento obrigatório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DEPENDENTE.PARENTESCO = Só aceitar valores dentro do conjunto (“PAI”,”MÃE”, “IRMAOS”,”FILHO”)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PROJETO.TITULO = Preenchimento obrigatório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PROJETO.DATA_CAD = Data de cadastro dos projetos com valor padrão igual à data do dia. A função que retorna a data do dia no oracle é Sysdate.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Altere a tabela PROJETO, fazendo as seguintes mudanças: a. Adicionar uma coluna de nome STATUS, de preenchimento obrigatório, com dados de tipo numérico, aceitando apenas os valores 0 (flag que indica projeto inativo) e 1 (flag que indica projeto em andamento).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b. Alterar a coluna TITULO, aumentando seu tamanho para 252 caracteres.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c. Renomear a coluna DATA_CAD para DATA_CADASTRO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Altere a tabela FUNCIONARIO, fazendo as seguintes mudanças: a. Transformar a coluna ENDERECO numa tabela separada, sendo que cada endereço poderá estar vinculado a mais de um funcionário (Ex: marido, esposa e filho trabalhando na mesma empresa) e cada funcionário poderá informar mais de um endereço. DICA: Dessa forma, teremos um relacionamento N x M entre funcionário e a nova entidade ENDERECO.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b. Excluir a restrição associada à coluna SALARIO.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c. Desativar e depois ativar a restrição associada à coluna CPF.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d. Desativar e depois ativar a restrição associada à coluna cod_func.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Altere a tabela DEPENDENTE, fazendo as seguintes mudanças: a. A coluna PARENTESCO deixa de ser texto e passa a ser controlada através de outra tabela, onde são armazenados o CODIGO e DESCRICAO do tipo de parentescos aceitos pela empresa. Dessa forma, uma chave estrangeira na tabela DEPENDENTE deverá referenciar a chave primária dessa nova tabela, num relacionamento 1 x N (Parentesco ’ Dependente).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b. Criar uma chave alternativa na tabela DEPENDENTE, onde será armazenado o CPF dos dependentes.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c. Automatizar o processo de exclusão de registros da tabela DEPENDENTE ao excluir um registro da tabela FUNCIONARIO. Para isso, utilizar o comando DELETE CASCADE na chave estrangeira da coluna DEPENDENTE.COD_FUNC. (Lembre-se: não é possível modificar uma constraint!) vide aula DDL – PARTE 2.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Altere a tabela PARTICIPA, fazendo as seguintes mudanças: a. Renomear a tabela PARTICIPA para FUNC_PROJETO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Índice das fotos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228 e 229 antes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anexo: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codigo fonte da atividade: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funcionario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(FUN_NOME varchar2(100),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FUN_CPF char(15),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FUN_SALARIO decimal(4,2),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FUN_SEXO varchar2(1));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departamento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(DEPAR_NOME varchar2(30));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dependente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(DEPEN_NOME varchar2(100),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DEPEN_PARENTESCO varchar2(30));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projeto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(PRO_TITULO varchar2(150),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PRO_DATA_CAD char(12));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cobaia de testes: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Guilherme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123.456.789-12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1000,00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adminstraçao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23/10/2021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