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COD_FUNC number(4) constraint pk_cod_func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FUN_NOME varchar2(100),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FUN_CPF char(15),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FUN_SALARIO decimal(4,2),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FUN_ENDERECO varchar2(252),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FUN_SEXO varchar2(1),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COD_SUPER number(4),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COD_DEPART number(4));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departamento(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COD_DEPART number(4) constraint pk_cod_depart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DEPAR_NOME varchar2(30),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DEPAR_DATA_INICIAL char(12));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localizaçao(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COD_DEPART number(4)  Constraint UK_DEPART Unique,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LOCAL varchar2(252) constraint pk_cod_local primary key);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dependente(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COD_FUNC number(4)  Constraint UK_FUNC Unique,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SEQ number(4) constraint pk_cod_depen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DEPEN_NOME varchar2(100),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DEPEN_PARENTESCO varchar2(30),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DEPEN_DATA_NASC char(12));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participa(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COD_FUN number(4)  Constraint UK_FUN Unique,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COD_PROJ number(4) Constraint UK_PROJ Unique,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PARTI_HORAS varchar2(50));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projeto(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COD_PROJ number(4) constraint pk_cod_proj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COD_DEPART number(4),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PRO_TITULO varchar2(150),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PRO_DESCRICAO varchar2(252),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PRO_DATA_CAD char(12));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