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REPUBLICAÇÃO PARCIAL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LEI No 13.709, DE 14 DE AGOSTO DE  2018(*)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Dispõe sobre a proteção de dados pessoais e altera a Lei nº 12.965, de 23 de abril de 2014 (Marco Civil da Internet).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(Publicada no Diário Oficial de 15 de agosto de 2018, Seção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“Art. 52.  Os agentes de tratamento de dados, em razão das infrações cometidas às normas previstas nesta Lei, ficam sujeitos às seguintes sanções administrativas aplicáveis pela autoridade nacional: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- advertência, com indicação de prazo para adoção de medidas corretivas;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 - multa simples, de até 2% (dois por cento) do faturamento da pessoa jurídica de direito privado, grupo ou conglomerado no Brasil no seu último exercício, excluídos os tributos, limitada, no total, a R$ 50.000.000,00 (cinquenta milhões de reais) por infração;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III - multa diária, observado o limite total a que se refere o inciso II;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IV - publicização da infração após devidamente apurada e confirmada a sua ocorrência;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 - bloqueio dos dados pessoais a que se refere a infração até a sua regularização;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 - eliminação dos dados pessoais a que se refere a infração;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VII - (VETADO);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VIII - (VETADO);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IX - (VETADO).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§ 1o  As sanções serão aplicadas após procedimento administrativo que possibilite a oportunidade da ampla defesa, de forma gradativa, isolada ou cumulativa, de acordo com as peculiaridades do caso concreto e considerados os seguintes parâmetros e critérios: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- a gravidade e a natureza das infrações e dos direitos pessoais afetados;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II - a boa-fé do infrator;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III - a vantagem auferida ou pretendida pelo infrator;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IV - a condição econômica do infrator;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 - a reincidência;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 - o grau do dano;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VII - a cooperação do infrator;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VIII - a adoção reiterada e demonstrada de mecanismos e procedimentos internos capazes de minimizar o dano, voltados ao tratamento seguro e adequado de dados, em consonância com o disposto no inciso II do § 2o do art. 48 desta Lei;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IX - a adoção de política de boas práticas e governança;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 - a pronta adoção de medidas corretivas; 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XI - a proporcionalidade entre a gravidade da falta e a intensidade da sanção.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§ 2o  O disposto neste artigo não substitui a aplicação de sanções administrativas, civis ou penais definidas em legislação específica.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§ 3o  O disposto nos incisos I, IV, V, VI, VII, VIII e IX do caput deste artigo poderá ser aplicado às entidades e aos órgãos públicos, sem prejuízo do disposto na Lei no 8.112, de 11 de dezembro de 1990 (Estatuto do Servidor Público Federal), na Lei no 8.429, de 2 de junho de 1992 (Lei de Improbidade Administrativa), e na Lei no 12.527, de 18 de novembro de 2011 (Lei de Acesso à Informação).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§ 4o  No cálculo do valor da multa de que trata o inciso II do caput deste artigo, a autoridade nacional poderá considerar o faturamento total da empresa ou grupo de empresas, quando não dispuser do valor do faturamento no ramo de atividade empresarial em que ocorreu a infração, definido pela autoridade nacional, ou quando o valor for apresentado de forma incompleta ou não for demonstrado de forma inequívoca e idônea.”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(*) Republicação parcial por haver constado erro material no artigo 52 da Lei.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