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APPENDIX. List of species and their abundance, functional guild and mean biomass captured in all sampling points.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 Number of individuals, by species, captured in all transects and functional guild and mean biomass of each species.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41" w:rightFromText="141" w:topFromText="0" w:bottomFromText="0" w:vertAnchor="page" w:horzAnchor="margin" w:tblpX="75" w:tblpY="3550"/>
        <w:tblW w:w="13995.0" w:type="dxa"/>
        <w:jc w:val="left"/>
        <w:tblInd w:w="-70.0" w:type="dxa"/>
        <w:tblBorders>
          <w:top w:color="000000" w:space="0" w:sz="4" w:val="single"/>
          <w:bottom w:color="000000" w:space="0" w:sz="4" w:val="single"/>
        </w:tblBorders>
        <w:tblLayout w:type="fixed"/>
        <w:tblLook w:val="0400"/>
      </w:tblPr>
      <w:tblGrid>
        <w:gridCol w:w="2970"/>
        <w:gridCol w:w="1275"/>
        <w:gridCol w:w="990"/>
        <w:gridCol w:w="495"/>
        <w:gridCol w:w="375"/>
        <w:gridCol w:w="420"/>
        <w:gridCol w:w="375"/>
        <w:gridCol w:w="375"/>
        <w:gridCol w:w="420"/>
        <w:gridCol w:w="375"/>
        <w:gridCol w:w="375"/>
        <w:gridCol w:w="420"/>
        <w:gridCol w:w="375"/>
        <w:gridCol w:w="375"/>
        <w:gridCol w:w="420"/>
        <w:gridCol w:w="465"/>
        <w:gridCol w:w="375"/>
        <w:gridCol w:w="420"/>
        <w:gridCol w:w="495"/>
        <w:gridCol w:w="495"/>
        <w:gridCol w:w="420"/>
        <w:gridCol w:w="495"/>
        <w:gridCol w:w="375"/>
        <w:gridCol w:w="420"/>
        <w:tblGridChange w:id="0">
          <w:tblGrid>
            <w:gridCol w:w="2970"/>
            <w:gridCol w:w="1275"/>
            <w:gridCol w:w="990"/>
            <w:gridCol w:w="495"/>
            <w:gridCol w:w="375"/>
            <w:gridCol w:w="420"/>
            <w:gridCol w:w="375"/>
            <w:gridCol w:w="375"/>
            <w:gridCol w:w="420"/>
            <w:gridCol w:w="375"/>
            <w:gridCol w:w="375"/>
            <w:gridCol w:w="420"/>
            <w:gridCol w:w="375"/>
            <w:gridCol w:w="375"/>
            <w:gridCol w:w="420"/>
            <w:gridCol w:w="465"/>
            <w:gridCol w:w="375"/>
            <w:gridCol w:w="420"/>
            <w:gridCol w:w="495"/>
            <w:gridCol w:w="495"/>
            <w:gridCol w:w="420"/>
            <w:gridCol w:w="495"/>
            <w:gridCol w:w="375"/>
            <w:gridCol w:w="420"/>
          </w:tblGrid>
        </w:tblGridChange>
      </w:tblGrid>
      <w:tr>
        <w:trPr>
          <w:cantSplit w:val="0"/>
          <w:trHeight w:val="300"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Species</w:t>
            </w:r>
          </w:p>
        </w:tc>
        <w:tc>
          <w:tcPr>
            <w:tcBorders>
              <w:top w:color="000000" w:space="0" w:sz="4" w:val="single"/>
              <w:bottom w:color="000000" w:space="0" w:sz="4" w:val="single"/>
            </w:tcBorders>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Guild</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Biomass (mg)</w:t>
            </w:r>
          </w:p>
        </w:tc>
        <w:tc>
          <w:tcPr>
            <w:gridSpan w:val="21"/>
            <w:tcBorders>
              <w:top w:color="000000" w:space="0" w:sz="4" w:val="single"/>
              <w:left w:color="000000" w:space="0" w:sz="0" w:val="nil"/>
              <w:bottom w:color="000000" w:space="0" w:sz="4" w:val="single"/>
            </w:tcBorders>
            <w:shd w:fill="auto" w:val="clea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Individuals</w:t>
            </w:r>
          </w:p>
        </w:tc>
      </w:tr>
      <w:tr>
        <w:trPr>
          <w:cantSplit w:val="0"/>
          <w:trHeight w:val="300" w:hRule="atLeast"/>
          <w:tblHeader w:val="0"/>
        </w:trPr>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Altitude (m a.s.l.)</w:t>
            </w:r>
          </w:p>
        </w:tc>
        <w:tc>
          <w:tcPr>
            <w:gridSpan w:val="3"/>
            <w:tcBorders>
              <w:top w:color="000000" w:space="0" w:sz="4" w:val="single"/>
              <w:left w:color="000000" w:space="0" w:sz="0" w:val="nil"/>
              <w:bottom w:color="000000" w:space="0" w:sz="0" w:val="nil"/>
            </w:tcBorders>
            <w:shd w:fill="auto" w:val="cle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gridSpan w:val="3"/>
            <w:tcBorders>
              <w:top w:color="000000" w:space="0" w:sz="4" w:val="single"/>
              <w:bottom w:color="000000" w:space="0" w:sz="0" w:val="nil"/>
            </w:tcBorders>
            <w:shd w:fill="auto" w:val="cle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r>
      <w:tr>
        <w:trPr>
          <w:cantSplit w:val="0"/>
          <w:trHeight w:val="300" w:hRule="atLeast"/>
          <w:tblHeader w:val="0"/>
        </w:trPr>
        <w:tc>
          <w:tcPr>
            <w:gridSpan w:val="3"/>
            <w:tcBorders>
              <w:top w:color="000000" w:space="0" w:sz="0" w:val="nil"/>
              <w:bottom w:color="000000" w:space="0" w:sz="4" w:val="single"/>
            </w:tcBorders>
            <w:shd w:fill="auto" w:val="cle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Transects</w:t>
            </w:r>
          </w:p>
        </w:tc>
        <w:tc>
          <w:tcPr>
            <w:tcBorders>
              <w:top w:color="000000" w:space="0" w:sz="0" w:val="nil"/>
              <w:left w:color="000000" w:space="0" w:sz="0" w:val="nil"/>
              <w:bottom w:color="000000" w:space="0" w:sz="4" w:val="single"/>
            </w:tcBorders>
            <w:shd w:fill="auto" w:val="cle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rHeight w:val="300" w:hRule="atLeast"/>
          <w:tblHeader w:val="0"/>
        </w:trPr>
        <w:tc>
          <w:tcPr>
            <w:tcBorders>
              <w:top w:color="000000" w:space="0" w:sz="4" w:val="single"/>
              <w:bottom w:color="000000" w:space="0" w:sz="0" w:val="nil"/>
            </w:tcBorders>
            <w:shd w:fill="auto" w:val="clea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Agamopus unguicularis</w:t>
            </w:r>
          </w:p>
        </w:tc>
        <w:tc>
          <w:tcPr>
            <w:tcBorders>
              <w:top w:color="000000" w:space="0" w:sz="4" w:val="single"/>
              <w:bottom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4" w:val="single"/>
              <w:bottom w:color="000000" w:space="0" w:sz="0" w:val="nil"/>
              <w:right w:color="000000" w:space="0" w:sz="0" w:val="nil"/>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3.8</w:t>
            </w:r>
          </w:p>
        </w:tc>
        <w:tc>
          <w:tcPr>
            <w:tcBorders>
              <w:top w:color="000000" w:space="0" w:sz="4" w:val="single"/>
              <w:left w:color="000000" w:space="0" w:sz="0" w:val="nil"/>
              <w:bottom w:color="000000" w:space="0" w:sz="0" w:val="nil"/>
            </w:tcBorders>
            <w:shd w:fill="auto" w:val="clear"/>
            <w:vAlign w:val="bottom"/>
          </w:tcPr>
          <w:p w:rsidR="00000000" w:rsidDel="00000000" w:rsidP="00000000" w:rsidRDefault="00000000" w:rsidRPr="00000000" w14:paraId="000000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tcBorders>
              <w:top w:color="000000" w:space="0" w:sz="0" w:val="nil"/>
            </w:tcBorders>
            <w:shd w:fill="auto" w:val="clear"/>
            <w:vAlign w:val="bottom"/>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Agamopus viridis</w:t>
            </w:r>
          </w:p>
        </w:tc>
        <w:tc>
          <w:tcPr>
            <w:tcBorders>
              <w:top w:color="000000" w:space="0" w:sz="0" w:val="nil"/>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0" w:val="nil"/>
              <w:right w:color="000000" w:space="0" w:sz="0" w:val="nil"/>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Anomiopus virescens</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11.2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Ateuchus vividus</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21.7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9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aff barbacenicum</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8.6</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1</w:t>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6.8</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shd w:fill="auto" w:val="clear"/>
            <w:vAlign w:val="bottom"/>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2</w:t>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8.3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3</w:t>
            </w:r>
          </w:p>
        </w:tc>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11.2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0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300" w:hRule="atLeast"/>
          <w:tblHeader w:val="0"/>
        </w:trPr>
        <w:tc>
          <w:tcPr>
            <w:shd w:fill="auto" w:val="clear"/>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4</w:t>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8.2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1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5</w:t>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6</w:t>
            </w:r>
          </w:p>
        </w:tc>
        <w:tc>
          <w:tcP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11.8</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8</w:t>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7.9</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Canthidium sp 10</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14.7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aff podagricus</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right w:color="000000" w:space="0" w:sz="0" w:val="nil"/>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6.4</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lamproderes</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right w:color="000000" w:space="0" w:sz="0" w:val="nil"/>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72.9</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sp 1</w:t>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right w:color="000000" w:space="0" w:sz="0" w:val="nil"/>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5.9</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bottom w:color="000000" w:space="0" w:sz="0" w:val="nil"/>
            </w:tcBorders>
            <w:shd w:fill="auto" w:val="clear"/>
            <w:vAlign w:val="bottom"/>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sp 2</w:t>
            </w:r>
          </w:p>
        </w:tc>
        <w:tc>
          <w:tcPr>
            <w:tcBorders>
              <w:bottom w:color="000000" w:space="0" w:sz="0" w:val="nil"/>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bottom w:color="000000" w:space="0" w:sz="0" w:val="nil"/>
              <w:right w:color="000000" w:space="0" w:sz="0" w:val="nil"/>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30.0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1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E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1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sp 3</w:t>
            </w:r>
          </w:p>
        </w:tc>
        <w:tc>
          <w:tcPr>
            <w:tcBorders>
              <w:top w:color="000000" w:space="0" w:sz="0" w:val="nil"/>
              <w:bottom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top w:color="000000" w:space="0" w:sz="0" w:val="nil"/>
              <w:bottom w:color="000000" w:space="0" w:sz="4" w:val="single"/>
              <w:right w:color="000000" w:space="0" w:sz="0" w:val="nil"/>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18.4</w:t>
            </w:r>
          </w:p>
        </w:tc>
        <w:tc>
          <w:tcPr>
            <w:tcBorders>
              <w:top w:color="000000" w:space="0" w:sz="0" w:val="nil"/>
              <w:left w:color="000000" w:space="0" w:sz="0" w:val="nil"/>
              <w:bottom w:color="000000" w:space="0" w:sz="4" w:val="single"/>
            </w:tcBorders>
            <w:shd w:fill="auto" w:val="clear"/>
            <w:vAlign w:val="bottom"/>
          </w:tcPr>
          <w:p w:rsidR="00000000" w:rsidDel="00000000" w:rsidP="00000000" w:rsidRDefault="00000000" w:rsidRPr="00000000" w14:paraId="000001E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F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tcBorders>
              <w:top w:color="000000" w:space="0" w:sz="4" w:val="single"/>
            </w:tcBorders>
            <w:shd w:fill="auto" w:val="clear"/>
            <w:vAlign w:val="bottom"/>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Canthon unicolor</w:t>
            </w:r>
          </w:p>
        </w:tc>
        <w:tc>
          <w:tcPr>
            <w:tcBorders>
              <w:top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top w:color="000000" w:space="0" w:sz="4" w:val="single"/>
              <w:right w:color="000000" w:space="0" w:sz="0" w:val="nil"/>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45.3</w:t>
            </w:r>
          </w:p>
        </w:tc>
        <w:tc>
          <w:tcPr>
            <w:tcBorders>
              <w:top w:color="000000" w:space="0" w:sz="4" w:val="single"/>
              <w:left w:color="000000" w:space="0" w:sz="0" w:val="nil"/>
              <w:bottom w:color="000000" w:space="0" w:sz="0" w:val="nil"/>
            </w:tcBorders>
            <w:shd w:fill="auto" w:val="clear"/>
            <w:vAlign w:val="bottom"/>
          </w:tcPr>
          <w:p w:rsidR="00000000" w:rsidDel="00000000" w:rsidP="00000000" w:rsidRDefault="00000000" w:rsidRPr="00000000" w14:paraId="000001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2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Coprophanaeus cyanescens</w:t>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690.8</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1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1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Coprophanaeus ensifer</w:t>
            </w:r>
          </w:p>
        </w:tc>
        <w:tc>
          <w:tcP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2050.0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bottom w:color="000000" w:space="0" w:sz="0" w:val="nil"/>
            </w:tcBorders>
            <w:shd w:fill="auto" w:val="clear"/>
            <w:vAlign w:val="bottom"/>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Coprophanaeus jasius</w:t>
            </w:r>
          </w:p>
        </w:tc>
        <w:tc>
          <w:tcPr>
            <w:tcBorders>
              <w:bottom w:color="000000" w:space="0" w:sz="0" w:val="nil"/>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bottom w:color="000000" w:space="0" w:sz="0" w:val="nil"/>
              <w:right w:color="000000" w:space="0" w:sz="0" w:val="nil"/>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894.7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Coprophanaeus milon magnoi</w:t>
            </w:r>
          </w:p>
        </w:tc>
        <w:tc>
          <w:tcPr>
            <w:tcBorders>
              <w:top w:color="000000" w:space="0" w:sz="0" w:val="nil"/>
              <w:bottom w:color="000000" w:space="0" w:sz="0" w:val="nil"/>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751.0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00" w:hRule="atLeast"/>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Deltochilum inaequale</w:t>
            </w:r>
          </w:p>
        </w:tc>
        <w:tc>
          <w:tcPr>
            <w:tcBorders>
              <w:top w:color="000000" w:space="0" w:sz="0" w:val="nil"/>
              <w:bottom w:color="000000" w:space="0" w:sz="0" w:val="nil"/>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582.3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tcBorders>
            <w:shd w:fill="auto" w:val="clear"/>
            <w:vAlign w:val="bottom"/>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Deltochilum komareki</w:t>
            </w:r>
          </w:p>
        </w:tc>
        <w:tc>
          <w:tcPr>
            <w:tcBorders>
              <w:top w:color="000000" w:space="0" w:sz="0" w:val="nil"/>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top w:color="000000" w:space="0" w:sz="0" w:val="nil"/>
              <w:right w:color="000000" w:space="0" w:sz="0" w:val="nil"/>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74.4</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Deltochilum pseudoicarus</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Telecoprid</w:t>
            </w:r>
          </w:p>
        </w:tc>
        <w:tc>
          <w:tcPr>
            <w:tcBorders>
              <w:right w:color="000000" w:space="0" w:sz="0" w:val="nil"/>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464.2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B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bos</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347.7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55" w:hRule="atLeast"/>
          <w:tblHeader w:val="0"/>
        </w:trPr>
        <w:tc>
          <w:tcPr>
            <w:shd w:fill="auto" w:val="clear"/>
            <w:vAlign w:val="bottom"/>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crinicollis</w:t>
            </w:r>
          </w:p>
        </w:tc>
        <w:tc>
          <w:tcP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385.2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E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depressicollis</w:t>
            </w:r>
          </w:p>
        </w:tc>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338.3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2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2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300" w:hRule="atLeast"/>
          <w:tblHeader w:val="0"/>
        </w:trPr>
        <w:tc>
          <w:tcPr>
            <w:shd w:fill="auto" w:val="clear"/>
            <w:vAlign w:val="bottom"/>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glaucus</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289.0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1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luctuosus</w:t>
            </w:r>
          </w:p>
        </w:tc>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197.3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1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Dichotomius nisus</w:t>
            </w:r>
          </w:p>
        </w:tc>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309.8</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3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Digitonthophagus gazella</w:t>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51.0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Eurysternus nigrovirens</w:t>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Endocoprid</w:t>
            </w:r>
          </w:p>
        </w:tc>
        <w:tc>
          <w:tcPr>
            <w:tcBorders>
              <w:right w:color="000000" w:space="0" w:sz="0" w:val="nil"/>
            </w:tcBorders>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8.7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Genieridium bidens</w:t>
            </w:r>
          </w:p>
        </w:tc>
        <w:tc>
          <w:tcP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Endocoprid</w:t>
            </w:r>
          </w:p>
        </w:tc>
        <w:tc>
          <w:tcPr>
            <w:tcBorders>
              <w:right w:color="000000" w:space="0" w:sz="0" w:val="nil"/>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6.6</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Genieridium cryptops</w:t>
            </w:r>
          </w:p>
        </w:tc>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Endocoprid</w:t>
            </w:r>
          </w:p>
        </w:tc>
        <w:tc>
          <w:tcPr>
            <w:tcBorders>
              <w:right w:color="000000" w:space="0" w:sz="0" w:val="nil"/>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9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Homocopris sp 1</w:t>
            </w:r>
          </w:p>
        </w:tc>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79.2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Homocopris sp 2</w:t>
            </w:r>
          </w:p>
        </w:tc>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40.4</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Homocopris sp 3</w:t>
            </w:r>
          </w:p>
        </w:tc>
        <w:tc>
          <w:tcP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69.0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Ontherus (Caelontherus) sp</w:t>
            </w:r>
          </w:p>
        </w:tc>
        <w:tc>
          <w:tcP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26.0</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3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3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Ontherus aff carinifrons</w:t>
            </w:r>
          </w:p>
        </w:tc>
        <w:tc>
          <w:tcP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39.6</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1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Ontherus appendiculatus</w:t>
            </w:r>
          </w:p>
        </w:tc>
        <w:tc>
          <w:tcP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58.2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Onthophagus aff buculus</w:t>
            </w:r>
          </w:p>
        </w:tc>
        <w:tc>
          <w:tcP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11.1</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Onthophagus aff hirculus</w:t>
            </w:r>
          </w:p>
        </w:tc>
        <w:tc>
          <w:tcP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9.7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00" w:hRule="atLeast"/>
          <w:tblHeader w:val="0"/>
        </w:trPr>
        <w:tc>
          <w:tcPr>
            <w:tcBorders>
              <w:bottom w:color="000000" w:space="0" w:sz="0" w:val="nil"/>
            </w:tcBorders>
            <w:shd w:fill="auto" w:val="clear"/>
            <w:vAlign w:val="bottom"/>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Oxysternon palaemon</w:t>
            </w:r>
          </w:p>
        </w:tc>
        <w:tc>
          <w:tcPr>
            <w:tcBorders>
              <w:bottom w:color="000000" w:space="0" w:sz="0" w:val="nil"/>
            </w:tcBorders>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bottom w:color="000000" w:space="0" w:sz="0" w:val="nil"/>
              <w:right w:color="000000" w:space="0" w:sz="0" w:val="nil"/>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273.4</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300" w:hRule="atLeast"/>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Phanaeus dzidoi</w:t>
            </w:r>
          </w:p>
        </w:tc>
        <w:tc>
          <w:tcPr>
            <w:tcBorders>
              <w:top w:color="000000" w:space="0" w:sz="0" w:val="nil"/>
              <w:bottom w:color="000000" w:space="0" w:sz="4" w:val="single"/>
            </w:tcBorders>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0" w:val="nil"/>
              <w:bottom w:color="000000" w:space="0" w:sz="4" w:val="single"/>
              <w:right w:color="000000" w:space="0" w:sz="0" w:val="nil"/>
            </w:tcBorders>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130.0</w:t>
            </w:r>
          </w:p>
        </w:tc>
        <w:tc>
          <w:tcPr>
            <w:tcBorders>
              <w:top w:color="000000" w:space="0" w:sz="0" w:val="nil"/>
              <w:left w:color="000000" w:space="0" w:sz="0" w:val="nil"/>
              <w:bottom w:color="000000" w:space="0" w:sz="4" w:val="single"/>
            </w:tcBorders>
            <w:shd w:fill="auto" w:val="clear"/>
            <w:vAlign w:val="bottom"/>
          </w:tcPr>
          <w:p w:rsidR="00000000" w:rsidDel="00000000" w:rsidP="00000000" w:rsidRDefault="00000000" w:rsidRPr="00000000" w14:paraId="000004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4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tcBorders>
              <w:top w:color="000000" w:space="0" w:sz="4" w:val="single"/>
            </w:tcBorders>
            <w:shd w:fill="auto" w:val="clear"/>
            <w:vAlign w:val="bottom"/>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Phanaeus kirbyi ledezmai</w:t>
            </w:r>
          </w:p>
        </w:tc>
        <w:tc>
          <w:tcPr>
            <w:tcBorders>
              <w:top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4" w:val="single"/>
              <w:right w:color="000000" w:space="0" w:sz="0" w:val="nil"/>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202.0</w:t>
            </w:r>
          </w:p>
        </w:tc>
        <w:tc>
          <w:tcPr>
            <w:tcBorders>
              <w:top w:color="000000" w:space="0" w:sz="4" w:val="single"/>
              <w:left w:color="000000" w:space="0" w:sz="0" w:val="nil"/>
              <w:bottom w:color="000000" w:space="0" w:sz="0" w:val="nil"/>
            </w:tcBorders>
            <w:shd w:fill="auto" w:val="clear"/>
            <w:vAlign w:val="bottom"/>
          </w:tcPr>
          <w:p w:rsidR="00000000" w:rsidDel="00000000" w:rsidP="00000000" w:rsidRDefault="00000000" w:rsidRPr="00000000" w14:paraId="000004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A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B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bottom w:color="000000" w:space="0" w:sz="0" w:val="nil"/>
            </w:tcBorders>
            <w:shd w:fill="auto" w:val="clear"/>
            <w:vAlign w:val="bottom"/>
          </w:tcPr>
          <w:p w:rsidR="00000000" w:rsidDel="00000000" w:rsidP="00000000" w:rsidRDefault="00000000" w:rsidRPr="00000000" w14:paraId="000004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Phanaeus palaeno</w:t>
            </w:r>
          </w:p>
        </w:tc>
        <w:tc>
          <w:tcP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215.3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0" w:hRule="atLeast"/>
          <w:tblHeader w:val="0"/>
        </w:trPr>
        <w:tc>
          <w:tcPr>
            <w:shd w:fill="auto" w:val="clear"/>
            <w:vAlign w:val="bottom"/>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Sulcophanaeus menelas</w:t>
            </w:r>
          </w:p>
        </w:tc>
        <w:tc>
          <w:tcPr>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428.3</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D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bottom w:color="000000" w:space="0" w:sz="0" w:val="nil"/>
            </w:tcBorders>
            <w:shd w:fill="auto" w:val="clear"/>
            <w:vAlign w:val="bottom"/>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Trichillum sp 1</w:t>
            </w:r>
          </w:p>
        </w:tc>
        <w:tc>
          <w:tcPr>
            <w:tcBorders>
              <w:bottom w:color="000000" w:space="0" w:sz="0" w:val="nil"/>
            </w:tcBorders>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Endocoprid</w:t>
            </w:r>
          </w:p>
        </w:tc>
        <w:tc>
          <w:tcPr>
            <w:tcBorders>
              <w:bottom w:color="000000" w:space="0" w:sz="0" w:val="nil"/>
              <w:right w:color="000000" w:space="0" w:sz="0" w:val="nil"/>
            </w:tcBorders>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0.7</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E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E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4F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506.953125" w:hRule="atLeast"/>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Trichillum sp 2</w:t>
            </w:r>
          </w:p>
        </w:tc>
        <w:tc>
          <w:tcPr>
            <w:tcBorders>
              <w:top w:color="000000" w:space="0" w:sz="0" w:val="nil"/>
              <w:bottom w:color="000000" w:space="0" w:sz="0" w:val="nil"/>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Endocoprid</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0.9</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4F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0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tcBorders>
              <w:top w:color="000000" w:space="0" w:sz="0" w:val="nil"/>
            </w:tcBorders>
            <w:shd w:fill="auto" w:val="clear"/>
            <w:vAlign w:val="bottom"/>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Uroxys sp 1</w:t>
            </w:r>
          </w:p>
        </w:tc>
        <w:tc>
          <w:tcPr>
            <w:tcBorders>
              <w:top w:color="000000" w:space="0" w:sz="0" w:val="nil"/>
            </w:tcBorders>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top w:color="000000" w:space="0" w:sz="0" w:val="nil"/>
              <w:right w:color="000000" w:space="0" w:sz="0" w:val="nil"/>
            </w:tcBorders>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1.1</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51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1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2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Uroxys sp 2</w:t>
            </w:r>
          </w:p>
        </w:tc>
        <w:tc>
          <w:tcP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0.6</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5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Uroxys sp 3</w:t>
            </w:r>
          </w:p>
        </w:tc>
        <w:tc>
          <w:tcP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1.5</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5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Uroxys sp 4</w:t>
            </w:r>
          </w:p>
        </w:tc>
        <w:tc>
          <w:tcP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2.2</w:t>
            </w:r>
          </w:p>
        </w:tc>
        <w:tc>
          <w:tcPr>
            <w:tcBorders>
              <w:top w:color="000000" w:space="0" w:sz="0" w:val="nil"/>
              <w:left w:color="000000" w:space="0" w:sz="0" w:val="nil"/>
              <w:bottom w:color="000000" w:space="0" w:sz="0" w:val="nil"/>
            </w:tcBorders>
            <w:shd w:fill="auto" w:val="clear"/>
            <w:vAlign w:val="bottom"/>
          </w:tcPr>
          <w:p w:rsidR="00000000" w:rsidDel="00000000" w:rsidP="00000000" w:rsidRDefault="00000000" w:rsidRPr="00000000" w14:paraId="000005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0" w:val="nil"/>
            </w:tcBorders>
            <w:shd w:fill="auto" w:val="clear"/>
            <w:vAlign w:val="bottom"/>
          </w:tcPr>
          <w:p w:rsidR="00000000" w:rsidDel="00000000" w:rsidP="00000000" w:rsidRDefault="00000000" w:rsidRPr="00000000" w14:paraId="0000057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Uroxys sp 5</w:t>
            </w:r>
          </w:p>
        </w:tc>
        <w:tc>
          <w:tcP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Paracoprid</w:t>
            </w:r>
          </w:p>
        </w:tc>
        <w:tc>
          <w:tcPr>
            <w:tcBorders>
              <w:right w:color="000000" w:space="0" w:sz="0" w:val="nil"/>
            </w:tcBorders>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12.0</w:t>
            </w:r>
          </w:p>
        </w:tc>
        <w:tc>
          <w:tcPr>
            <w:tcBorders>
              <w:top w:color="000000" w:space="0" w:sz="0" w:val="nil"/>
              <w:left w:color="000000" w:space="0" w:sz="0" w:val="nil"/>
              <w:bottom w:color="000000" w:space="0" w:sz="4" w:val="single"/>
            </w:tcBorders>
            <w:shd w:fill="auto" w:val="clear"/>
            <w:vAlign w:val="bottom"/>
          </w:tcPr>
          <w:p w:rsidR="00000000" w:rsidDel="00000000" w:rsidP="00000000" w:rsidRDefault="00000000" w:rsidRPr="00000000" w14:paraId="000005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58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5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 presents the abundance ranking of all dung beetle communities recorded with their functional group highlighted. At all altitudes the first and second most abundant species together were at least three times more abundant than the third (at 1400 m a.s.l. they were 25 times!). In three of the seven altitude classes, most abundant species were at least twice more abundant than second. The most abundant functional group was at least twice more abundant than the next most abundant functional group in five of the altitude classes (at 1200 m a.s.l. it was 6 times). Small paracoprids were the dominant functional group at all altitudes, except for the lowest (800 m a.s.l.), where large paracoprids dominated (Fig A).</w:t>
      </w:r>
    </w:p>
    <w:p w:rsidR="00000000" w:rsidDel="00000000" w:rsidP="00000000" w:rsidRDefault="00000000" w:rsidRPr="00000000" w14:paraId="000005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271780</wp:posOffset>
            </wp:positionH>
            <wp:positionV relativeFrom="paragraph">
              <wp:posOffset>-422908</wp:posOffset>
            </wp:positionV>
            <wp:extent cx="8515350" cy="6134100"/>
            <wp:effectExtent b="0" l="0" r="0" t="0"/>
            <wp:wrapNone/>
            <wp:docPr descr="Figure APP S2.jpg" id="3" name="image1.png"/>
            <a:graphic>
              <a:graphicData uri="http://schemas.openxmlformats.org/drawingml/2006/picture">
                <pic:pic>
                  <pic:nvPicPr>
                    <pic:cNvPr descr="Figure APP S2.jpg" id="0" name="image1.png"/>
                    <pic:cNvPicPr preferRelativeResize="0"/>
                  </pic:nvPicPr>
                  <pic:blipFill>
                    <a:blip r:embed="rId7"/>
                    <a:srcRect b="0" l="0" r="0" t="0"/>
                    <a:stretch>
                      <a:fillRect/>
                    </a:stretch>
                  </pic:blipFill>
                  <pic:spPr>
                    <a:xfrm>
                      <a:off x="0" y="0"/>
                      <a:ext cx="8515350" cy="6134100"/>
                    </a:xfrm>
                    <a:prstGeom prst="rect"/>
                    <a:ln/>
                  </pic:spPr>
                </pic:pic>
              </a:graphicData>
            </a:graphic>
          </wp:anchor>
        </w:drawing>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A.</w:t>
      </w:r>
      <w:r w:rsidDel="00000000" w:rsidR="00000000" w:rsidRPr="00000000">
        <w:rPr>
          <w:rFonts w:ascii="Times New Roman" w:cs="Times New Roman" w:eastAsia="Times New Roman" w:hAnsi="Times New Roman"/>
          <w:sz w:val="24"/>
          <w:szCs w:val="24"/>
          <w:rtl w:val="0"/>
        </w:rPr>
        <w:t xml:space="preserve"> Abundance rankings of dung beetle communities of all altitudes of the altitudinal gradient at Serra do Cipó, State of Minas Gerais, Brazil. The colors highlight the functional group of each species.</w:t>
      </w:r>
    </w:p>
    <w:p w:rsidR="00000000" w:rsidDel="00000000" w:rsidP="00000000" w:rsidRDefault="00000000" w:rsidRPr="00000000" w14:paraId="000005A4">
      <w:pPr>
        <w:spacing w:line="36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tl w:val="0"/>
        </w:rPr>
      </w:r>
    </w:p>
    <w:sectPr>
      <w:pgSz w:h="11906" w:w="16838"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E73AF"/>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emEspaamento">
    <w:name w:val="No Spacing"/>
    <w:uiPriority w:val="1"/>
    <w:qFormat w:val="1"/>
    <w:rsid w:val="00FC2EBA"/>
    <w:pPr>
      <w:spacing w:after="0" w:line="240" w:lineRule="auto"/>
    </w:pPr>
  </w:style>
  <w:style w:type="paragraph" w:styleId="Cabealho">
    <w:name w:val="header"/>
    <w:basedOn w:val="Normal"/>
    <w:link w:val="CabealhoChar"/>
    <w:uiPriority w:val="99"/>
    <w:semiHidden w:val="1"/>
    <w:unhideWhenUsed w:val="1"/>
    <w:rsid w:val="00A70904"/>
    <w:pPr>
      <w:tabs>
        <w:tab w:val="center" w:pos="4252"/>
        <w:tab w:val="right" w:pos="8504"/>
      </w:tabs>
      <w:spacing w:after="0" w:line="240" w:lineRule="auto"/>
    </w:pPr>
  </w:style>
  <w:style w:type="character" w:styleId="CabealhoChar" w:customStyle="1">
    <w:name w:val="Cabeçalho Char"/>
    <w:basedOn w:val="Fontepargpadro"/>
    <w:link w:val="Cabealho"/>
    <w:uiPriority w:val="99"/>
    <w:semiHidden w:val="1"/>
    <w:rsid w:val="00A70904"/>
  </w:style>
  <w:style w:type="paragraph" w:styleId="Rodap">
    <w:name w:val="footer"/>
    <w:basedOn w:val="Normal"/>
    <w:link w:val="RodapChar"/>
    <w:uiPriority w:val="99"/>
    <w:semiHidden w:val="1"/>
    <w:unhideWhenUsed w:val="1"/>
    <w:rsid w:val="00A70904"/>
    <w:pPr>
      <w:tabs>
        <w:tab w:val="center" w:pos="4252"/>
        <w:tab w:val="right" w:pos="8504"/>
      </w:tabs>
      <w:spacing w:after="0" w:line="240" w:lineRule="auto"/>
    </w:pPr>
  </w:style>
  <w:style w:type="character" w:styleId="RodapChar" w:customStyle="1">
    <w:name w:val="Rodapé Char"/>
    <w:basedOn w:val="Fontepargpadro"/>
    <w:link w:val="Rodap"/>
    <w:uiPriority w:val="99"/>
    <w:semiHidden w:val="1"/>
    <w:rsid w:val="00A70904"/>
  </w:style>
  <w:style w:type="paragraph" w:styleId="PargrafodaLista">
    <w:name w:val="List Paragraph"/>
    <w:basedOn w:val="Normal"/>
    <w:uiPriority w:val="34"/>
    <w:qFormat w:val="1"/>
    <w:rsid w:val="00377B2A"/>
    <w:pPr>
      <w:ind w:left="720"/>
      <w:contextualSpacing w:val="1"/>
    </w:pPr>
  </w:style>
  <w:style w:type="paragraph" w:styleId="Textodebalo">
    <w:name w:val="Balloon Text"/>
    <w:basedOn w:val="Normal"/>
    <w:link w:val="TextodebaloChar"/>
    <w:uiPriority w:val="99"/>
    <w:semiHidden w:val="1"/>
    <w:unhideWhenUsed w:val="1"/>
    <w:rsid w:val="00377B2A"/>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377B2A"/>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YR4uGNW0VtnZtQ+Mk0uof8gAw==">CgMxLjA4AHIhMVRlYXRUTlNBZ3hHbXhMZGJyTHpoSzJXR1IxVkFzZ3Js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2016-02-23T21:05:00Z</dcterms:created>
  <dc:creator>Cassio</dc:creator>
</cp:coreProperties>
</file>