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2738"/>
        <w:tblW w:w="13650.0" w:type="dxa"/>
        <w:jc w:val="left"/>
        <w:tblLayout w:type="fixed"/>
        <w:tblLook w:val="0400"/>
      </w:tblPr>
      <w:tblGrid>
        <w:gridCol w:w="1695"/>
        <w:gridCol w:w="825"/>
        <w:gridCol w:w="780"/>
        <w:gridCol w:w="1005"/>
        <w:gridCol w:w="855"/>
        <w:gridCol w:w="810"/>
        <w:gridCol w:w="945"/>
        <w:gridCol w:w="855"/>
        <w:gridCol w:w="945"/>
        <w:gridCol w:w="1140"/>
        <w:gridCol w:w="870"/>
        <w:gridCol w:w="1155"/>
        <w:gridCol w:w="1770"/>
        <w:tblGridChange w:id="0">
          <w:tblGrid>
            <w:gridCol w:w="1695"/>
            <w:gridCol w:w="825"/>
            <w:gridCol w:w="780"/>
            <w:gridCol w:w="1005"/>
            <w:gridCol w:w="855"/>
            <w:gridCol w:w="810"/>
            <w:gridCol w:w="945"/>
            <w:gridCol w:w="855"/>
            <w:gridCol w:w="945"/>
            <w:gridCol w:w="1140"/>
            <w:gridCol w:w="870"/>
            <w:gridCol w:w="1155"/>
            <w:gridCol w:w="1770"/>
          </w:tblGrid>
        </w:tblGridChange>
      </w:tblGrid>
      <w:tr>
        <w:trPr>
          <w:cantSplit w:val="0"/>
          <w:trHeight w:val="874.9218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Species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Length (mm)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Width (mm)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Hind tibia length (mm)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Fore tibia area (mm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Head area (mm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Wing area (mm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Dry weight (g)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Wing load (kg/mm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Food breadth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Phenology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Nesting type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Aphodinae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sp.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3.64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1.82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7.58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0.0011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0.145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dweller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Aphodinae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sp.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dweller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Aphodinae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sp.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7.58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dweller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Aphodinae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sp.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dweller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Cheironitis scabrosus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38.05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0.0278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tunneller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Epirinus aeneus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Euoniticellus intermedius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22.20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0.342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tunneller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Escarabaeus satyrus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14.94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48.50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213.43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0.3651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1.710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Nocturnal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roller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Euonthophagus vicarius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24.24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0.665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Nocturnal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tunneller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Onitis confusus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19.75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108.93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0.1449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Nocturnal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tunneller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Onthophagus fugitivus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Nocturnal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tunneller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Scarabaeus basuto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21.86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35.28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168.42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0.3969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Scarabaeolus damarensis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16.37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19.02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101.07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0.1423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Scarabaeolus karrooensis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38.90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0.0720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roller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Scarabaeus viator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21.90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11.80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38.22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182.14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0.3087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1.695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roller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Supplementary table S1: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Values of traits of dung beetle species collected in the present study. Food breadth = Score based on number of dung types utilised (carrion, ruminal dung, omnivorous dung, and non-ruminant dung) according to literature (Davies et al., 2020) and own observations.  Phenology = coded as outlined by Tonelli et al. (2017).</w:t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6oz0/Af5ONKEMhVIuJZ8EbJkCA==">CgMxLjA4AHIhMVZmSmpMY2VBV2hCb3RlSlM1TmRPYnZnSzVQRmR2LThn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2021-10-28T06:26:00Z</dcterms:created>
  <dc:creator>Roets, F, Prof [fr@sun.ac.za]</dc:creator>
</cp:coreProperties>
</file>