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Supplementary Information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kl9sooju0sy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Taxonomic, functional and phylogenetic diversity of ant communities in response to elevational gradients in the Qinling Mountains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heading=h.tzdeozmf9m4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Journal name: Biodiversity and Conservation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Mengqin Zhao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Khalid A.E. Eisawi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Junke Nan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Yuexiang Yang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Jingyu Qi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Lingxiao Tang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Kailang Yang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*, Hong He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Key Laboratory of National Forestry and Grassland Administration for Control of Forest Biological Disasters in Western China, College of Forestry, Northwest A&amp;F University, Yangling, Shaanxi, China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Key Laboratory of Plant Protection Resources and Pest Management of the Ministry of Education, College of Plant Protection, Northwest A&amp;F University, Yangling, Shaanxi, China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4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ghag0v6wodkg" w:id="2"/>
      <w:bookmarkEnd w:id="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13970</wp:posOffset>
            </wp:positionV>
            <wp:extent cx="5274310" cy="2543810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cbjrgvweniu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Fig. S1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demonstration of sampling arboreal and epigaeic ants in this study.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27940</wp:posOffset>
            </wp:positionV>
            <wp:extent cx="5274310" cy="746061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0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bookmark=id.2xalr1ez8to1" w:id="4"/>
    <w:bookmarkEnd w:id="4"/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Fig. S2 (a)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Species richness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sample coverage of </w:t>
      </w:r>
      <w:bookmarkStart w:colFirst="0" w:colLast="0" w:name="bookmark=id.k7o2av8c36vq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rarefaction and extrapolation (dotted line) curves with 95% confidence intervals (shaded areas) along different elevations;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(c) </w:t>
      </w:r>
      <w:bookmarkStart w:colFirst="0" w:colLast="0" w:name="bookmark=id.aa97ghsdpdgo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Venn diagram illustrating the number of shared and unique ant species of each site along different elevations.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48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Sampling design description</w:t>
      </w:r>
    </w:p>
    <w:tbl>
      <w:tblPr>
        <w:tblStyle w:val="Table1"/>
        <w:tblW w:w="9071.0" w:type="dxa"/>
        <w:jc w:val="center"/>
        <w:tblLayout w:type="fixed"/>
        <w:tblLook w:val="0400"/>
      </w:tblPr>
      <w:tblGrid>
        <w:gridCol w:w="1746"/>
        <w:gridCol w:w="729"/>
        <w:gridCol w:w="720"/>
        <w:gridCol w:w="1163"/>
        <w:gridCol w:w="122"/>
        <w:gridCol w:w="4497"/>
        <w:gridCol w:w="94"/>
        <w:tblGridChange w:id="0">
          <w:tblGrid>
            <w:gridCol w:w="1746"/>
            <w:gridCol w:w="729"/>
            <w:gridCol w:w="720"/>
            <w:gridCol w:w="1163"/>
            <w:gridCol w:w="122"/>
            <w:gridCol w:w="4497"/>
            <w:gridCol w:w="94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Elevational band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Plot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Elevation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Main tree species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restart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ES1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967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Pinus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Quercus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1019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Pinus massoniana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Q.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1046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Q.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ES2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1198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Pinus armandii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Q.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1256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Q.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1298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armandii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Q.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ES3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1448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armandii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1462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Q.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1480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ES4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1616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1635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armandii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1643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armandii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ES5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1754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1803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1843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restart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ES6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1915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Betula albosinensis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1997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tabuliformis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Abies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Picea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EP18</w:t>
            </w:r>
          </w:p>
        </w:tc>
        <w:tc>
          <w:tcPr>
            <w:gridSpan w:val="2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2029 m.a.s.l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 armandii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sp.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480" w:lineRule="auto"/>
        <w:jc w:val="left"/>
        <w:rPr>
          <w:rFonts w:ascii="Times New Roman" w:cs="Times New Roman" w:eastAsia="Times New Roman" w:hAnsi="Times New Roman"/>
          <w:sz w:val="20"/>
          <w:szCs w:val="20"/>
        </w:rPr>
        <w:sectPr>
          <w:pgSz w:h="16838" w:w="11906" w:orient="portrait"/>
          <w:pgMar w:bottom="1440" w:top="1440" w:left="1800" w:right="180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m.a.s.l represents meters above sea level.</w:t>
      </w:r>
    </w:p>
    <w:p w:rsidR="00000000" w:rsidDel="00000000" w:rsidP="00000000" w:rsidRDefault="00000000" w:rsidRPr="00000000" w14:paraId="0000009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1fb0o7a4fu8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Table S2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The information of collected samples: ant species, the numbers of workers at each site and the relative abundance of each species</w:t>
      </w:r>
      <w:r w:rsidDel="00000000" w:rsidR="00000000" w:rsidRPr="00000000">
        <w:rPr>
          <w:rtl w:val="0"/>
        </w:rPr>
      </w:r>
    </w:p>
    <w:tbl>
      <w:tblPr>
        <w:tblStyle w:val="Table2"/>
        <w:tblW w:w="139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4365"/>
        <w:gridCol w:w="1836"/>
        <w:gridCol w:w="986"/>
        <w:gridCol w:w="988"/>
        <w:gridCol w:w="984"/>
        <w:gridCol w:w="988"/>
        <w:gridCol w:w="986"/>
        <w:gridCol w:w="981"/>
        <w:tblGridChange w:id="0">
          <w:tblGrid>
            <w:gridCol w:w="1842"/>
            <w:gridCol w:w="4365"/>
            <w:gridCol w:w="1836"/>
            <w:gridCol w:w="986"/>
            <w:gridCol w:w="988"/>
            <w:gridCol w:w="984"/>
            <w:gridCol w:w="988"/>
            <w:gridCol w:w="986"/>
            <w:gridCol w:w="981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Subfamily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 species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Relative abundance</w:t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(%)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Worker number at each site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ES1</w:t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(1000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ES2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(1200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ES3</w:t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(1400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ES4</w:t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(1600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ES5</w:t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(1800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ES6</w:t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(2000 m)</w:t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u404fes8k50h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Dolichoderinae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Dolichoderus sibiricus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(Emery, 1889)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Liometopum sinense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(Wheeler, 1921)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Tapinoma geei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(Wheeler, 1927)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Tapinoma indicum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(Forel, 1895)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a9rw1lp914af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Formicinae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Camponotus herculeanus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(Linnaeus, 1758)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Camponotus japonicus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(Mayr, 1866)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Camponotus mitis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Camponotus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sp. (Mayr, 1861)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Formica fusca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(Linnaeus, 1758)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Formica japonica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(Motschoulsky, 1866)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Lasius alienus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(Foerster, 1850)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Lasius flavus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(Fabricius, 1782)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Lasius fuliginosus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(Latreille, 1798)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Nylanderia pieli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(Santschi, 1928)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Nylanderia sharpii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(Forel, 1899)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Nylanderia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sp. (Emery, 1906)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Polyrhachis lamellidens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1874)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Polyergus samurai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(Yano, 1911)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Prenolepis angularis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(Zhou, 2001)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772ygy13ttnm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Myrmicinae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Aphaenogaster caeciliae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(Viehmeyer, 1922)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Crematogaster anthracina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Crematogaster osakensis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(Forel,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Lordomyrma bhutanensis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(Baroni Urbani, 1977)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Myrmecina pauca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(Huang et al., 2008)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Myrmica luteola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(Kupyanskaya, 1990)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Myrmica mifui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(Chen et al., 2016)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Myrmica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sp. (Latreille, 1804)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Myrmica taibaiensis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(Wei et al., 2001)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305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Perissomyrmex bidentatus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(Zhou &amp; Huang, 2006)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Pheidole fervida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1874)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Pristomyrmex punctatus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(Smith, 1860)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Strumigenys lewisi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(Cameron, 1886)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Syllophopsis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sp. (Santschi, 1915)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Temnothorax argentipes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(Wheeler, 1928)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Temnothorax shannxiensis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(Zhou et al., 2010)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Tetramorium smithi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(Mayr, 1879)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w25nfnwvg9bv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Ponerinae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Brachyponera chinensis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(Emery, 1895)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Ectomomyrmex javanus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(Mayr, 1867)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Hypoponera beppin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(Terayama, 1999)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Hypoponera sauteri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(Wheeler, 1929)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Odontomachus monticola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(Emery, 1892)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3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Ponera paedericera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(Zhou, 2001)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2D">
      <w:pPr>
        <w:spacing w:line="480" w:lineRule="auto"/>
        <w:jc w:val="left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1906" w:w="16838" w:orient="landscape"/>
          <w:pgMar w:bottom="1797" w:top="1797" w:left="1440" w:right="1440" w:header="0" w:footer="0"/>
        </w:sectPr>
      </w:pPr>
      <w:bookmarkStart w:colFirst="0" w:colLast="0" w:name="_heading=h.3a512px7nz8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The relative abundance of each species = (Worker number of each ant species / total worker number of all ant species) ×100%</w:t>
      </w:r>
    </w:p>
    <w:p w:rsidR="00000000" w:rsidDel="00000000" w:rsidP="00000000" w:rsidRDefault="00000000" w:rsidRPr="00000000" w14:paraId="0000022E">
      <w:pPr>
        <w:spacing w:line="48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Table S3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The six functional traits measured, their measurement and functional significance</w:t>
      </w:r>
      <w:r w:rsidDel="00000000" w:rsidR="00000000" w:rsidRPr="00000000">
        <w:rPr>
          <w:rtl w:val="0"/>
        </w:rPr>
      </w:r>
    </w:p>
    <w:tbl>
      <w:tblPr>
        <w:tblStyle w:val="Table3"/>
        <w:tblW w:w="89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976"/>
        <w:gridCol w:w="3975"/>
        <w:tblGridChange w:id="0">
          <w:tblGrid>
            <w:gridCol w:w="1980"/>
            <w:gridCol w:w="2976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Functional trait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Trait measurement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Functional significance</w:t>
            </w:r>
          </w:p>
        </w:tc>
      </w:tr>
      <w:tr>
        <w:trPr>
          <w:cantSplit w:val="0"/>
          <w:trHeight w:val="779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Weber’s length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maximum length from the anterior edge of the pronotum to the posterior edge of the propodeum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 is the indicator of whole-body size, which is associated with foraging preference and defense strategies (Weiser &amp; Kaspari, 2006).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Head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full face view across the eyes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Size of interstices through which ants can pass (Sarty et al., 2006); mandibular musculature (Kaspari, 1993).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Scape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Collar to antennal elbow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 limits the distance ahead of the ant that it receives chemosensory information, for example pheromone trails (Yates et al., 2014).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Eye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maximum length of the eye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an indicator of habitat use and foraging efficiency, eye length is related to vision location and food searching (Keller, 2011; Gibb et al., 2015).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Mandible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From mandibular insertion to most distal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 is related to the type of food resources consumed by ants (Weiser &amp; Kaspari, 2006).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Hind leg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sum of hind femur length and hind tibia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Longer legged ant species are characterized by efficient locomotion and foraging (Gibb &amp; Parr, 2013).</w:t>
            </w:r>
          </w:p>
        </w:tc>
      </w:tr>
    </w:tbl>
    <w:p w:rsidR="00000000" w:rsidDel="00000000" w:rsidP="00000000" w:rsidRDefault="00000000" w:rsidRPr="00000000" w14:paraId="00000244">
      <w:pPr>
        <w:spacing w:line="480" w:lineRule="auto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440" w:top="1440" w:left="1800" w:right="1800" w:header="0" w:footer="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48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Table S4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The data of six functional traits of all ant species</w:t>
      </w:r>
      <w:r w:rsidDel="00000000" w:rsidR="00000000" w:rsidRPr="00000000">
        <w:rPr>
          <w:rtl w:val="0"/>
        </w:rPr>
      </w:r>
    </w:p>
    <w:tbl>
      <w:tblPr>
        <w:tblStyle w:val="Table4"/>
        <w:tblW w:w="15578.000000000002" w:type="dxa"/>
        <w:jc w:val="center"/>
        <w:tblLayout w:type="fixed"/>
        <w:tblLook w:val="0400"/>
      </w:tblPr>
      <w:tblGrid>
        <w:gridCol w:w="1581"/>
        <w:gridCol w:w="2639"/>
        <w:gridCol w:w="1985"/>
        <w:gridCol w:w="1701"/>
        <w:gridCol w:w="1843"/>
        <w:gridCol w:w="1702"/>
        <w:gridCol w:w="2125"/>
        <w:gridCol w:w="2002"/>
        <w:tblGridChange w:id="0">
          <w:tblGrid>
            <w:gridCol w:w="1581"/>
            <w:gridCol w:w="2639"/>
            <w:gridCol w:w="1985"/>
            <w:gridCol w:w="1701"/>
            <w:gridCol w:w="1843"/>
            <w:gridCol w:w="1702"/>
            <w:gridCol w:w="2125"/>
            <w:gridCol w:w="20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Subfamily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Functional traits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Weber’s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Head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Scape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Eye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Mandible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Hind leg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6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Dolichoderinae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D. sibiricus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1.160 ± 0.054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0.801 ± 0.042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0.710 ± 0.048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0.202 ± 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0.426 ± 0.034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1.438 ± 0.077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L. sinense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1.821 ± 0.243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1.343 ± 0.177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1.073 ± 0.184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0.245 ± 0.027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0.679 ± 0.131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2.572 ± 0.300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8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T. geei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T. indicum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0.490 ± 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0.370 ± 0.004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0.380 ± 0.014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0.096 ± 0.006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0.204 ± 0.004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0.704 ± 0.006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7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Formicinae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9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C. herculeanus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5.509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C. japonicus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2.837 ± 0.129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1.455 ± 0.163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1.906 ± 0.094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0.412 ± 0.048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0.887 ± 0.068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4.399 ± 0.313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C. mitis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2.955 ± 0.220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1.501 ± 0.189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1.938 ± 0.055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0.461 ± 0.023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0.857 ± 0.032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5.169 ± 0.960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F. fusca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1.978 ± 0.184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1.201 ± 0.121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1.404 ± 0.111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0.433 ± 0.038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0.583 ± 0.052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3.205 ± 0.332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F. japonica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2.428 ± 0.218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1.328 ± 0.115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1.700 ± 0.105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0.452 ± 0.045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0.747 ± 0.052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4.141 ± 0.413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L. alienus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1.235 ± 0.070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0.976 ± 0.061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0.960 ± 0.036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0.227 ± 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0.499 ± 0.028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1.991 ± 0.135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L. flavus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1.335 ± 0.038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1.037 ± 0.036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1.015 ± 0.047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0.158 ± 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0.617 ± 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2.217 ± 0.057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9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L. fuliginosus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1.331 ± 0.064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1.161 ± 0.069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1.106 ± 0.053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0.219 ± 0.020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0.513 ± 0.049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2.686 ± 0.132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N. pieli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0.718 ± 0.032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0.503 ± 0.015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0.662 ± 0.022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0.122 ± 0.011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0.311 ± 0.017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1.215 ± 0.046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N. sharpii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0.752 ± 0.040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0.517 ± 0.036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0.636 ± 0.023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0.126 ± 0.018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0.311 ±0.022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1.187 ± 0.051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1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0.740 ± 0.039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0.538 ± 0.039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0.670 ± 0.035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0.145 ± 0.015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0.324 ± 0.014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1.250 ± 0.089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9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P. lamellidens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2.461 ± 0.271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1.756 ± 0.117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2.266 ± 0.146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0.410 ± 0.039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0.888 ± 0.062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5.194 ± 0.276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1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P. samurai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2.412 ± 0.086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1.461 ± 0.080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1.222 ± 0.032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0.359 ± 0.039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0.874 ± 0.026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3.842 ± 0.109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9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P. angularis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0.824 ± 0.015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0.613 ± 0.024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0.763 ± 0.043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0.162 ± 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0.387 ± 0.022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1.649 ± 0.060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0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Myrmicinae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A. caeciliae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1.533 ± 0.111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0.949 ± 0.064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1.105 ± 0.109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0.192 ± 0.022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0.575 ± 0.052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2.283 ± 0.120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C. anthracina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0.957 ± 0.053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0.919 ± 0.051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0.663 ± 0.036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0.190 ± 0.014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0.442 ± 0.033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1.467 ± 0.088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C. osakensis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0.658 ± 0.047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0.592 ± 0.030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0.419 ± 0.016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0.131 ± 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0.320 ± 0.016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0.884 ± 0.071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A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L. bhutanensis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0.803 ± 0.025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0.598 ± 0.031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0.460 ± 0.016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0.111 ±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0.359 ± 0.035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0.886 ± 0.043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M. pauca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0.711 ± 0.042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0.617 ± 0.064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0.424 ± 0.022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0.077 ± 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0.368 ± 0.034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0.813 ± 0.098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M. luteola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M. mifui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1.723 ± 0.140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1.260 ± 0.034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1.143 ± 0.052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0.231 ± 0.011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0.628 ± 0.056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2.443 ± 0.084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A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Myrmica.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1.417 ± 0.098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0.944 ± 0.049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0.945 ± 0.066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0.201 ± 0.016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0.542 ± 0.025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2.002 ± 0.096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M. taibaiensis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1.820 ± 0.148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1.271 ± 0.059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1.129 ± 0.025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0.238 ± 0.020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0.698 ± 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2.433 ± 0.108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A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P. bidentatus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P. fervida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0.766 ± 0.061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0.614 ± 0.010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0.574 ± 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0.126 ± 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0.382 ± 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1.059 ± 0.036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A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P. punctatus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0.723 ± 0.056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0.785 ± 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0.710 ± 0.035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0.154 ±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0.439 ± 0.017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1.241 ± 0.048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S. lewisi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A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Syllophopsis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T. argentipes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A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T. shannxiensis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0.715 ± 0.057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0.562 ± 0.040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0.451 ± 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0.136 ±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0.318 ± 0.011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0.863 ± 0.078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2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T. smithi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0.961 ± 0.052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0.790 ± 0.015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0.544 ± 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0.168 ±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0.449 ± 0.020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1.192 ± 0.020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79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Ponerinae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B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B. chinensis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3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E. javanus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2.951 ± 0.148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1.908 ± 0.080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1.519 ± 0.122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0.281 ± 0.023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1.271 ± 0.033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3.317 ± 0.142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B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H. beppin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1.129 ± 0.069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0.610 ± 0.031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0.579 ± 0.019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0.044 ±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0.418 ± 0.031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1.259 ± 0.038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3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H. sauteri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B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O. monticola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3.692 ± 0.203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2.153 ± 0.146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2.676 ± 0.173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0.302 ± 0.050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1.675 ± 0.085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5.343 ± 0.254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widowControl w:val="1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P. paedericera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3A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 ± 0.063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3A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0.546 ± 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3A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0.456 ± 0.006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0.032 ±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0.397 ± 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0.894 ± 0.055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line="480" w:lineRule="auto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1906" w:w="16838" w:orient="landscape"/>
          <w:pgMar w:bottom="1797" w:top="1797" w:left="1440" w:right="1440" w:header="0" w:footer="0"/>
        </w:sectPr>
      </w:pPr>
      <w:bookmarkStart w:colFirst="0" w:colLast="0" w:name="_heading=h.6lcqbs8vlfno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The functional trait 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of each species = Mean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± 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48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8bwpsa37qb8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percentage of subfamilies and genera in each site</w:t>
      </w:r>
    </w:p>
    <w:tbl>
      <w:tblPr>
        <w:tblStyle w:val="Table5"/>
        <w:tblW w:w="9349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42"/>
        <w:gridCol w:w="1014"/>
        <w:gridCol w:w="1014"/>
        <w:gridCol w:w="1014"/>
        <w:gridCol w:w="1013"/>
        <w:gridCol w:w="1015"/>
        <w:gridCol w:w="1016"/>
        <w:tblGridChange w:id="0">
          <w:tblGrid>
            <w:gridCol w:w="1622"/>
            <w:gridCol w:w="1642"/>
            <w:gridCol w:w="1014"/>
            <w:gridCol w:w="1014"/>
            <w:gridCol w:w="1014"/>
            <w:gridCol w:w="1013"/>
            <w:gridCol w:w="1015"/>
            <w:gridCol w:w="1016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Subfamily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Genus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ycp2spqvh0i3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percentage of subfamily and genera in each site (%)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ES1</w:t>
            </w:r>
          </w:p>
          <w:p w:rsidR="00000000" w:rsidDel="00000000" w:rsidP="00000000" w:rsidRDefault="00000000" w:rsidRPr="00000000" w14:paraId="000003B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(1000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ES2</w:t>
            </w:r>
          </w:p>
          <w:p w:rsidR="00000000" w:rsidDel="00000000" w:rsidP="00000000" w:rsidRDefault="00000000" w:rsidRPr="00000000" w14:paraId="000003B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(1200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ES3</w:t>
            </w:r>
          </w:p>
          <w:p w:rsidR="00000000" w:rsidDel="00000000" w:rsidP="00000000" w:rsidRDefault="00000000" w:rsidRPr="00000000" w14:paraId="000003B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(1400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ES4</w:t>
            </w:r>
          </w:p>
          <w:p w:rsidR="00000000" w:rsidDel="00000000" w:rsidP="00000000" w:rsidRDefault="00000000" w:rsidRPr="00000000" w14:paraId="000003B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(1600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ES5</w:t>
            </w:r>
          </w:p>
          <w:p w:rsidR="00000000" w:rsidDel="00000000" w:rsidP="00000000" w:rsidRDefault="00000000" w:rsidRPr="00000000" w14:paraId="000003B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(1800 m)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ES6</w:t>
            </w:r>
          </w:p>
          <w:p w:rsidR="00000000" w:rsidDel="00000000" w:rsidP="00000000" w:rsidRDefault="00000000" w:rsidRPr="00000000" w14:paraId="000003C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(2000 m)</w:t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Dolichoderinae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C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C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Dolichoderus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D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Liometopum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vc97l83s3m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D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Tapinoma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Formicinae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E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11.71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E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Camponotus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F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Formica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2.50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F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Lasius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8.64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0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Nylanderia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0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Polyrhachis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1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Polyergus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1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Prenolepis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Myrmicinae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2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37.46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88.29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2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Aphaenogaster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3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Crematogaster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3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Lordomyrma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4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Myrmecina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4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Myrmica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81.19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5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Perissomyrmex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5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Pheidole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6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Pristomyrmex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6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Strumigenys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7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Syllophopsis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7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Temnothorax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2.69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8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Tetramorium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A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Ponerinae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8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9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Brachyponera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9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Ectomomyrmex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A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Hypoponera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AB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Odontomachus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C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D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E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F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0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1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B3">
            <w:pPr>
              <w:widowControl w:val="1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4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6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7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9">
            <w:pPr>
              <w:widowControl w:val="1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</w:t>
            </w:r>
          </w:p>
        </w:tc>
      </w:tr>
    </w:tbl>
    <w:p w:rsidR="00000000" w:rsidDel="00000000" w:rsidP="00000000" w:rsidRDefault="00000000" w:rsidRPr="00000000" w14:paraId="000004BA">
      <w:pPr>
        <w:tabs>
          <w:tab w:val="left" w:leader="none" w:pos="2418"/>
        </w:tabs>
        <w:spacing w:line="480" w:lineRule="auto"/>
        <w:ind w:left="231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The percentage of subfamily or genera in each site (%) = (Worker number of each subfamily or genera in </w:t>
      </w:r>
    </w:p>
    <w:p w:rsidR="00000000" w:rsidDel="00000000" w:rsidP="00000000" w:rsidRDefault="00000000" w:rsidRPr="00000000" w14:paraId="000004BB">
      <w:pPr>
        <w:tabs>
          <w:tab w:val="left" w:leader="none" w:pos="2418"/>
        </w:tabs>
        <w:spacing w:line="480" w:lineRule="auto"/>
        <w:ind w:left="2310" w:firstLine="0"/>
        <w:jc w:val="left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1906" w:w="16838" w:orient="landscape"/>
          <w:pgMar w:bottom="1797" w:top="1797" w:left="1440" w:right="144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each site / total worker number in each site) ×100%</w:t>
      </w:r>
    </w:p>
    <w:p w:rsidR="00000000" w:rsidDel="00000000" w:rsidP="00000000" w:rsidRDefault="00000000" w:rsidRPr="00000000" w14:paraId="000004BC">
      <w:pPr>
        <w:spacing w:lin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lnhnlkeby05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Summary of one-way ANOVA tests or Kruskal-Wallis test for ant diversity and functional traits composition among low, middle and high elevation. Shown were the mean ± sd and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value. </w:t>
      </w:r>
    </w:p>
    <w:tbl>
      <w:tblPr>
        <w:tblStyle w:val="Table6"/>
        <w:tblW w:w="927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2"/>
        <w:gridCol w:w="2007"/>
        <w:gridCol w:w="1905"/>
        <w:gridCol w:w="1807"/>
        <w:gridCol w:w="1296"/>
        <w:tblGridChange w:id="0">
          <w:tblGrid>
            <w:gridCol w:w="2262"/>
            <w:gridCol w:w="2007"/>
            <w:gridCol w:w="1905"/>
            <w:gridCol w:w="1807"/>
            <w:gridCol w:w="1296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B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B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elevation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B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Middle elevation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elevation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value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Species richness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20.000 ± 4.517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10.833 ± 2.041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10.667 ± 0.516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0.0026 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Chao-1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21.710 ± 4.382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13.955 ± 4.909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13.147 ± 3.024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0.0051 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Rao’ 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2.524 ± 1.440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0.962 ± 0.388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C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0.955 ± 0.446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0.0148 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FD_PD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12.730 ± 2.100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7.526 ± 1.331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8.151 ± 1.047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0.0001 ***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1460.561 ± 239.020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859.856 ± 131.810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773.549 ± 37.987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0.0025 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234.550 ± 7.675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217.287 ± 14.605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202.100 ± 4.190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D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0.0068 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Weber’s length CWM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1.292 ± 0.171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0.990 ± 0.068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1.533 ± 0.130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0.0001 ***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Head width CWM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0.938 ± 0.099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0.675 ± 0.042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1.076 ± 0.116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0.0001 ***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Scape length CWM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0.966 ± 0.124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0.763 ± 0.042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1.030 ± 0.062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0.0002 ***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E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Eye length CWM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0.212 ± 0.037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0.155 ± 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0.225 ± 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0.0023 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Mandible length CWM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0.502 ± 0.052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0.400 ± 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0.589 ± 0.056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0.0001 ***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Hind leg length CWM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2.127 ± 0.332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1.536 ± 0.110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2.198 ± 0.152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F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0.0002 ***</w:t>
            </w:r>
          </w:p>
        </w:tc>
      </w:tr>
    </w:tbl>
    <w:p w:rsidR="00000000" w:rsidDel="00000000" w:rsidP="00000000" w:rsidRDefault="00000000" w:rsidRPr="00000000" w14:paraId="000004FE">
      <w:pPr>
        <w:tabs>
          <w:tab w:val="left" w:leader="none" w:pos="2418"/>
        </w:tabs>
        <w:spacing w:line="48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rrhb8873qdui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Asterisks (*) represents significant. Significant level: *,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&lt; 0.05; **,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&lt; 0.01; ***,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&lt; 0.001.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before="0" w:line="4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S7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Summary of Wilcoxon signed-rank test for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statistical significance of the observed functional and phylogenetic diversity and the expected metrics of the null model in low, middle and high elevation. Shown were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value.</w:t>
      </w:r>
    </w:p>
    <w:tbl>
      <w:tblPr>
        <w:tblStyle w:val="Table7"/>
        <w:tblW w:w="79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2"/>
        <w:gridCol w:w="2007"/>
        <w:gridCol w:w="1905"/>
        <w:gridCol w:w="1806"/>
        <w:tblGridChange w:id="0">
          <w:tblGrid>
            <w:gridCol w:w="2262"/>
            <w:gridCol w:w="2007"/>
            <w:gridCol w:w="1905"/>
            <w:gridCol w:w="1806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elevation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Middle elevation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elevation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Rao’ Q SES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0.5625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0.03125 *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0.03125 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FD_PD 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0.4375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PD 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0.03125 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1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MPD 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1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1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1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0.03125 *</w:t>
            </w:r>
          </w:p>
        </w:tc>
      </w:tr>
    </w:tbl>
    <w:p w:rsidR="00000000" w:rsidDel="00000000" w:rsidP="00000000" w:rsidRDefault="00000000" w:rsidRPr="00000000" w14:paraId="00000514">
      <w:pPr>
        <w:tabs>
          <w:tab w:val="left" w:leader="none" w:pos="2418"/>
        </w:tabs>
        <w:spacing w:line="48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Asterisks (*) represents significant. Significant level: *,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&lt; 0.05; **,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&lt; 0.01; ***,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&lt; 0.001.</w:t>
      </w:r>
    </w:p>
    <w:p w:rsidR="00000000" w:rsidDel="00000000" w:rsidP="00000000" w:rsidRDefault="00000000" w:rsidRPr="00000000" w14:paraId="00000515">
      <w:pPr>
        <w:tabs>
          <w:tab w:val="left" w:leader="none" w:pos="982"/>
        </w:tabs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38" w:w="11906" w:orient="portrait"/>
          <w:pgMar w:bottom="1440" w:top="1440" w:left="1800" w:right="180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516">
      <w:pPr>
        <w:spacing w:line="4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480" w:lineRule="auto"/>
        <w:ind w:left="400" w:hanging="4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Gibb H, Parr CL (2013) Does structural complexity determine the morphology of assemblages? An experimental test on three continents. PloS One 8(5), e64005. https://doi.org/10.1371/journal.pone.0064005</w:t>
      </w:r>
    </w:p>
    <w:p w:rsidR="00000000" w:rsidDel="00000000" w:rsidP="00000000" w:rsidRDefault="00000000" w:rsidRPr="00000000" w14:paraId="00000518">
      <w:pPr>
        <w:spacing w:line="480" w:lineRule="auto"/>
        <w:ind w:left="400" w:hanging="4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Gibb H, Stoklosa J, Warton DI, Brown AM, Andrew NR, Cunningham SA (2015) Does morphology predict trophic position and habitat use of ant species and assemblages? Oecologia 177(2), 519–531. https://doi.org/10.1007/s00442-014-3101-9</w:t>
      </w:r>
    </w:p>
    <w:p w:rsidR="00000000" w:rsidDel="00000000" w:rsidP="00000000" w:rsidRDefault="00000000" w:rsidRPr="00000000" w14:paraId="00000519">
      <w:pPr>
        <w:spacing w:line="480" w:lineRule="auto"/>
        <w:ind w:left="400" w:hanging="4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Kaspari M (1993) Body size and microclimate use in Neotropical granivorous ants. Oecologia 96(4), 500–507. https://doi.org/10.1007/BF00320507</w:t>
      </w:r>
    </w:p>
    <w:p w:rsidR="00000000" w:rsidDel="00000000" w:rsidP="00000000" w:rsidRDefault="00000000" w:rsidRPr="00000000" w14:paraId="0000051A">
      <w:pPr>
        <w:spacing w:line="480" w:lineRule="auto"/>
        <w:ind w:left="400" w:hanging="4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Keller RA (2011) A Phylogenetic Analysis of Ant Morphology (hymenoptera: Formicidae) with Special Reference to the Poneromorph Subfamilies. Bulletin of the American Museum of Natural History 355, 1–90. https://doi.org/10.1206/355.1</w:t>
      </w:r>
    </w:p>
    <w:p w:rsidR="00000000" w:rsidDel="00000000" w:rsidP="00000000" w:rsidRDefault="00000000" w:rsidRPr="00000000" w14:paraId="0000051B">
      <w:pPr>
        <w:spacing w:line="480" w:lineRule="auto"/>
        <w:ind w:left="400" w:hanging="4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Sarty M, Abbott KL, Lester PJ (2006) Habitat complexity facilitates coexistence in a tropical ant community. Oecologia 149(3), 465–473. https://doi.org/10.1007/s00442-006-0453-9</w:t>
      </w:r>
    </w:p>
    <w:p w:rsidR="00000000" w:rsidDel="00000000" w:rsidP="00000000" w:rsidRDefault="00000000" w:rsidRPr="00000000" w14:paraId="0000051C">
      <w:pPr>
        <w:spacing w:line="480" w:lineRule="auto"/>
        <w:ind w:left="400" w:hanging="4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Weiser MD, Kaspari M (2006) Ecological morphospace of New World ants. Ecological Entomology 31(2), 131–142. https://doi.org/10.1111/j.0307-6946.2006.00759.x</w:t>
      </w:r>
    </w:p>
    <w:p w:rsidR="00000000" w:rsidDel="00000000" w:rsidP="00000000" w:rsidRDefault="00000000" w:rsidRPr="00000000" w14:paraId="0000051D">
      <w:pPr>
        <w:spacing w:line="480" w:lineRule="auto"/>
        <w:ind w:left="400" w:hanging="4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Yates ML, Andrew NR, Binns M, Gibb H (2014) Morphological traits: Predictable responses to macrohabitats across a 300 km scale. PeerJ 2, e271. https://doi.org/10.7717/peerj.271</w:t>
      </w:r>
    </w:p>
    <w:sectPr>
      <w:type w:val="nextPage"/>
      <w:pgSz w:h="16838" w:w="11906" w:orient="portrait"/>
      <w:pgMar w:bottom="1440" w:top="1440" w:left="1800" w:right="180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等线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tyle14" w:customStyle="1">
    <w:name w:val="页眉 字符"/>
    <w:basedOn w:val="DefaultParagraphFont"/>
    <w:link w:val="Header"/>
    <w:uiPriority w:val="99"/>
    <w:qFormat w:val="1"/>
    <w:rsid w:val="00822064"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 w:val="1"/>
    <w:rsid w:val="00822064"/>
    <w:rPr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6D3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6D389A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 w:val="1"/>
    <w:unhideWhenUsed w:val="1"/>
    <w:qFormat w:val="1"/>
    <w:rsid w:val="004244DC"/>
    <w:rPr>
      <w:sz w:val="21"/>
      <w:szCs w:val="21"/>
    </w:rPr>
  </w:style>
  <w:style w:type="character" w:styleId="Style16" w:customStyle="1">
    <w:name w:val="批注文字 字符"/>
    <w:basedOn w:val="DefaultParagraphFont"/>
    <w:link w:val="AnnotationText"/>
    <w:uiPriority w:val="99"/>
    <w:semiHidden w:val="1"/>
    <w:qFormat w:val="1"/>
    <w:rsid w:val="004244DC"/>
    <w:rPr/>
  </w:style>
  <w:style w:type="character" w:styleId="Style17" w:customStyle="1">
    <w:name w:val="批注主题 字符"/>
    <w:basedOn w:val="Style16"/>
    <w:link w:val="annotationsubject"/>
    <w:uiPriority w:val="99"/>
    <w:semiHidden w:val="1"/>
    <w:qFormat w:val="1"/>
    <w:rsid w:val="004244DC"/>
    <w:rPr>
      <w:b w:val="1"/>
      <w:b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Style14"/>
    <w:uiPriority w:val="99"/>
    <w:unhideWhenUsed w:val="1"/>
    <w:rsid w:val="00822064"/>
    <w:pPr>
      <w:pBdr>
        <w:bottom w:color="000000" w:space="1" w:sz="6" w:val="single"/>
      </w:pBdr>
      <w:tabs>
        <w:tab w:val="clear" w:pos="420"/>
        <w:tab w:val="center" w:leader="none" w:pos="4153"/>
        <w:tab w:val="right" w:leader="none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 w:val="1"/>
    <w:rsid w:val="00822064"/>
    <w:pPr>
      <w:tabs>
        <w:tab w:val="clear" w:pos="420"/>
        <w:tab w:val="center" w:leader="none" w:pos="4153"/>
        <w:tab w:val="right" w:leader="none" w:pos="8306"/>
      </w:tabs>
      <w:snapToGrid w:val="0"/>
      <w:jc w:val="left"/>
    </w:pPr>
    <w:rPr>
      <w:sz w:val="18"/>
      <w:szCs w:val="18"/>
    </w:rPr>
  </w:style>
  <w:style w:type="paragraph" w:styleId="AnnotationText">
    <w:name w:val="Annotation Text"/>
    <w:basedOn w:val="Normal"/>
    <w:link w:val="Style16"/>
    <w:uiPriority w:val="99"/>
    <w:semiHidden w:val="1"/>
    <w:unhideWhenUsed w:val="1"/>
    <w:rsid w:val="004244DC"/>
    <w:pPr>
      <w:jc w:val="left"/>
    </w:pPr>
    <w:rPr/>
  </w:style>
  <w:style w:type="paragraph" w:styleId="annotationsubject">
    <w:name w:val="annotation subject"/>
    <w:basedOn w:val="AnnotationText"/>
    <w:next w:val="AnnotationText"/>
    <w:link w:val="Style17"/>
    <w:uiPriority w:val="99"/>
    <w:semiHidden w:val="1"/>
    <w:unhideWhenUsed w:val="1"/>
    <w:qFormat w:val="1"/>
    <w:rsid w:val="004244DC"/>
    <w:pPr/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" w:customStyle="1">
    <w:name w:val="网格型1"/>
    <w:basedOn w:val="a1"/>
    <w:uiPriority w:val="39"/>
    <w:rsid w:val="00A46AF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7">
    <w:name w:val="Table Grid"/>
    <w:basedOn w:val="a1"/>
    <w:uiPriority w:val="39"/>
    <w:rsid w:val="00A46AF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网格型2"/>
    <w:basedOn w:val="a1"/>
    <w:uiPriority w:val="39"/>
    <w:rsid w:val="002C1F5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/0LG25auys+0dyPwlbn1Jje/JA==">CgMxLjAyDmgua2w5c29vanUwc3l2Mg5oLnR6ZGVvem1mOW00MDIOaC5naGFnMHY2d29ka2cyDmguY2Jqcmd2d2VuaXVsMg9pZC4yeGFscjFlejh0bzEyD2lkLms3bzJhdjhjMzZ2cTIPaWQuYWE5N2doc2RwZGdvMg5oLjFmYjBvN2E0ZnU4eTIOaC51NDA0ZmVzOGs1MGgyDmguYTlydzFscDkxNGFmMg5oLjc3MnlneTEzdHRubTIOaC53MjVuZm53dmc5YnYyDmguM2E1MTJweDduejhnMg5oLjZsY3Ficzh2bGZubzIOaC44Yndwc2EzN3FiOGoyDmgueWNwMnNwcXZoMGkzMg1oLnZjOTdsODNzM216Mg5oLmxuaG5sa2VieTA1cjIOaC5ycmhiODg3M3FkdWk4AHIhMWhTSEhkV25CVm43eVRVYkVTNUpnZEV3VHBYX0lTYW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2023-01-10T11:44:00Z</dcterms:created>
  <dc:creator>15440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