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rPr/>
      </w:pPr>
      <w:r>
        <w:rPr>
          <w:b/>
          <w:bCs/>
        </w:rPr>
        <w:t>Supplement 1: Climate, topography, and trait data gathering</w:t>
      </w:r>
    </w:p>
    <w:p>
      <w:pPr>
        <w:pStyle w:val="Normal"/>
        <w:spacing w:lineRule="auto" w:line="360"/>
        <w:rPr>
          <w:b/>
          <w:b/>
          <w:bCs/>
        </w:rPr>
      </w:pPr>
      <w:r>
        <w:rPr>
          <w:b/>
          <w:bCs/>
        </w:rPr>
      </w:r>
    </w:p>
    <w:p>
      <w:pPr>
        <w:pStyle w:val="Normal"/>
        <w:spacing w:lineRule="auto" w:line="360"/>
        <w:rPr/>
      </w:pPr>
      <w:r>
        <w:rPr>
          <w:i/>
          <w:iCs/>
        </w:rPr>
        <w:t>Climate data</w:t>
      </w:r>
    </w:p>
    <w:p>
      <w:pPr>
        <w:pStyle w:val="Normal"/>
        <w:spacing w:lineRule="auto" w:line="360"/>
        <w:rPr/>
      </w:pPr>
      <w:r>
        <w:rPr/>
      </w:r>
    </w:p>
    <w:p>
      <w:pPr>
        <w:pStyle w:val="Normal"/>
        <w:spacing w:lineRule="auto" w:line="360"/>
        <w:rPr/>
      </w:pPr>
      <w:r>
        <w:rPr/>
        <w:t>We used data from a weather station at the RMBL operated by long-time resident, billy barr. We selected this data source because it was consistently collected throughout the duration of our study with no missing days, and because it provides a direct measure of snowmelt timing. In addition, this weather station was closer to the majority of our study sites than any other weather stations with data available.</w:t>
      </w:r>
    </w:p>
    <w:p>
      <w:pPr>
        <w:pStyle w:val="Normal"/>
        <w:spacing w:lineRule="auto" w:line="360"/>
        <w:rPr/>
      </w:pPr>
      <w:r>
        <w:rPr/>
      </w:r>
    </w:p>
    <w:p>
      <w:pPr>
        <w:pStyle w:val="Normal"/>
        <w:spacing w:lineRule="auto" w:line="360"/>
        <w:rPr/>
      </w:pPr>
      <w:r>
        <w:rPr/>
        <w:t xml:space="preserve">For the climate variables, we made </w:t>
      </w:r>
      <w:r>
        <w:rPr>
          <w:i/>
          <w:iCs/>
        </w:rPr>
        <w:t>a priori</w:t>
      </w:r>
      <w:r>
        <w:rPr/>
        <w:t xml:space="preserve"> selections of snowmelt date (first date of uncovered ground in a year), average monthly summer rainfall, and average monthly summer </w:t>
      </w:r>
      <w:r>
        <w:rPr/>
        <w:t>maximum</w:t>
      </w:r>
      <w:r>
        <w:rPr/>
        <w:t xml:space="preserve"> temperature. We defined summer as the period between April 1 and September 30, the typical flight period for the bee community at the RMBL (Gezon et al. 2015). We did not include total snowfall or snow water content, because they were highly correlated with snowmelt date (</w:t>
      </w:r>
      <w:r>
        <w:rPr>
          <w:i/>
          <w:iCs/>
        </w:rPr>
        <w:t>r=0.82</w:t>
      </w:r>
      <w:r>
        <w:rPr/>
        <w:t xml:space="preserve"> and </w:t>
      </w:r>
      <w:r>
        <w:rPr>
          <w:i/>
          <w:iCs/>
        </w:rPr>
        <w:t>r=0.86</w:t>
      </w:r>
      <w:r>
        <w:rPr/>
        <w:t xml:space="preserve">, respectively). We predicted that snowmelt date in particular would be a major driver of bee phenology, with earlier snowmelt driving earlier occurrences of all phenophases, because the persistent snowpack greatly limits the growing season in the study area and strongly affects flowering phenology (Inouye 2008) and bumble bee catch rates (Ogilvie et al., 2017). We calculated temperature and rainfall values over the entirety of the active bee season because bee foraging phenophases are distributed throughout the season. The flight periods of individual, univoltine species are thought to be short (just a few weeks), so many senescence events are expected to occur before many emergence events, and vice versa. </w:t>
      </w:r>
    </w:p>
    <w:p>
      <w:pPr>
        <w:pStyle w:val="Normal"/>
        <w:spacing w:lineRule="auto" w:line="360"/>
        <w:rPr/>
      </w:pPr>
      <w:r>
        <w:rPr/>
      </w:r>
    </w:p>
    <w:p>
      <w:pPr>
        <w:pStyle w:val="Normal"/>
        <w:spacing w:lineRule="auto" w:line="360"/>
        <w:rPr/>
      </w:pPr>
      <w:r>
        <w:rPr>
          <w:i/>
          <w:iCs/>
        </w:rPr>
        <w:t>Topographic data</w:t>
      </w:r>
    </w:p>
    <w:p>
      <w:pPr>
        <w:pStyle w:val="Normal"/>
        <w:spacing w:lineRule="auto" w:line="360"/>
        <w:rPr/>
      </w:pPr>
      <w:r>
        <w:rPr/>
      </w:r>
    </w:p>
    <w:p>
      <w:pPr>
        <w:pStyle w:val="Normal"/>
        <w:spacing w:lineRule="auto" w:line="360"/>
        <w:rPr/>
      </w:pPr>
      <w:r>
        <w:rPr/>
        <w:t xml:space="preserve">We assessed the effects of elevation and solar incidence on bee phenology. The elevation of our sites ranged from 2456 to 3438 meters above sea level (Table S2). Bee phenology has been shown to shift based on elevation in the study area (Pyke et al. 2011). Solar incidence was calculated as the hourly average angle to the sun from 0900 to 1800 on July 1 of each year using the </w:t>
      </w:r>
      <w:r>
        <w:rPr>
          <w:i/>
          <w:iCs/>
        </w:rPr>
        <w:t>insol</w:t>
      </w:r>
      <w:r>
        <w:rPr/>
        <w:t xml:space="preserve"> R-package (Corripio 2014). We included this variable on the premise that sites with a more direct angle of incidence to the sun would experience warmer temperatures and receive more accumulated solar energy over the course of a season, which could advance some phenophases (Jackson 1966, Weiss et al. 1993, Allen et al. 2014). To calculate the degree of solar incidence, we obtained elevation, slope, and aspect data from a digital elevation map, and we verified slope and aspect data at each site using a clinometer and compass.</w:t>
      </w:r>
    </w:p>
    <w:p>
      <w:pPr>
        <w:pStyle w:val="Normal"/>
        <w:spacing w:lineRule="auto" w:line="360"/>
        <w:rPr/>
      </w:pPr>
      <w:r>
        <w:rPr/>
      </w:r>
    </w:p>
    <w:p>
      <w:pPr>
        <w:pStyle w:val="Normal"/>
        <w:spacing w:lineRule="auto" w:line="360"/>
        <w:rPr/>
      </w:pPr>
      <w:r>
        <w:rPr>
          <w:i/>
          <w:iCs/>
        </w:rPr>
        <w:t>Species trait data</w:t>
      </w:r>
    </w:p>
    <w:p>
      <w:pPr>
        <w:pStyle w:val="Normal"/>
        <w:spacing w:lineRule="auto" w:line="360"/>
        <w:rPr/>
      </w:pPr>
      <w:r>
        <w:rPr/>
      </w:r>
    </w:p>
    <w:p>
      <w:pPr>
        <w:pStyle w:val="Normal"/>
        <w:spacing w:lineRule="auto" w:line="360"/>
        <w:rPr/>
      </w:pPr>
      <w:r>
        <w:rPr/>
        <w:t xml:space="preserve">To examine the role of functional traits in determining bee phenology, we assessed the effect of body mass, nest location, and overwintering stage. We did not include sociality as a trait in the analysis because we specifically excluded the eusocial group </w:t>
      </w:r>
      <w:r>
        <w:rPr>
          <w:i/>
          <w:iCs/>
        </w:rPr>
        <w:t>Bombus</w:t>
      </w:r>
      <w:r>
        <w:rPr>
          <w:i w:val="false"/>
          <w:iCs w:val="false"/>
        </w:rPr>
        <w:t>, and some halcitids in our study system have been shown to exhibit variable solitary lifestyles at high elevations (Eickwort et al. 1996), while bees of the same species may be social at lower elevations.</w:t>
      </w:r>
      <w:r>
        <w:rPr/>
        <w:t xml:space="preserve"> We calculated body mass by measuring intertegular distance (ITD) for up to ten individuals of each species and scaling the measurements according to an established ITD-to-mass relationship (Cane 1987). We chose body mass as a predictor because body mass has been shown to influence thermal tolerance (Stone &amp; Willmer 1989). Thus, it may be that smaller bees have evolved more conservative phenologies (closer to the middle of the season) in order to avoid temperature extremes. We note that the present analysis is limited to smaller bodied bees due to the exclusion of </w:t>
      </w:r>
      <w:r>
        <w:rPr>
          <w:i/>
          <w:iCs/>
        </w:rPr>
        <w:t>Bombus</w:t>
      </w:r>
      <w:r>
        <w:rPr/>
        <w:t xml:space="preserve"> from the analysis. We obtained nest location (above ground vs. below ground) and overwintering stage (adult vs. prepupae) for each species by compiling existing trait information from primary resources (Pardee 2018; Table S3).</w:t>
      </w:r>
      <w:r>
        <w:br w:type="page"/>
      </w:r>
    </w:p>
    <w:p>
      <w:pPr>
        <w:pStyle w:val="Normal"/>
        <w:spacing w:lineRule="auto" w:line="360"/>
        <w:rPr/>
      </w:pPr>
      <w:r>
        <w:rPr>
          <w:b/>
          <w:bCs/>
        </w:rPr>
        <w:t>Supplement 2: Power analysis and method validation</w:t>
      </w:r>
    </w:p>
    <w:p>
      <w:pPr>
        <w:pStyle w:val="Normal"/>
        <w:spacing w:lineRule="auto" w:line="360"/>
        <w:rPr/>
      </w:pPr>
      <w:r>
        <w:rPr/>
      </w:r>
    </w:p>
    <w:p>
      <w:pPr>
        <w:pStyle w:val="Normal"/>
        <w:spacing w:lineRule="auto" w:line="360"/>
        <w:rPr/>
      </w:pPr>
      <w:r>
        <w:rPr/>
        <w:t xml:space="preserve">In order to validate the phenophase estimation method presented in this paper and to explore its performance, we conducted a power analysis using simulated data with known parameter values. We drew observations from a normal distribution to generate a simulated population time series. The mean was selected from a uniform distribution ranging from 50 to 200 days of the year, the standard deviation was varied by ten intervals from 7 to 50 days, and points were drawn every 14 days to mirror the actual bee monitoring protocol. These parameter values and sampling frequency were selected to reflect realistic ranges of bee abundance in our study system. The drawn values were rounded to the nearest one-day bin, and true peak timing, emergence, and senescence values were calculated as the maximum observed abundance, and the first and last days on which 5% of the maximum was observed, respectively. To test the efficacy of the phenophase estimation method at different re-sampling regimes, we added different levels of error to the observed values. The error terms were picked from a normal distribution centered at zero and with a standard deviation equal to the standard deviation of the simulated distribution multiplied by a scaling factor. We varied the scaling factor by ten intervals from 0 to 1. We then performed the GAM phenophase estimation method detailed previously on the sampled dataset to estimate phenophase values and generate confidence intervals (illustrated in Figure S1). We performed this procedure 500 times for each combination of standard deviation and error values, resulting in 50,000 total simulations. To test for the effectiveness of the method on skewed distributions, we repeated the above procedure with a skew-normal distribution, generated using the </w:t>
      </w:r>
      <w:r>
        <w:rPr>
          <w:i/>
          <w:iCs/>
        </w:rPr>
        <w:t>sn</w:t>
      </w:r>
      <w:r>
        <w:rPr/>
        <w:t xml:space="preserve"> R-package (Azzalini 2020). For the skew-normal distribution, we varied the degree of skew from 0 to 1.5, applied error as before, and randomly selected the standard deviation for each data simulation.</w:t>
      </w:r>
    </w:p>
    <w:p>
      <w:pPr>
        <w:pStyle w:val="Normal"/>
        <w:spacing w:lineRule="auto" w:line="360"/>
        <w:rPr/>
      </w:pPr>
      <w:r>
        <w:rPr/>
      </w:r>
    </w:p>
    <w:p>
      <w:pPr>
        <w:pStyle w:val="Normal"/>
        <w:spacing w:lineRule="auto" w:line="360"/>
        <w:rPr/>
      </w:pPr>
      <w:r>
        <w:rPr/>
        <w:t>The power of a statistical test is the probability of rejecting the null hypothesis when the alternative is true (Lehmann and Romano 2006). In the context of the present analysis, power is the proportion of simulations in which confidence intervals around phenophase estimates encompass the true phenophase value. At an α-criterion of 0.05, we would expect 80% of the true values to fall within the estimated confidence intervals. We found that the GAM phenophase estimation method consistently provided reliable estimates of the true phenophase values, though the power decreased as the proportion of added error increased (Figure S2). Power did not decrease as the standard deviation of the sampling distribution increased. As expected, the width of the confidence intervals increased as the proportion of added error and width of the sampling distribution increased. Additionally, we found that the power of the GAM method was higher when estimating peak timing, and the confidence intervals around the peak estimate were smaller than those for emergence and senescence timing across nearly all parameter combinations. This is to be expected, as values on the extremes of distributions are harder to estimate than those toward the center. When comparing actual and estimated phenophase values across all simulations with the proportion of error added &lt; 0.5, the estimates accounted for 95% of the variation in emergence values, 99% for peak, and 83% for senescence. We detected slight bias in the phenophase estimates, with median error in actual versus estimated values being 3.8 days later for emergence, 2 days earlier for peak, and 1.7 days later earlier for senescence timing.</w:t>
      </w:r>
    </w:p>
    <w:p>
      <w:pPr>
        <w:pStyle w:val="Normal"/>
        <w:spacing w:lineRule="auto" w:line="360"/>
        <w:rPr/>
      </w:pPr>
      <w:r>
        <w:rPr/>
      </w:r>
    </w:p>
    <w:p>
      <w:pPr>
        <w:pStyle w:val="Normal"/>
        <w:spacing w:lineRule="auto" w:line="360"/>
        <w:rPr/>
      </w:pPr>
      <w:r>
        <w:rPr/>
        <w:t>In summary, we found that the GAM method had high power when error rates were small, but gave reasonable estimates even when error was very high. The estimates generated by the method explained the vast majority of the variation in actual values, and the biases were small. We conclude that the GAM method adequately estimates actual phenophase timing within a set of parameters that is representative of the data within this study.</w:t>
      </w:r>
    </w:p>
    <w:p>
      <w:pPr>
        <w:pStyle w:val="Normal"/>
        <w:spacing w:lineRule="auto" w:line="360"/>
        <w:rPr/>
      </w:pPr>
      <w:r>
        <w:rPr/>
      </w:r>
      <w:r>
        <w:br w:type="page"/>
      </w:r>
    </w:p>
    <w:p>
      <w:pPr>
        <w:pStyle w:val="Normal"/>
        <w:spacing w:lineRule="auto" w:line="360"/>
        <w:rPr/>
      </w:pPr>
      <w:r>
        <w:rPr>
          <w:b/>
          <w:bCs/>
        </w:rPr>
        <w:t>Figure S1</w:t>
      </w:r>
      <w:r>
        <w:rPr/>
        <w:t>. An illustration of the proposed phenophase estimation method on a simulated dataset where actual phenophase values are known. In this example, points (red filled circles) were drawn at an interval of 14 days from a distribution (black circles) centered at 170 with a standard deviation of 15, with no error added to the observations. The GAM method was applied to the observed time-series dataset, and phenophase estimates were made. These estimates (red lines) are plotted with confidence intervals (light red bars) and compared against actual phenophase values (black lines).</w:t>
      </w:r>
    </w:p>
    <w:p>
      <w:pPr>
        <w:pStyle w:val="Normal"/>
        <w:spacing w:lineRule="auto" w:line="360"/>
        <w:rPr/>
      </w:pPr>
      <w:r>
        <w:rPr/>
      </w:r>
    </w:p>
    <w:p>
      <w:pPr>
        <w:pStyle w:val="Normal"/>
        <w:spacing w:lineRule="auto" w:line="360"/>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4718050" cy="277177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718050" cy="2771775"/>
                    </a:xfrm>
                    <a:prstGeom prst="rect">
                      <a:avLst/>
                    </a:prstGeom>
                  </pic:spPr>
                </pic:pic>
              </a:graphicData>
            </a:graphic>
          </wp:anchor>
        </w:drawing>
      </w:r>
    </w:p>
    <w:p>
      <w:pPr>
        <w:pStyle w:val="Normal"/>
        <w:spacing w:lineRule="auto" w:line="360"/>
        <w:rPr/>
      </w:pPr>
      <w:r>
        <w:rPr/>
      </w:r>
    </w:p>
    <w:p>
      <w:pPr>
        <w:pStyle w:val="Normal"/>
        <w:spacing w:lineRule="auto" w:line="360"/>
        <w:rPr/>
      </w:pPr>
      <w:r>
        <w:rPr/>
      </w:r>
      <w:r>
        <w:br w:type="page"/>
      </w:r>
    </w:p>
    <w:p>
      <w:pPr>
        <w:pStyle w:val="Normal"/>
        <w:spacing w:lineRule="auto" w:line="360"/>
        <w:rPr/>
      </w:pPr>
      <w:r>
        <w:rPr>
          <w:b/>
          <w:bCs/>
        </w:rPr>
        <w:t>Figure S2</w:t>
      </w:r>
      <w:r>
        <w:rPr/>
        <w:t>. The phenophase estimation method effectively estimates the actual phenophase values regardless of the spread of the distribution, but is less able to make correct estimates as more error is added to observations. The power of the GAM method (left panels) decreases for each phenophase estimate as there is more error added to sampled points, but not as the standard deviation of the sample distribution increases. The width of the confidence intervals (right panels) increases as more error is added and as the standard deviation of the sample distribution increases.</w:t>
      </w:r>
    </w:p>
    <w:p>
      <w:pPr>
        <w:pStyle w:val="Normal"/>
        <w:spacing w:lineRule="auto" w:line="360"/>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332220" cy="652843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332220" cy="6528435"/>
                    </a:xfrm>
                    <a:prstGeom prst="rect">
                      <a:avLst/>
                    </a:prstGeom>
                  </pic:spPr>
                </pic:pic>
              </a:graphicData>
            </a:graphic>
          </wp:anchor>
        </w:drawing>
      </w:r>
      <w:r>
        <w:br w:type="page"/>
      </w:r>
    </w:p>
    <w:p>
      <w:pPr>
        <w:pStyle w:val="Normal"/>
        <w:spacing w:lineRule="auto" w:line="360"/>
        <w:rPr/>
      </w:pPr>
      <w:r>
        <w:drawing>
          <wp:anchor behindDoc="0" distT="0" distB="0" distL="0" distR="0" simplePos="0" locked="0" layoutInCell="1" allowOverlap="1" relativeHeight="6">
            <wp:simplePos x="0" y="0"/>
            <wp:positionH relativeFrom="column">
              <wp:posOffset>106680</wp:posOffset>
            </wp:positionH>
            <wp:positionV relativeFrom="paragraph">
              <wp:posOffset>1494155</wp:posOffset>
            </wp:positionV>
            <wp:extent cx="6332220" cy="6796405"/>
            <wp:effectExtent l="0" t="0" r="0" b="0"/>
            <wp:wrapSquare wrapText="largest"/>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tretch>
                      <a:fillRect/>
                    </a:stretch>
                  </pic:blipFill>
                  <pic:spPr bwMode="auto">
                    <a:xfrm>
                      <a:off x="0" y="0"/>
                      <a:ext cx="6332220" cy="6796405"/>
                    </a:xfrm>
                    <a:prstGeom prst="rect">
                      <a:avLst/>
                    </a:prstGeom>
                  </pic:spPr>
                </pic:pic>
              </a:graphicData>
            </a:graphic>
          </wp:anchor>
        </w:drawing>
      </w:r>
      <w:r>
        <w:rPr>
          <w:b/>
          <w:bCs/>
        </w:rPr>
        <w:t>F</w:t>
      </w:r>
      <w:r>
        <w:rPr>
          <w:b/>
          <w:bCs/>
        </w:rPr>
        <w:t>igure S3.</w:t>
      </w:r>
      <w:r>
        <w:rPr>
          <w:b w:val="false"/>
          <w:bCs w:val="false"/>
        </w:rPr>
        <w:t xml:space="preserve"> The phenophase estimation method is effective at estimating phenophases of skewed distributions, though the power decreases as more error is added to observations. The width of the confidence intervals (right panels) increases as more error is added, and the confidence intervals around the long tail of the distribution (senescence) increase at higher levels of skew.</w:t>
      </w:r>
    </w:p>
    <w:p>
      <w:pPr>
        <w:pStyle w:val="Normal"/>
        <w:spacing w:lineRule="auto" w:line="360"/>
        <w:rPr>
          <w:b w:val="false"/>
          <w:b w:val="false"/>
          <w:bCs w:val="false"/>
        </w:rPr>
      </w:pPr>
      <w:r>
        <w:rPr>
          <w:b w:val="false"/>
          <w:bCs w:val="false"/>
        </w:rPr>
      </w:r>
      <w:r>
        <w:br w:type="page"/>
      </w:r>
    </w:p>
    <w:p>
      <w:pPr>
        <w:pStyle w:val="Normal"/>
        <w:spacing w:lineRule="auto" w:line="360"/>
        <w:rPr/>
      </w:pPr>
      <w:r>
        <w:rPr>
          <w:b/>
          <w:bCs/>
        </w:rPr>
        <w:t>Supplement 3: Additional statistical tests</w:t>
      </w:r>
    </w:p>
    <w:p>
      <w:pPr>
        <w:pStyle w:val="Normal"/>
        <w:spacing w:lineRule="auto" w:line="360"/>
        <w:rPr>
          <w:b/>
          <w:b/>
          <w:bCs/>
        </w:rPr>
      </w:pPr>
      <w:r>
        <w:rPr>
          <w:b/>
          <w:bCs/>
        </w:rPr>
      </w:r>
    </w:p>
    <w:p>
      <w:pPr>
        <w:pStyle w:val="Normal"/>
        <w:spacing w:lineRule="auto" w:line="360"/>
        <w:rPr>
          <w:b w:val="false"/>
          <w:b w:val="false"/>
          <w:bCs w:val="false"/>
          <w:i/>
          <w:i/>
          <w:iCs/>
        </w:rPr>
      </w:pPr>
      <w:r>
        <w:rPr>
          <w:b w:val="false"/>
          <w:bCs w:val="false"/>
          <w:i/>
          <w:iCs/>
        </w:rPr>
        <w:t>Variance inflation factors</w:t>
      </w:r>
    </w:p>
    <w:p>
      <w:pPr>
        <w:pStyle w:val="Normal"/>
        <w:spacing w:lineRule="auto" w:line="360"/>
        <w:rPr>
          <w:b w:val="false"/>
          <w:b w:val="false"/>
          <w:bCs w:val="false"/>
        </w:rPr>
      </w:pPr>
      <w:r>
        <w:rPr>
          <w:b w:val="false"/>
          <w:bCs w:val="false"/>
        </w:rPr>
      </w:r>
    </w:p>
    <w:p>
      <w:pPr>
        <w:pStyle w:val="Normal"/>
        <w:spacing w:lineRule="auto" w:line="360"/>
        <w:rPr>
          <w:b w:val="false"/>
          <w:b w:val="false"/>
          <w:bCs w:val="false"/>
        </w:rPr>
      </w:pPr>
      <w:r>
        <w:rPr>
          <w:b w:val="false"/>
          <w:bCs w:val="false"/>
        </w:rPr>
        <w:t>Multicollinearity in predictor variables can lead to erroneous inference using standard linear modeling and model averaging techniques (Cade 2015). To avoid this issue, we examined correlations between all predictors before running models. This led us to exclude some variables such as snow depth and minimum temperature from our list of predictors. As a second step to ensure that our models did not suffer from multicollinearity, we calculated variance inflation factors (VIFs) for each of our top models using the vif function in the car R-package (Fox et al. 2012). We found that VIFs were all near one, with the highest value being 2.18 for temperature in the peak phenophase model. These VIF values were well below the threshold of VIF=5 in which highly correlated variables lead to problematic inference (James et al. 2013), so we concluded that our models did not suffer from mulitcollinearity.</w:t>
      </w:r>
    </w:p>
    <w:p>
      <w:pPr>
        <w:pStyle w:val="Normal"/>
        <w:spacing w:lineRule="auto" w:line="360"/>
        <w:rPr>
          <w:b w:val="false"/>
          <w:b w:val="false"/>
          <w:bCs w:val="false"/>
        </w:rPr>
      </w:pPr>
      <w:r>
        <w:rPr>
          <w:b w:val="false"/>
          <w:bCs w:val="false"/>
        </w:rPr>
      </w:r>
    </w:p>
    <w:p>
      <w:pPr>
        <w:pStyle w:val="Normal"/>
        <w:spacing w:lineRule="auto" w:line="360"/>
        <w:rPr>
          <w:b w:val="false"/>
          <w:b w:val="false"/>
          <w:bCs w:val="false"/>
          <w:i/>
          <w:i/>
          <w:iCs/>
        </w:rPr>
      </w:pPr>
      <w:r>
        <w:rPr>
          <w:b w:val="false"/>
          <w:bCs w:val="false"/>
          <w:i/>
          <w:iCs/>
        </w:rPr>
        <w:t>Additional interactions</w:t>
      </w:r>
    </w:p>
    <w:p>
      <w:pPr>
        <w:pStyle w:val="Normal"/>
        <w:spacing w:lineRule="auto" w:line="360"/>
        <w:rPr>
          <w:b w:val="false"/>
          <w:b w:val="false"/>
          <w:bCs w:val="false"/>
        </w:rPr>
      </w:pPr>
      <w:r>
        <w:rPr>
          <w:b w:val="false"/>
          <w:bCs w:val="false"/>
        </w:rPr>
      </w:r>
    </w:p>
    <w:p>
      <w:pPr>
        <w:pStyle w:val="Normal"/>
        <w:spacing w:lineRule="auto" w:line="360"/>
        <w:rPr>
          <w:b w:val="false"/>
          <w:b w:val="false"/>
          <w:bCs w:val="false"/>
        </w:rPr>
      </w:pPr>
      <w:r>
        <w:rPr>
          <w:b w:val="false"/>
          <w:bCs w:val="false"/>
        </w:rPr>
        <w:t xml:space="preserve">While we focused on the interactions of snowmelt timing with nest location and overwintering stage, we also tested for interactions between the other climatic variables (average summer maximum temperature and average summer rainfall) and the two functional traits. We found no significant nest location/rainfall or overwintering stage/temperature interactions for any phenophases. We did find a significant interaction between overwintering stage and rainfall but only for the peak phenophase, with species that overwinter as adults slightly advancing their peak with more rain and those that overwinter as prepupae delaying their peak (0.66 </w:t>
      </w:r>
      <w:r>
        <w:rPr>
          <w:rFonts w:eastAsia="AR PL SungtiL GB" w:cs="Lohit Devanagari"/>
          <w:b w:val="false"/>
          <w:bCs w:val="false"/>
        </w:rPr>
        <w:t>±</w:t>
      </w:r>
      <w:r>
        <w:rPr>
          <w:b w:val="false"/>
          <w:bCs w:val="false"/>
        </w:rPr>
        <w:t xml:space="preserve"> 0.25, t</w:t>
      </w:r>
      <w:r>
        <w:rPr>
          <w:b w:val="false"/>
          <w:bCs w:val="false"/>
          <w:vertAlign w:val="subscript"/>
        </w:rPr>
        <w:t>379</w:t>
      </w:r>
      <w:r>
        <w:rPr>
          <w:b w:val="false"/>
          <w:bCs w:val="false"/>
        </w:rPr>
        <w:t xml:space="preserve"> = 2.669, p&lt;0.01). We also found that the emergence and peak timing of species that nest above ground was more sensitive to temperature (emergence: 7.76 </w:t>
      </w:r>
      <w:r>
        <w:rPr>
          <w:rFonts w:eastAsia="AR PL SungtiL GB" w:cs="Lohit Devanagari"/>
          <w:b w:val="false"/>
          <w:bCs w:val="false"/>
        </w:rPr>
        <w:t>±</w:t>
      </w:r>
      <w:r>
        <w:rPr>
          <w:b w:val="false"/>
          <w:bCs w:val="false"/>
        </w:rPr>
        <w:t xml:space="preserve"> 2.88, t</w:t>
      </w:r>
      <w:r>
        <w:rPr>
          <w:b w:val="false"/>
          <w:bCs w:val="false"/>
          <w:vertAlign w:val="subscript"/>
        </w:rPr>
        <w:t>453</w:t>
      </w:r>
      <w:r>
        <w:rPr>
          <w:b w:val="false"/>
          <w:bCs w:val="false"/>
        </w:rPr>
        <w:t xml:space="preserve"> = 2.694, p&lt;0.01; peak: 8.87 </w:t>
      </w:r>
      <w:r>
        <w:rPr>
          <w:rFonts w:eastAsia="AR PL SungtiL GB" w:cs="Lohit Devanagari"/>
          <w:b w:val="false"/>
          <w:bCs w:val="false"/>
        </w:rPr>
        <w:t>±</w:t>
      </w:r>
      <w:r>
        <w:rPr>
          <w:b w:val="false"/>
          <w:bCs w:val="false"/>
        </w:rPr>
        <w:t xml:space="preserve"> 2.83, t</w:t>
      </w:r>
      <w:r>
        <w:rPr>
          <w:b w:val="false"/>
          <w:bCs w:val="false"/>
          <w:vertAlign w:val="subscript"/>
        </w:rPr>
        <w:t>379</w:t>
      </w:r>
      <w:r>
        <w:rPr>
          <w:b w:val="false"/>
          <w:bCs w:val="false"/>
        </w:rPr>
        <w:t xml:space="preserve"> = 3.14, p&lt;0.01), mirroring our earlier findings of a nest location/snowmelt interaction.</w:t>
      </w:r>
    </w:p>
    <w:p>
      <w:pPr>
        <w:pStyle w:val="Normal"/>
        <w:spacing w:lineRule="auto" w:line="360"/>
        <w:rPr>
          <w:b w:val="false"/>
          <w:b w:val="false"/>
          <w:bCs w:val="false"/>
        </w:rPr>
      </w:pPr>
      <w:r>
        <w:rPr>
          <w:b w:val="false"/>
          <w:bCs w:val="false"/>
        </w:rPr>
      </w:r>
    </w:p>
    <w:p>
      <w:pPr>
        <w:pStyle w:val="Normal"/>
        <w:spacing w:lineRule="auto" w:line="360"/>
        <w:rPr>
          <w:b w:val="false"/>
          <w:b w:val="false"/>
          <w:bCs w:val="false"/>
          <w:i/>
          <w:i/>
          <w:iCs/>
        </w:rPr>
      </w:pPr>
      <w:r>
        <w:rPr>
          <w:b w:val="false"/>
          <w:bCs w:val="false"/>
          <w:i/>
          <w:iCs/>
        </w:rPr>
        <w:t>Variance of random effects</w:t>
      </w:r>
    </w:p>
    <w:p>
      <w:pPr>
        <w:pStyle w:val="Normal"/>
        <w:spacing w:lineRule="auto" w:line="360"/>
        <w:rPr>
          <w:b w:val="false"/>
          <w:b w:val="false"/>
          <w:bCs w:val="false"/>
        </w:rPr>
      </w:pPr>
      <w:r>
        <w:rPr>
          <w:b w:val="false"/>
          <w:bCs w:val="false"/>
        </w:rPr>
      </w:r>
    </w:p>
    <w:p>
      <w:pPr>
        <w:pStyle w:val="Normal"/>
        <w:spacing w:lineRule="auto" w:line="360"/>
        <w:rPr>
          <w:b w:val="false"/>
          <w:b w:val="false"/>
          <w:bCs w:val="false"/>
        </w:rPr>
      </w:pPr>
      <w:r>
        <w:rPr>
          <w:b w:val="false"/>
          <w:bCs w:val="false"/>
        </w:rPr>
        <w:t xml:space="preserve">Another approach to look indirectly at the relative influence of climatic variation, topography, and functional traits on bee phenology is to fit a model without fixed effects that simply predicts phenophases on the basis of year, site, and species treated as random effects. This is represented as the model </w:t>
      </w:r>
      <w:r>
        <w:rPr/>
      </w:r>
      <m:oMath xmlns:m="http://schemas.openxmlformats.org/officeDocument/2006/math">
        <m:sSub>
          <m:e>
            <m:r>
              <w:rPr>
                <w:rFonts w:ascii="Cambria Math" w:hAnsi="Cambria Math"/>
              </w:rPr>
              <m:t xml:space="preserve">DOY</m:t>
            </m:r>
          </m:e>
          <m:sub>
            <m:r>
              <w:rPr>
                <w:rFonts w:ascii="Cambria Math" w:hAnsi="Cambria Math"/>
              </w:rPr>
              <m:t xml:space="preserve">phase</m:t>
            </m:r>
          </m:sub>
        </m:sSub>
        <m:r>
          <m:rPr>
            <m:lit/>
            <m:nor/>
          </m:rPr>
          <w:rPr>
            <w:rFonts w:ascii="Cambria Math" w:hAnsi="Cambria Math"/>
          </w:rPr>
          <m:t xml:space="preserve">~</m:t>
        </m:r>
        <m:sSub>
          <m:e>
            <m:r>
              <w:rPr>
                <w:rFonts w:ascii="Cambria Math" w:hAnsi="Cambria Math"/>
              </w:rPr>
              <m:t xml:space="preserve">e</m:t>
            </m:r>
          </m:e>
          <m:sub>
            <m:r>
              <w:rPr>
                <w:rFonts w:ascii="Cambria Math" w:hAnsi="Cambria Math"/>
              </w:rPr>
              <m:t xml:space="preserve">year</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site</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species</m:t>
            </m:r>
          </m:sub>
        </m:sSub>
      </m:oMath>
      <w:r>
        <w:rPr>
          <w:b w:val="false"/>
          <w:bCs w:val="false"/>
        </w:rPr>
        <w:t xml:space="preserve">, where </w:t>
      </w:r>
      <w:r>
        <w:rPr>
          <w:b w:val="false"/>
          <w:bCs w:val="false"/>
          <w:i/>
          <w:iCs/>
        </w:rPr>
        <w:t>e</w:t>
      </w:r>
      <w:r>
        <w:rPr>
          <w:b w:val="false"/>
          <w:bCs w:val="false"/>
        </w:rPr>
        <w:t xml:space="preserve"> represents a random effect, and </w:t>
      </w:r>
      <w:r>
        <w:rPr>
          <w:b w:val="false"/>
          <w:bCs w:val="false"/>
          <w:i/>
          <w:iCs/>
        </w:rPr>
        <w:t>DOY</w:t>
      </w:r>
      <w:r>
        <w:rPr>
          <w:b w:val="false"/>
          <w:bCs w:val="false"/>
          <w:i/>
          <w:iCs/>
          <w:vertAlign w:val="subscript"/>
        </w:rPr>
        <w:t>phase</w:t>
      </w:r>
      <w:r>
        <w:rPr>
          <w:b w:val="false"/>
          <w:bCs w:val="false"/>
        </w:rPr>
        <w:t xml:space="preserve"> represents the estimated day-of-year of a phenophase. This results in three models, one for each of emergence, peak, and senescence. Upon fitting the model, we calculated the proportion of the variance attributed to each random effect by dividing the variance (the square of the standard deviation) by the sum of the variances of the other random effects including the residual variance. The raw variance values are given in Table S1, and the trends are summarized in Figure S4. We found that the variance attributed to years and sites was highest for emergence and decreased with later phenophases, while the variance attributed to species was highest for senescence. This supports our general finding that different bee phenophases are determined by different types of drivers, as well as the specific finding that climate more strongly influences emergence and functional traits more strongly influence senescence.</w:t>
      </w:r>
    </w:p>
    <w:p>
      <w:pPr>
        <w:pStyle w:val="Normal"/>
        <w:spacing w:lineRule="auto" w:line="360"/>
        <w:rPr>
          <w:b w:val="false"/>
          <w:b w:val="false"/>
          <w:bCs w:val="false"/>
        </w:rPr>
      </w:pPr>
      <w:r>
        <w:rPr>
          <w:b w:val="false"/>
          <w:bCs w:val="false"/>
        </w:rPr>
      </w:r>
    </w:p>
    <w:p>
      <w:pPr>
        <w:pStyle w:val="Normal"/>
        <w:spacing w:lineRule="auto" w:line="360"/>
        <w:rPr>
          <w:b/>
          <w:b/>
          <w:bCs/>
        </w:rPr>
      </w:pPr>
      <w:r>
        <w:rPr>
          <w:b/>
          <w:bCs/>
        </w:rPr>
        <w:t>Supplement 1-3 references</w:t>
      </w:r>
    </w:p>
    <w:p>
      <w:pPr>
        <w:pStyle w:val="Normal"/>
        <w:spacing w:lineRule="auto" w:line="360"/>
        <w:rPr>
          <w:b w:val="false"/>
          <w:b w:val="false"/>
          <w:bCs w:val="false"/>
        </w:rPr>
      </w:pPr>
      <w:r>
        <w:rPr>
          <w:b w:val="false"/>
          <w:bCs w:val="false"/>
        </w:rPr>
      </w:r>
    </w:p>
    <w:p>
      <w:pPr>
        <w:pStyle w:val="Normal"/>
        <w:widowControl/>
        <w:overflowPunct w:val="false"/>
        <w:bidi w:val="0"/>
        <w:spacing w:lineRule="auto" w:line="360"/>
        <w:ind w:left="360" w:right="0" w:hanging="360"/>
        <w:jc w:val="left"/>
        <w:rPr/>
      </w:pPr>
      <w:r>
        <w:rPr>
          <w:b w:val="false"/>
          <w:bCs w:val="false"/>
        </w:rPr>
        <w:t>Allen, J. M., Terres, M. A., Katsuki, T., Iwamoto, K., Kobori, H., Higuchi, H., … Silander, J. R. (2014). Modeling daily flowering probabilities: expected impact of climate change on Japanese cherry phenology. Glob. Change Biol., 20, 1251–1263.</w:t>
      </w:r>
    </w:p>
    <w:p>
      <w:pPr>
        <w:pStyle w:val="Normal"/>
        <w:widowControl/>
        <w:overflowPunct w:val="false"/>
        <w:bidi w:val="0"/>
        <w:spacing w:lineRule="auto" w:line="360"/>
        <w:ind w:left="360" w:right="0" w:hanging="360"/>
        <w:jc w:val="left"/>
        <w:rPr/>
      </w:pPr>
      <w:r>
        <w:rPr>
          <w:b w:val="false"/>
          <w:bCs w:val="false"/>
        </w:rPr>
        <w:t>Azzalini, M. A. (2020). sn: The Skew-Normal and Related Distributions Such as the Skew-t. R package version 1.6.1.</w:t>
      </w:r>
    </w:p>
    <w:p>
      <w:pPr>
        <w:pStyle w:val="Normal"/>
        <w:widowControl/>
        <w:overflowPunct w:val="false"/>
        <w:bidi w:val="0"/>
        <w:spacing w:lineRule="auto" w:line="360"/>
        <w:ind w:left="360" w:right="0" w:hanging="360"/>
        <w:jc w:val="left"/>
        <w:rPr>
          <w:b w:val="false"/>
          <w:b w:val="false"/>
          <w:bCs w:val="false"/>
        </w:rPr>
      </w:pPr>
      <w:r>
        <w:rPr>
          <w:b w:val="false"/>
          <w:bCs w:val="false"/>
        </w:rPr>
        <w:t>Cade, B. S. (2015). Model averaging and muddled multimodel inferences. Ecology, 96(9), 2370–2382</w:t>
      </w:r>
    </w:p>
    <w:p>
      <w:pPr>
        <w:pStyle w:val="Normal"/>
        <w:widowControl/>
        <w:overflowPunct w:val="false"/>
        <w:bidi w:val="0"/>
        <w:spacing w:lineRule="auto" w:line="360"/>
        <w:ind w:left="360" w:right="0" w:hanging="360"/>
        <w:jc w:val="left"/>
        <w:rPr/>
      </w:pPr>
      <w:r>
        <w:rPr>
          <w:b w:val="false"/>
          <w:bCs w:val="false"/>
        </w:rPr>
        <w:t>Cane, J. H. (1987). Estimation of bee size using intertegular span (Apoidea). J. Kansas Entom. Soc., 60, 145–147.</w:t>
      </w:r>
    </w:p>
    <w:p>
      <w:pPr>
        <w:pStyle w:val="Normal"/>
        <w:widowControl/>
        <w:overflowPunct w:val="false"/>
        <w:bidi w:val="0"/>
        <w:spacing w:lineRule="auto" w:line="360"/>
        <w:ind w:left="360" w:right="0" w:hanging="360"/>
        <w:jc w:val="left"/>
        <w:rPr/>
      </w:pPr>
      <w:r>
        <w:rPr/>
        <w:t>Corripio, J. G. (2014). insol: Solar radiation. R package version 1.2.</w:t>
      </w:r>
    </w:p>
    <w:p>
      <w:pPr>
        <w:pStyle w:val="Normal"/>
        <w:widowControl/>
        <w:overflowPunct w:val="false"/>
        <w:bidi w:val="0"/>
        <w:spacing w:lineRule="auto" w:line="360"/>
        <w:ind w:left="360" w:right="0" w:hanging="360"/>
        <w:jc w:val="left"/>
        <w:rPr/>
      </w:pPr>
      <w:r>
        <w:rPr>
          <w:b w:val="false"/>
          <w:bCs w:val="false"/>
        </w:rPr>
        <w:t xml:space="preserve">Eickwort, G. C., Eickwort, J. M., Gordon, J., &amp; Eickwort, M. A. (1996). Solitary Behavior in a High-Altitude Population of the Social Sweat Bee </w:t>
      </w:r>
      <w:r>
        <w:rPr>
          <w:b w:val="false"/>
          <w:bCs w:val="false"/>
          <w:i/>
          <w:iCs/>
        </w:rPr>
        <w:t>Halictus rubicundus</w:t>
      </w:r>
      <w:r>
        <w:rPr>
          <w:b w:val="false"/>
          <w:bCs w:val="false"/>
        </w:rPr>
        <w:t xml:space="preserve"> (Hymenoptera: Halictidae). Behav. Ecol. and Sociobio., 38, 227–233.</w:t>
      </w:r>
    </w:p>
    <w:p>
      <w:pPr>
        <w:pStyle w:val="Normal"/>
        <w:widowControl/>
        <w:overflowPunct w:val="false"/>
        <w:bidi w:val="0"/>
        <w:spacing w:lineRule="auto" w:line="360"/>
        <w:ind w:left="360" w:right="0" w:hanging="360"/>
        <w:jc w:val="left"/>
        <w:rPr/>
      </w:pPr>
      <w:r>
        <w:rPr>
          <w:b w:val="false"/>
          <w:bCs w:val="false"/>
        </w:rPr>
        <w:t>Fox, J., Weisberg, S., Adler, D., Bates, D., Baud-Bovy, G., Ellison, S., ... &amp; Heiberger, R. (2012). Package ‘car’. Vienna: R Foundation for Statistical Computing.</w:t>
      </w:r>
    </w:p>
    <w:p>
      <w:pPr>
        <w:pStyle w:val="Normal"/>
        <w:widowControl/>
        <w:overflowPunct w:val="false"/>
        <w:bidi w:val="0"/>
        <w:spacing w:lineRule="auto" w:line="360"/>
        <w:ind w:left="360" w:right="0" w:hanging="360"/>
        <w:jc w:val="left"/>
        <w:rPr/>
      </w:pPr>
      <w:r>
        <w:rPr>
          <w:b w:val="false"/>
          <w:bCs w:val="false"/>
        </w:rPr>
        <w:t>Gezon, Z. J., Wyman, E. S., Ascher, J. S., Inouye, D. W., &amp; Irwin, R. E. (2015). The effect of repeated, lethal sampling on wild bee abundance and diversity. Meth. Ecol. &amp; Evol., 6, 1044–1054.</w:t>
      </w:r>
    </w:p>
    <w:p>
      <w:pPr>
        <w:pStyle w:val="Normal"/>
        <w:widowControl/>
        <w:overflowPunct w:val="false"/>
        <w:bidi w:val="0"/>
        <w:spacing w:lineRule="auto" w:line="360"/>
        <w:ind w:left="360" w:right="0" w:hanging="360"/>
        <w:jc w:val="left"/>
        <w:rPr/>
      </w:pPr>
      <w:r>
        <w:rPr>
          <w:b w:val="false"/>
          <w:bCs w:val="false"/>
        </w:rPr>
        <w:t>Inouye, D. W. (2008). Effects of climate change on phenology, frost damage, and floral abundance of montane wildflowers. Ecology, 89, 353–362.</w:t>
      </w:r>
    </w:p>
    <w:p>
      <w:pPr>
        <w:pStyle w:val="Normal"/>
        <w:widowControl/>
        <w:overflowPunct w:val="false"/>
        <w:bidi w:val="0"/>
        <w:spacing w:lineRule="auto" w:line="360"/>
        <w:ind w:left="360" w:right="0" w:hanging="360"/>
        <w:jc w:val="left"/>
        <w:rPr/>
      </w:pPr>
      <w:r>
        <w:rPr>
          <w:b w:val="false"/>
          <w:bCs w:val="false"/>
        </w:rPr>
        <w:t>Jackson, M. T. (1966). Effects of microclimate on spring flowering phenology. Ecology, 47, 407–415.</w:t>
      </w:r>
    </w:p>
    <w:p>
      <w:pPr>
        <w:pStyle w:val="Normal"/>
        <w:widowControl/>
        <w:overflowPunct w:val="false"/>
        <w:bidi w:val="0"/>
        <w:spacing w:lineRule="auto" w:line="360"/>
        <w:ind w:left="360" w:right="0" w:hanging="360"/>
        <w:jc w:val="left"/>
        <w:rPr>
          <w:b w:val="false"/>
          <w:b w:val="false"/>
          <w:bCs w:val="false"/>
        </w:rPr>
      </w:pPr>
      <w:r>
        <w:rPr>
          <w:b w:val="false"/>
          <w:bCs w:val="false"/>
        </w:rPr>
        <w:t>James, G., Witten, D., Hastie, T., &amp; Tibshirani, R. (2013). An introduction to statistical learning. New York</w:t>
      </w:r>
    </w:p>
    <w:p>
      <w:pPr>
        <w:pStyle w:val="Normal"/>
        <w:widowControl/>
        <w:overflowPunct w:val="false"/>
        <w:bidi w:val="0"/>
        <w:spacing w:lineRule="auto" w:line="360"/>
        <w:ind w:left="360" w:right="0" w:hanging="360"/>
        <w:jc w:val="left"/>
        <w:rPr>
          <w:b w:val="false"/>
          <w:b w:val="false"/>
          <w:bCs w:val="false"/>
        </w:rPr>
      </w:pPr>
      <w:r>
        <w:rPr>
          <w:b w:val="false"/>
          <w:bCs w:val="false"/>
        </w:rPr>
        <w:t>Lehmann, E. L., &amp; Romano, J. P. (2006). Testing statistical hypotheses. Springer Science &amp; Business Media. New York, USA</w:t>
      </w:r>
    </w:p>
    <w:p>
      <w:pPr>
        <w:pStyle w:val="Normal"/>
        <w:widowControl/>
        <w:overflowPunct w:val="false"/>
        <w:bidi w:val="0"/>
        <w:spacing w:lineRule="auto" w:line="360"/>
        <w:ind w:left="360" w:right="0" w:hanging="360"/>
        <w:jc w:val="left"/>
        <w:rPr>
          <w:b w:val="false"/>
          <w:b w:val="false"/>
          <w:bCs w:val="false"/>
        </w:rPr>
      </w:pPr>
      <w:r>
        <w:rPr>
          <w:b w:val="false"/>
          <w:bCs w:val="false"/>
        </w:rPr>
        <w:t>Ogilvie, J. E., Griffin, S. R., Gezon, Z. J., Inouye, B. D., Underwood, N., Inouye, D. W., &amp; Irwin, R. E. (2017). Interannual bumble bee abundance is driven by indirect climate effects on floral resource phenology. Ecol. Lett., 20, 1507–1515.</w:t>
      </w:r>
    </w:p>
    <w:p>
      <w:pPr>
        <w:pStyle w:val="Normal"/>
        <w:widowControl/>
        <w:overflowPunct w:val="false"/>
        <w:bidi w:val="0"/>
        <w:spacing w:lineRule="auto" w:line="360"/>
        <w:ind w:left="360" w:right="0" w:hanging="360"/>
        <w:jc w:val="left"/>
        <w:rPr>
          <w:b w:val="false"/>
          <w:b w:val="false"/>
          <w:bCs w:val="false"/>
        </w:rPr>
      </w:pPr>
      <w:r>
        <w:rPr>
          <w:b w:val="false"/>
          <w:bCs w:val="false"/>
        </w:rPr>
        <w:t>Pardee, G. (2018). Effects of climate change on plants, pollinators, and their interactions (doctoral dissertation). North Carolina State University, Raleigh, North Carolina.</w:t>
      </w:r>
    </w:p>
    <w:p>
      <w:pPr>
        <w:pStyle w:val="Normal"/>
        <w:widowControl/>
        <w:overflowPunct w:val="true"/>
        <w:bidi w:val="0"/>
        <w:spacing w:lineRule="auto" w:line="480"/>
        <w:ind w:left="360" w:right="0" w:hanging="360"/>
        <w:jc w:val="left"/>
        <w:rPr>
          <w:b w:val="false"/>
          <w:b w:val="false"/>
          <w:bCs w:val="false"/>
        </w:rPr>
      </w:pPr>
      <w:r>
        <w:rPr>
          <w:b w:val="false"/>
          <w:bCs w:val="false"/>
        </w:rPr>
        <w:t xml:space="preserve">Pyke, G., Inouye, D. W., &amp; Thomson, J. (2011). Activity and abundance of bumble bees near Crested Butte, Colorado: diel, seasonal, and elevation effects. </w:t>
      </w:r>
      <w:r>
        <w:rPr>
          <w:b w:val="false"/>
          <w:bCs w:val="false"/>
          <w:i/>
          <w:iCs/>
        </w:rPr>
        <w:t>Ecol. Entom.</w:t>
      </w:r>
      <w:r>
        <w:rPr>
          <w:b w:val="false"/>
          <w:bCs w:val="false"/>
        </w:rPr>
        <w:t>, 36, 511–521.</w:t>
      </w:r>
    </w:p>
    <w:p>
      <w:pPr>
        <w:pStyle w:val="Normal"/>
        <w:widowControl/>
        <w:overflowPunct w:val="false"/>
        <w:bidi w:val="0"/>
        <w:spacing w:lineRule="auto" w:line="360"/>
        <w:ind w:left="360" w:right="0" w:hanging="360"/>
        <w:jc w:val="left"/>
        <w:rPr>
          <w:b w:val="false"/>
          <w:b w:val="false"/>
          <w:bCs w:val="false"/>
        </w:rPr>
      </w:pPr>
      <w:r>
        <w:rPr>
          <w:b w:val="false"/>
          <w:bCs w:val="false"/>
        </w:rPr>
        <w:t>Stone, G. N., &amp; Willmer, P. G. (1989). Warm-up rates and body temperatures in bees: The importance of body size, thermal regime and phylogeny. J. Exper. Biol., 147, 303–328.</w:t>
      </w:r>
    </w:p>
    <w:p>
      <w:pPr>
        <w:pStyle w:val="Normal"/>
        <w:widowControl/>
        <w:overflowPunct w:val="false"/>
        <w:bidi w:val="0"/>
        <w:spacing w:lineRule="auto" w:line="360"/>
        <w:ind w:left="360" w:right="0" w:hanging="360"/>
        <w:jc w:val="left"/>
        <w:rPr>
          <w:b w:val="false"/>
          <w:b w:val="false"/>
          <w:bCs w:val="false"/>
        </w:rPr>
      </w:pPr>
      <w:r>
        <w:rPr>
          <w:b w:val="false"/>
          <w:bCs w:val="false"/>
        </w:rPr>
        <w:t>Weiss, S. B., Murphy, D. D., Ehrlich, P. R., &amp; Metzler, C. F. (1993). Adult emergence phenology in checkerspot butterflies: The effects of macroclimate, topoclimate, and population history. Oecologia, 96, 261–270.</w:t>
      </w:r>
      <w:r>
        <w:br w:type="page"/>
      </w:r>
    </w:p>
    <w:p>
      <w:pPr>
        <w:pStyle w:val="Normal"/>
        <w:spacing w:lineRule="auto" w:line="360"/>
        <w:rPr>
          <w:b w:val="false"/>
          <w:b w:val="false"/>
          <w:bCs w:val="false"/>
        </w:rPr>
      </w:pPr>
      <w:r>
        <w:rPr>
          <w:b/>
          <w:bCs/>
        </w:rPr>
        <w:t>Table S1</w:t>
      </w:r>
      <w:r>
        <w:rPr>
          <w:b w:val="false"/>
          <w:bCs w:val="false"/>
        </w:rPr>
        <w:t>. The variance attributed to each random effect and residual variance.</w:t>
      </w:r>
    </w:p>
    <w:p>
      <w:pPr>
        <w:pStyle w:val="Normal"/>
        <w:rPr>
          <w:rFonts w:ascii="Liberation Serif" w:hAnsi="Liberation Serif"/>
        </w:rPr>
      </w:pPr>
      <w:r>
        <w:rPr/>
      </w:r>
    </w:p>
    <w:tbl>
      <w:tblPr>
        <w:tblW w:w="9894" w:type="dxa"/>
        <w:jc w:val="left"/>
        <w:tblInd w:w="23" w:type="dxa"/>
        <w:tblBorders>
          <w:bottom w:val="single" w:sz="4" w:space="0" w:color="000000"/>
          <w:insideH w:val="single" w:sz="4" w:space="0" w:color="000000"/>
        </w:tblBorders>
        <w:tblCellMar>
          <w:top w:w="0" w:type="dxa"/>
          <w:left w:w="113" w:type="dxa"/>
          <w:bottom w:w="0" w:type="dxa"/>
          <w:right w:w="108" w:type="dxa"/>
        </w:tblCellMar>
        <w:tblLook w:noVBand="1" w:val="04a0" w:noHBand="0" w:lastColumn="0" w:firstColumn="1" w:lastRow="0" w:firstRow="1"/>
      </w:tblPr>
      <w:tblGrid>
        <w:gridCol w:w="2035"/>
        <w:gridCol w:w="1831"/>
        <w:gridCol w:w="1583"/>
        <w:gridCol w:w="2522"/>
        <w:gridCol w:w="1923"/>
      </w:tblGrid>
      <w:tr>
        <w:trPr>
          <w:trHeight w:val="242" w:hRule="atLeast"/>
        </w:trPr>
        <w:tc>
          <w:tcPr>
            <w:tcW w:w="2035" w:type="dxa"/>
            <w:tcBorders>
              <w:bottom w:val="single" w:sz="4" w:space="0" w:color="000000"/>
              <w:insideH w:val="single" w:sz="4" w:space="0" w:color="000000"/>
            </w:tcBorders>
            <w:shd w:fill="auto" w:val="clear"/>
          </w:tcPr>
          <w:p>
            <w:pPr>
              <w:pStyle w:val="Normal"/>
              <w:spacing w:lineRule="auto" w:line="240"/>
              <w:rPr>
                <w:rFonts w:ascii="Liberation Serif" w:hAnsi="Liberation Serif"/>
                <w:b/>
                <w:b/>
                <w:sz w:val="22"/>
                <w:szCs w:val="22"/>
              </w:rPr>
            </w:pPr>
            <w:r>
              <w:rPr>
                <w:b/>
                <w:sz w:val="22"/>
                <w:szCs w:val="22"/>
              </w:rPr>
            </w:r>
          </w:p>
          <w:p>
            <w:pPr>
              <w:pStyle w:val="Normal"/>
              <w:spacing w:lineRule="auto" w:line="240"/>
              <w:rPr/>
            </w:pPr>
            <w:r>
              <w:rPr>
                <w:b/>
                <w:sz w:val="22"/>
                <w:szCs w:val="22"/>
              </w:rPr>
              <w:t>Phenophase</w:t>
            </w:r>
          </w:p>
        </w:tc>
        <w:tc>
          <w:tcPr>
            <w:tcW w:w="1831" w:type="dxa"/>
            <w:tcBorders>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pPr>
            <w:r>
              <w:rPr>
                <w:b/>
                <w:sz w:val="22"/>
                <w:szCs w:val="22"/>
              </w:rPr>
              <w:t>Year variance</w:t>
            </w:r>
          </w:p>
        </w:tc>
        <w:tc>
          <w:tcPr>
            <w:tcW w:w="1583" w:type="dxa"/>
            <w:tcBorders>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pPr>
            <w:r>
              <w:rPr>
                <w:b/>
                <w:sz w:val="22"/>
                <w:szCs w:val="22"/>
              </w:rPr>
              <w:t>Site variance</w:t>
            </w:r>
          </w:p>
        </w:tc>
        <w:tc>
          <w:tcPr>
            <w:tcW w:w="2522" w:type="dxa"/>
            <w:tcBorders>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i w:val="false"/>
                <w:i w:val="false"/>
                <w:iCs w:val="false"/>
              </w:rPr>
            </w:pPr>
            <w:r>
              <w:rPr>
                <w:b/>
                <w:i w:val="false"/>
                <w:iCs w:val="false"/>
                <w:sz w:val="22"/>
                <w:szCs w:val="22"/>
              </w:rPr>
              <w:t>Species variance</w:t>
            </w:r>
          </w:p>
        </w:tc>
        <w:tc>
          <w:tcPr>
            <w:tcW w:w="1923" w:type="dxa"/>
            <w:tcBorders>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ascii="Liberation Serif" w:hAnsi="Liberation Serif"/>
                <w:b/>
                <w:b/>
                <w:sz w:val="22"/>
                <w:szCs w:val="22"/>
              </w:rPr>
            </w:pPr>
            <w:r>
              <w:rPr>
                <w:b/>
                <w:sz w:val="22"/>
                <w:szCs w:val="22"/>
              </w:rPr>
              <w:t>Residual variance</w:t>
            </w:r>
          </w:p>
        </w:tc>
      </w:tr>
      <w:tr>
        <w:trPr/>
        <w:tc>
          <w:tcPr>
            <w:tcW w:w="2035" w:type="dxa"/>
            <w:tcBorders>
              <w:top w:val="single" w:sz="4" w:space="0" w:color="000000"/>
              <w:bottom w:val="single" w:sz="4" w:space="0" w:color="000000"/>
              <w:insideH w:val="single" w:sz="4" w:space="0" w:color="000000"/>
            </w:tcBorders>
            <w:shd w:fill="auto" w:val="clear"/>
          </w:tcPr>
          <w:p>
            <w:pPr>
              <w:pStyle w:val="Normal"/>
              <w:spacing w:lineRule="auto" w:line="240"/>
              <w:rPr>
                <w:i w:val="false"/>
                <w:i w:val="false"/>
                <w:iCs w:val="false"/>
              </w:rPr>
            </w:pPr>
            <w:r>
              <w:rPr>
                <w:i w:val="false"/>
                <w:iCs w:val="false"/>
                <w:sz w:val="22"/>
                <w:szCs w:val="22"/>
              </w:rPr>
              <w:t>Emergence</w:t>
            </w:r>
          </w:p>
          <w:p>
            <w:pPr>
              <w:pStyle w:val="Normal"/>
              <w:spacing w:lineRule="auto" w:line="240"/>
              <w:rPr>
                <w:rFonts w:ascii="Liberation Serif" w:hAnsi="Liberation Serif"/>
                <w:i w:val="false"/>
                <w:i w:val="false"/>
                <w:iCs w:val="false"/>
                <w:sz w:val="22"/>
                <w:szCs w:val="22"/>
              </w:rPr>
            </w:pPr>
            <w:r>
              <w:rPr>
                <w:i w:val="false"/>
                <w:iCs w:val="false"/>
                <w:sz w:val="22"/>
                <w:szCs w:val="22"/>
              </w:rPr>
            </w:r>
          </w:p>
        </w:tc>
        <w:tc>
          <w:tcPr>
            <w:tcW w:w="1831"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pPr>
            <w:r>
              <w:rPr>
                <w:sz w:val="22"/>
                <w:szCs w:val="22"/>
              </w:rPr>
              <w:t>221.14</w:t>
            </w:r>
          </w:p>
        </w:tc>
        <w:tc>
          <w:tcPr>
            <w:tcW w:w="1583"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pPr>
            <w:r>
              <w:rPr>
                <w:sz w:val="22"/>
                <w:szCs w:val="22"/>
              </w:rPr>
              <w:t>193.01</w:t>
            </w:r>
          </w:p>
        </w:tc>
        <w:tc>
          <w:tcPr>
            <w:tcW w:w="2522" w:type="dxa"/>
            <w:tcBorders>
              <w:top w:val="single" w:sz="4" w:space="0" w:color="000000"/>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pPr>
            <w:r>
              <w:rPr>
                <w:sz w:val="22"/>
                <w:szCs w:val="22"/>
              </w:rPr>
              <w:t>74.95</w:t>
            </w:r>
          </w:p>
        </w:tc>
        <w:tc>
          <w:tcPr>
            <w:tcW w:w="1923" w:type="dxa"/>
            <w:tcBorders>
              <w:top w:val="single" w:sz="4" w:space="0" w:color="000000"/>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sz w:val="22"/>
                <w:szCs w:val="22"/>
              </w:rPr>
            </w:pPr>
            <w:r>
              <w:rPr>
                <w:sz w:val="22"/>
                <w:szCs w:val="22"/>
              </w:rPr>
              <w:t>39.03</w:t>
            </w:r>
          </w:p>
        </w:tc>
      </w:tr>
      <w:tr>
        <w:trPr/>
        <w:tc>
          <w:tcPr>
            <w:tcW w:w="2035" w:type="dxa"/>
            <w:tcBorders>
              <w:top w:val="single" w:sz="4" w:space="0" w:color="000000"/>
              <w:bottom w:val="single" w:sz="4" w:space="0" w:color="000000"/>
              <w:insideH w:val="single" w:sz="4" w:space="0" w:color="000000"/>
            </w:tcBorders>
            <w:shd w:fill="auto" w:val="clear"/>
          </w:tcPr>
          <w:p>
            <w:pPr>
              <w:pStyle w:val="Normal"/>
              <w:spacing w:lineRule="auto" w:line="240"/>
              <w:rPr>
                <w:i w:val="false"/>
                <w:i w:val="false"/>
                <w:iCs w:val="false"/>
              </w:rPr>
            </w:pPr>
            <w:r>
              <w:rPr>
                <w:i w:val="false"/>
                <w:iCs w:val="false"/>
                <w:sz w:val="22"/>
                <w:szCs w:val="22"/>
              </w:rPr>
              <w:t xml:space="preserve">Peak </w:t>
            </w:r>
          </w:p>
          <w:p>
            <w:pPr>
              <w:pStyle w:val="Normal"/>
              <w:spacing w:lineRule="auto" w:line="240"/>
              <w:rPr>
                <w:rFonts w:ascii="Liberation Serif" w:hAnsi="Liberation Serif"/>
                <w:i w:val="false"/>
                <w:i w:val="false"/>
                <w:iCs w:val="false"/>
                <w:sz w:val="22"/>
                <w:szCs w:val="22"/>
              </w:rPr>
            </w:pPr>
            <w:r>
              <w:rPr>
                <w:i w:val="false"/>
                <w:iCs w:val="false"/>
                <w:sz w:val="22"/>
                <w:szCs w:val="22"/>
              </w:rPr>
            </w:r>
          </w:p>
        </w:tc>
        <w:tc>
          <w:tcPr>
            <w:tcW w:w="1831"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pPr>
            <w:r>
              <w:rPr>
                <w:sz w:val="22"/>
                <w:szCs w:val="22"/>
              </w:rPr>
              <w:t>64.09</w:t>
            </w:r>
          </w:p>
        </w:tc>
        <w:tc>
          <w:tcPr>
            <w:tcW w:w="1583"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pPr>
            <w:r>
              <w:rPr>
                <w:sz w:val="22"/>
                <w:szCs w:val="22"/>
              </w:rPr>
              <w:t>36.61</w:t>
            </w:r>
          </w:p>
        </w:tc>
        <w:tc>
          <w:tcPr>
            <w:tcW w:w="2522" w:type="dxa"/>
            <w:tcBorders>
              <w:top w:val="single" w:sz="4" w:space="0" w:color="000000"/>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pPr>
            <w:r>
              <w:rPr>
                <w:sz w:val="22"/>
                <w:szCs w:val="22"/>
              </w:rPr>
              <w:t>98.45</w:t>
            </w:r>
          </w:p>
        </w:tc>
        <w:tc>
          <w:tcPr>
            <w:tcW w:w="1923" w:type="dxa"/>
            <w:tcBorders>
              <w:top w:val="single" w:sz="4" w:space="0" w:color="000000"/>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sz w:val="22"/>
                <w:szCs w:val="22"/>
              </w:rPr>
            </w:pPr>
            <w:r>
              <w:rPr>
                <w:sz w:val="22"/>
                <w:szCs w:val="22"/>
              </w:rPr>
              <w:t>20.61</w:t>
            </w:r>
          </w:p>
        </w:tc>
      </w:tr>
      <w:tr>
        <w:trPr/>
        <w:tc>
          <w:tcPr>
            <w:tcW w:w="2035" w:type="dxa"/>
            <w:tcBorders>
              <w:top w:val="single" w:sz="4" w:space="0" w:color="000000"/>
              <w:bottom w:val="single" w:sz="4" w:space="0" w:color="000000"/>
              <w:insideH w:val="single" w:sz="4" w:space="0" w:color="000000"/>
            </w:tcBorders>
            <w:shd w:fill="auto" w:val="clear"/>
          </w:tcPr>
          <w:p>
            <w:pPr>
              <w:pStyle w:val="Normal"/>
              <w:spacing w:lineRule="auto" w:line="240"/>
              <w:rPr>
                <w:i w:val="false"/>
                <w:i w:val="false"/>
                <w:iCs w:val="false"/>
              </w:rPr>
            </w:pPr>
            <w:r>
              <w:rPr>
                <w:i w:val="false"/>
                <w:iCs w:val="false"/>
                <w:sz w:val="22"/>
                <w:szCs w:val="22"/>
              </w:rPr>
              <w:t xml:space="preserve">Senescence </w:t>
            </w:r>
          </w:p>
          <w:p>
            <w:pPr>
              <w:pStyle w:val="Normal"/>
              <w:spacing w:lineRule="auto" w:line="240"/>
              <w:rPr>
                <w:rFonts w:ascii="Liberation Serif" w:hAnsi="Liberation Serif"/>
                <w:i w:val="false"/>
                <w:i w:val="false"/>
                <w:iCs w:val="false"/>
                <w:sz w:val="22"/>
                <w:szCs w:val="22"/>
              </w:rPr>
            </w:pPr>
            <w:r>
              <w:rPr>
                <w:i w:val="false"/>
                <w:iCs w:val="false"/>
                <w:sz w:val="22"/>
                <w:szCs w:val="22"/>
              </w:rPr>
            </w:r>
          </w:p>
        </w:tc>
        <w:tc>
          <w:tcPr>
            <w:tcW w:w="1831"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pPr>
            <w:r>
              <w:rPr>
                <w:sz w:val="22"/>
                <w:szCs w:val="22"/>
              </w:rPr>
              <w:t>21.77</w:t>
            </w:r>
          </w:p>
        </w:tc>
        <w:tc>
          <w:tcPr>
            <w:tcW w:w="1583"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pPr>
            <w:r>
              <w:rPr>
                <w:sz w:val="22"/>
                <w:szCs w:val="22"/>
              </w:rPr>
              <w:t>46.24</w:t>
            </w:r>
          </w:p>
        </w:tc>
        <w:tc>
          <w:tcPr>
            <w:tcW w:w="2522" w:type="dxa"/>
            <w:tcBorders>
              <w:top w:val="single" w:sz="4" w:space="0" w:color="000000"/>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pPr>
            <w:r>
              <w:rPr>
                <w:sz w:val="22"/>
                <w:szCs w:val="22"/>
              </w:rPr>
              <w:t>170.66</w:t>
            </w:r>
          </w:p>
        </w:tc>
        <w:tc>
          <w:tcPr>
            <w:tcW w:w="1923" w:type="dxa"/>
            <w:tcBorders>
              <w:top w:val="single" w:sz="4" w:space="0" w:color="000000"/>
              <w:left w:val="single" w:sz="4" w:space="0" w:color="000000"/>
              <w:bottom w:val="single" w:sz="4" w:space="0" w:color="000000"/>
              <w:insideH w:val="single" w:sz="4" w:space="0" w:color="000000"/>
            </w:tcBorders>
            <w:shd w:fill="auto" w:val="clear"/>
            <w:tcMar>
              <w:top w:w="55" w:type="dxa"/>
              <w:bottom w:w="55" w:type="dxa"/>
            </w:tcMar>
          </w:tcPr>
          <w:p>
            <w:pPr>
              <w:pStyle w:val="Normal"/>
              <w:spacing w:lineRule="auto" w:line="240"/>
              <w:jc w:val="center"/>
              <w:rPr>
                <w:sz w:val="22"/>
                <w:szCs w:val="22"/>
              </w:rPr>
            </w:pPr>
            <w:r>
              <w:rPr>
                <w:sz w:val="22"/>
                <w:szCs w:val="22"/>
              </w:rPr>
              <w:t>42.46</w:t>
            </w:r>
          </w:p>
        </w:tc>
      </w:tr>
    </w:tbl>
    <w:p>
      <w:pPr>
        <w:pStyle w:val="Normal"/>
        <w:spacing w:lineRule="auto" w:line="360"/>
        <w:ind w:hanging="0"/>
        <w:rPr>
          <w:sz w:val="16"/>
          <w:szCs w:val="16"/>
        </w:rPr>
      </w:pPr>
      <w:r>
        <w:rPr>
          <w:sz w:val="16"/>
          <w:szCs w:val="16"/>
        </w:rPr>
      </w:r>
      <w:r>
        <w:br w:type="page"/>
      </w:r>
    </w:p>
    <w:p>
      <w:pPr>
        <w:pStyle w:val="Normal"/>
        <w:spacing w:lineRule="auto" w:line="360"/>
        <w:ind w:hanging="0"/>
        <w:rPr>
          <w:b w:val="false"/>
          <w:b w:val="false"/>
          <w:bCs w:val="false"/>
          <w:sz w:val="24"/>
          <w:szCs w:val="24"/>
        </w:rPr>
      </w:pPr>
      <w:r>
        <w:rPr>
          <w:b/>
          <w:bCs/>
          <w:sz w:val="24"/>
          <w:szCs w:val="24"/>
        </w:rPr>
        <w:t>Figure S4</w:t>
      </w:r>
      <w:r>
        <w:rPr>
          <w:b w:val="false"/>
          <w:bCs w:val="false"/>
          <w:sz w:val="24"/>
          <w:szCs w:val="24"/>
        </w:rPr>
        <w:t>. The proportion of variance attributed to years and sites decreases across phenophases, while  it increases across phenophases for species. The proportional residual variance increases slightly across phenophases.</w:t>
      </w:r>
    </w:p>
    <w:p>
      <w:pPr>
        <w:pStyle w:val="Normal"/>
        <w:spacing w:lineRule="auto" w:line="360"/>
        <w:ind w:hanging="0"/>
        <w:rPr>
          <w:b w:val="false"/>
          <w:b w:val="false"/>
          <w:bCs w:val="false"/>
          <w:sz w:val="24"/>
          <w:szCs w:val="24"/>
        </w:rPr>
      </w:pPr>
      <w:r>
        <w:rPr>
          <w:b w:val="false"/>
          <w:bCs w:val="false"/>
          <w:sz w:val="24"/>
          <w:szCs w:val="24"/>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3832225" cy="3832225"/>
            <wp:effectExtent l="0" t="0" r="0" b="0"/>
            <wp:wrapSquare wrapText="largest"/>
            <wp:docPr id="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descr=""/>
                    <pic:cNvPicPr>
                      <a:picLocks noChangeAspect="1" noChangeArrowheads="1"/>
                    </pic:cNvPicPr>
                  </pic:nvPicPr>
                  <pic:blipFill>
                    <a:blip r:embed="rId5"/>
                    <a:stretch>
                      <a:fillRect/>
                    </a:stretch>
                  </pic:blipFill>
                  <pic:spPr bwMode="auto">
                    <a:xfrm>
                      <a:off x="0" y="0"/>
                      <a:ext cx="3832225" cy="3832225"/>
                    </a:xfrm>
                    <a:prstGeom prst="rect">
                      <a:avLst/>
                    </a:prstGeom>
                  </pic:spPr>
                </pic:pic>
              </a:graphicData>
            </a:graphic>
          </wp:anchor>
        </w:drawing>
      </w:r>
      <w:r>
        <w:br w:type="page"/>
      </w:r>
    </w:p>
    <w:p>
      <w:pPr>
        <w:pStyle w:val="Normal"/>
        <w:spacing w:lineRule="auto" w:line="360"/>
        <w:rPr/>
      </w:pPr>
      <w:r>
        <w:rPr>
          <w:b/>
          <w:bCs/>
        </w:rPr>
        <w:t>Figure S5</w:t>
      </w:r>
      <w:r>
        <w:rPr/>
        <w:t>. Model averaging did not bias our calculations of relative effect sizes. The coefficients derived from model averaging are highly correlated with those from the top model for each phenophase. The red lines represent one-to-one relationships, and all points fall very close to these lines.</w:t>
      </w:r>
    </w:p>
    <w:p>
      <w:pPr>
        <w:pStyle w:val="Normal"/>
        <w:spacing w:lineRule="auto" w:line="360"/>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332220" cy="288988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2889885"/>
                    </a:xfrm>
                    <a:prstGeom prst="rect">
                      <a:avLst/>
                    </a:prstGeom>
                  </pic:spPr>
                </pic:pic>
              </a:graphicData>
            </a:graphic>
          </wp:anchor>
        </w:drawing>
      </w:r>
      <w:r>
        <w:br w:type="page"/>
      </w:r>
    </w:p>
    <w:p>
      <w:pPr>
        <w:pStyle w:val="Normal"/>
        <w:spacing w:lineRule="auto" w:line="360"/>
        <w:rPr/>
      </w:pPr>
      <w:r>
        <w:rPr>
          <w:b/>
          <w:bCs/>
        </w:rPr>
        <w:t>Figure S6</w:t>
      </w:r>
      <w:r>
        <w:rPr/>
        <w:t>. Emergence significantly predicted later phenophases, with more variation explained in peak timing than in senescence timing.</w:t>
      </w:r>
    </w:p>
    <w:p>
      <w:pPr>
        <w:pStyle w:val="Normal"/>
        <w:spacing w:lineRule="auto" w:line="360"/>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3258820" cy="431609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258820" cy="4316095"/>
                    </a:xfrm>
                    <a:prstGeom prst="rect">
                      <a:avLst/>
                    </a:prstGeom>
                  </pic:spPr>
                </pic:pic>
              </a:graphicData>
            </a:graphic>
          </wp:anchor>
        </w:drawing>
      </w:r>
      <w:r>
        <w:br w:type="page"/>
      </w:r>
    </w:p>
    <w:p>
      <w:pPr>
        <w:pStyle w:val="Normal"/>
        <w:spacing w:lineRule="auto" w:line="360"/>
        <w:rPr/>
      </w:pPr>
      <w:r>
        <w:rPr>
          <w:b/>
          <w:bCs/>
        </w:rPr>
        <w:t>Table S2</w:t>
      </w:r>
      <w:r>
        <w:rPr/>
        <w:t>. Information on the sites used in the analysis.</w:t>
      </w:r>
    </w:p>
    <w:p>
      <w:pPr>
        <w:pStyle w:val="Normal"/>
        <w:spacing w:lineRule="auto" w:line="360"/>
        <w:rPr/>
      </w:pPr>
      <w:r>
        <w:rPr/>
      </w:r>
    </w:p>
    <w:tbl>
      <w:tblPr>
        <w:tblW w:w="8463" w:type="dxa"/>
        <w:jc w:val="left"/>
        <w:tblInd w:w="-30" w:type="dxa"/>
        <w:tblBorders>
          <w:bottom w:val="single" w:sz="4" w:space="0" w:color="000000"/>
          <w:insideH w:val="single" w:sz="4" w:space="0" w:color="000000"/>
        </w:tblBorders>
        <w:tblCellMar>
          <w:top w:w="55" w:type="dxa"/>
          <w:left w:w="55" w:type="dxa"/>
          <w:bottom w:w="55" w:type="dxa"/>
          <w:right w:w="55" w:type="dxa"/>
        </w:tblCellMar>
      </w:tblPr>
      <w:tblGrid>
        <w:gridCol w:w="1888"/>
        <w:gridCol w:w="1446"/>
        <w:gridCol w:w="1339"/>
        <w:gridCol w:w="1355"/>
        <w:gridCol w:w="1262"/>
        <w:gridCol w:w="1172"/>
      </w:tblGrid>
      <w:tr>
        <w:trPr>
          <w:trHeight w:val="256" w:hRule="atLeast"/>
        </w:trPr>
        <w:tc>
          <w:tcPr>
            <w:tcW w:w="1888" w:type="dxa"/>
            <w:tcBorders>
              <w:bottom w:val="single" w:sz="4" w:space="0" w:color="000000"/>
              <w:insideH w:val="single" w:sz="4" w:space="0" w:color="000000"/>
            </w:tcBorders>
            <w:shd w:fill="auto" w:val="clear"/>
            <w:vAlign w:val="bottom"/>
          </w:tcPr>
          <w:p>
            <w:pPr>
              <w:pStyle w:val="Normal"/>
              <w:tabs>
                <w:tab w:val="clear" w:pos="720"/>
              </w:tabs>
              <w:jc w:val="left"/>
              <w:rPr>
                <w:b/>
                <w:b/>
                <w:bCs/>
                <w:sz w:val="22"/>
                <w:szCs w:val="22"/>
              </w:rPr>
            </w:pPr>
            <w:r>
              <w:rPr>
                <w:b/>
                <w:bCs/>
                <w:sz w:val="22"/>
                <w:szCs w:val="22"/>
              </w:rPr>
            </w:r>
          </w:p>
          <w:p>
            <w:pPr>
              <w:pStyle w:val="Normal"/>
              <w:tabs>
                <w:tab w:val="clear" w:pos="720"/>
              </w:tabs>
              <w:jc w:val="left"/>
              <w:rPr>
                <w:b/>
                <w:b/>
                <w:bCs/>
                <w:sz w:val="22"/>
                <w:szCs w:val="22"/>
              </w:rPr>
            </w:pPr>
            <w:r>
              <w:rPr>
                <w:b/>
                <w:bCs/>
                <w:sz w:val="22"/>
                <w:szCs w:val="22"/>
              </w:rPr>
              <w:t>Site name</w:t>
            </w:r>
          </w:p>
        </w:tc>
        <w:tc>
          <w:tcPr>
            <w:tcW w:w="1446" w:type="dxa"/>
            <w:tcBorders>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left"/>
              <w:rPr>
                <w:b/>
                <w:b/>
                <w:bCs/>
                <w:sz w:val="22"/>
                <w:szCs w:val="22"/>
              </w:rPr>
            </w:pPr>
            <w:r>
              <w:rPr>
                <w:b/>
                <w:bCs/>
                <w:sz w:val="22"/>
                <w:szCs w:val="22"/>
              </w:rPr>
              <w:t>Elevation (m)</w:t>
            </w:r>
          </w:p>
        </w:tc>
        <w:tc>
          <w:tcPr>
            <w:tcW w:w="1339" w:type="dxa"/>
            <w:tcBorders>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left"/>
              <w:rPr>
                <w:b/>
                <w:b/>
                <w:bCs/>
                <w:sz w:val="22"/>
                <w:szCs w:val="22"/>
              </w:rPr>
            </w:pPr>
            <w:r>
              <w:rPr>
                <w:b/>
                <w:bCs/>
                <w:sz w:val="22"/>
                <w:szCs w:val="22"/>
              </w:rPr>
              <w:t>Latitude</w:t>
            </w:r>
          </w:p>
        </w:tc>
        <w:tc>
          <w:tcPr>
            <w:tcW w:w="1355" w:type="dxa"/>
            <w:tcBorders>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left"/>
              <w:rPr>
                <w:b/>
                <w:b/>
                <w:bCs/>
                <w:sz w:val="22"/>
                <w:szCs w:val="22"/>
              </w:rPr>
            </w:pPr>
            <w:r>
              <w:rPr>
                <w:b/>
                <w:bCs/>
                <w:sz w:val="22"/>
                <w:szCs w:val="22"/>
              </w:rPr>
              <w:t>Longitude</w:t>
            </w:r>
          </w:p>
        </w:tc>
        <w:tc>
          <w:tcPr>
            <w:tcW w:w="1262" w:type="dxa"/>
            <w:tcBorders>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left"/>
              <w:rPr>
                <w:b/>
                <w:b/>
                <w:bCs/>
                <w:sz w:val="22"/>
                <w:szCs w:val="22"/>
              </w:rPr>
            </w:pPr>
            <w:r>
              <w:rPr>
                <w:b/>
                <w:bCs/>
                <w:sz w:val="22"/>
                <w:szCs w:val="22"/>
              </w:rPr>
              <w:t>Aspect</w:t>
            </w:r>
          </w:p>
        </w:tc>
        <w:tc>
          <w:tcPr>
            <w:tcW w:w="1172" w:type="dxa"/>
            <w:tcBorders>
              <w:bottom w:val="single" w:sz="4" w:space="0" w:color="000000"/>
              <w:insideH w:val="single" w:sz="4" w:space="0" w:color="000000"/>
            </w:tcBorders>
            <w:shd w:fill="auto" w:val="clear"/>
            <w:vAlign w:val="bottom"/>
          </w:tcPr>
          <w:p>
            <w:pPr>
              <w:pStyle w:val="Normal"/>
              <w:tabs>
                <w:tab w:val="clear" w:pos="720"/>
              </w:tabs>
              <w:jc w:val="left"/>
              <w:rPr>
                <w:b/>
                <w:b/>
                <w:bCs/>
                <w:sz w:val="22"/>
                <w:szCs w:val="22"/>
              </w:rPr>
            </w:pPr>
            <w:r>
              <w:rPr>
                <w:b/>
                <w:bCs/>
                <w:sz w:val="22"/>
                <w:szCs w:val="22"/>
              </w:rPr>
              <w:t>Slope</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Almont Curve</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2456</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38.66125</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-106.85152</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168.69</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10.825</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Almont</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2569</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38.65622</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-106.86203</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111.801</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15.07</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CDOT</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2588</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38.78257</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-106.87002</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243.435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6.37937</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Lypps</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2639</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38.74812</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-106.83269</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263.66</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6.45795</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Tuttle</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2877</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38.954751</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-106.988704</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243.435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3.1996</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Willey</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2884</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38.955971</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-106.988482</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261.87</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5.05115</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Kettle Ponds</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2884</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38.94435</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-106.97174</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18.4349</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2.26364</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Beaver</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2921</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38.961597</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-106.993975</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45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5.05115</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Seans</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2931</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38.964099</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-106.992616</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225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8.04947</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Rustlers</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2977</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38.9885</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-107.00512</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231.34</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9.09464</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Davids</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2979</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38.962124</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-106.986896</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206.565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12.6044</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Gothic</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3001</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38.963088</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-106.994866</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71.565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11.18</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Little</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3061</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38.96732</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-106.96885</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135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8.04947</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Hill</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3069</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38.96677</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-106.97009</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123.69</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19.827</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Copper</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3072</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38.96896</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-106.96801</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102.529</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12.9794</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Snodgrass</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3224</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38.92625</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-106.98172</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118.74</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23.8426</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Elko</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3230</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39.01245</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-107.05279</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45</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1.01275</w:t>
            </w:r>
          </w:p>
        </w:tc>
      </w:tr>
      <w:tr>
        <w:trPr>
          <w:trHeight w:val="256" w:hRule="atLeast"/>
        </w:trPr>
        <w:tc>
          <w:tcPr>
            <w:tcW w:w="1888"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left"/>
              <w:rPr>
                <w:sz w:val="22"/>
                <w:szCs w:val="22"/>
              </w:rPr>
            </w:pPr>
            <w:r>
              <w:rPr>
                <w:sz w:val="22"/>
                <w:szCs w:val="22"/>
              </w:rPr>
              <w:t>Mexican Cut</w:t>
            </w:r>
          </w:p>
        </w:tc>
        <w:tc>
          <w:tcPr>
            <w:tcW w:w="1446"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3438</w:t>
            </w:r>
          </w:p>
        </w:tc>
        <w:tc>
          <w:tcPr>
            <w:tcW w:w="1339"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39.02685</w:t>
            </w:r>
          </w:p>
        </w:tc>
        <w:tc>
          <w:tcPr>
            <w:tcW w:w="1355" w:type="dxa"/>
            <w:tcBorders>
              <w:top w:val="single" w:sz="4" w:space="0" w:color="000000"/>
              <w:left w:val="single" w:sz="2" w:space="0" w:color="000000"/>
              <w:bottom w:val="single" w:sz="4" w:space="0" w:color="000000"/>
              <w:insideH w:val="single" w:sz="4"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-107.06513</w:t>
            </w:r>
          </w:p>
        </w:tc>
        <w:tc>
          <w:tcPr>
            <w:tcW w:w="1262"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Mar>
              <w:top w:w="29" w:type="dxa"/>
              <w:left w:w="1" w:type="dxa"/>
              <w:bottom w:w="29" w:type="dxa"/>
              <w:right w:w="29" w:type="dxa"/>
            </w:tcMar>
            <w:vAlign w:val="bottom"/>
          </w:tcPr>
          <w:p>
            <w:pPr>
              <w:pStyle w:val="Normal"/>
              <w:tabs>
                <w:tab w:val="clear" w:pos="720"/>
              </w:tabs>
              <w:jc w:val="right"/>
              <w:rPr>
                <w:sz w:val="22"/>
                <w:szCs w:val="22"/>
              </w:rPr>
            </w:pPr>
            <w:r>
              <w:rPr>
                <w:sz w:val="22"/>
                <w:szCs w:val="22"/>
              </w:rPr>
              <w:t>51.3402</w:t>
            </w:r>
          </w:p>
        </w:tc>
        <w:tc>
          <w:tcPr>
            <w:tcW w:w="1172" w:type="dxa"/>
            <w:tcBorders>
              <w:top w:val="single" w:sz="4" w:space="0" w:color="000000"/>
              <w:bottom w:val="single" w:sz="4" w:space="0" w:color="000000"/>
              <w:insideH w:val="single" w:sz="4" w:space="0" w:color="000000"/>
            </w:tcBorders>
            <w:shd w:fill="auto" w:val="clear"/>
            <w:tcMar>
              <w:top w:w="0" w:type="dxa"/>
              <w:left w:w="30" w:type="dxa"/>
              <w:bottom w:w="0" w:type="dxa"/>
              <w:right w:w="30" w:type="dxa"/>
            </w:tcMar>
            <w:vAlign w:val="bottom"/>
          </w:tcPr>
          <w:p>
            <w:pPr>
              <w:pStyle w:val="Normal"/>
              <w:tabs>
                <w:tab w:val="clear" w:pos="720"/>
              </w:tabs>
              <w:jc w:val="right"/>
              <w:rPr>
                <w:sz w:val="22"/>
                <w:szCs w:val="22"/>
              </w:rPr>
            </w:pPr>
            <w:r>
              <w:rPr>
                <w:sz w:val="22"/>
                <w:szCs w:val="22"/>
              </w:rPr>
              <w:t>17.7528</w:t>
            </w:r>
          </w:p>
        </w:tc>
      </w:tr>
    </w:tbl>
    <w:p>
      <w:pPr>
        <w:pStyle w:val="Normal"/>
        <w:rPr/>
      </w:pPr>
      <w:r>
        <w:rPr/>
      </w:r>
    </w:p>
    <w:p>
      <w:pPr>
        <w:pStyle w:val="Normal"/>
        <w:spacing w:lineRule="auto" w:line="360"/>
        <w:rPr/>
      </w:pPr>
      <w:r>
        <w:rPr/>
      </w:r>
      <w:r>
        <w:br w:type="page"/>
      </w:r>
    </w:p>
    <w:p>
      <w:pPr>
        <w:pStyle w:val="Normal"/>
        <w:spacing w:lineRule="auto" w:line="360"/>
        <w:rPr/>
      </w:pPr>
      <w:r>
        <w:rPr>
          <w:b/>
          <w:bCs/>
        </w:rPr>
        <w:t>Table S3</w:t>
      </w:r>
      <w:r>
        <w:rPr/>
        <w:t>. A list of the species, number of individuals, associated traits, number of individuals used in the analysis (#), and the number of phenophase estimates that we were able to make from the time-series data. Abbreviations are as follows: ITD is intertegular distance, Em. is emergence, and Sen. is senescence. Because there have not been species-levels trait studies on every species in the analysis, some nest location and overwintering stage traits have been inferred from other species in the same genera (marked with an * in the references column). We also compared these trait values with those reported in papers summarizing traits by genus (Mitchell 1960, Mitchell 1962, Stephen et al. 1969, Michener 2007, Harmon-Threatt 2020).</w:t>
      </w:r>
    </w:p>
    <w:p>
      <w:pPr>
        <w:pStyle w:val="Normal"/>
        <w:spacing w:lineRule="auto" w:line="360"/>
        <w:rPr/>
      </w:pPr>
      <w:r>
        <w:rPr/>
      </w:r>
    </w:p>
    <w:tbl>
      <w:tblPr>
        <w:tblW w:w="10260" w:type="dxa"/>
        <w:jc w:val="left"/>
        <w:tblInd w:w="-30" w:type="dxa"/>
        <w:tblBorders>
          <w:bottom w:val="single" w:sz="2" w:space="0" w:color="000000"/>
          <w:insideH w:val="single" w:sz="2" w:space="0" w:color="000000"/>
        </w:tblBorders>
        <w:tblCellMar>
          <w:top w:w="0" w:type="dxa"/>
          <w:left w:w="29" w:type="dxa"/>
          <w:bottom w:w="0" w:type="dxa"/>
          <w:right w:w="29" w:type="dxa"/>
        </w:tblCellMar>
        <w:tblLook w:noVBand="1" w:val="04a0" w:noHBand="0" w:lastColumn="0" w:firstColumn="1" w:lastRow="0" w:firstRow="1"/>
      </w:tblPr>
      <w:tblGrid>
        <w:gridCol w:w="1187"/>
        <w:gridCol w:w="2238"/>
        <w:gridCol w:w="533"/>
        <w:gridCol w:w="624"/>
        <w:gridCol w:w="913"/>
        <w:gridCol w:w="531"/>
        <w:gridCol w:w="639"/>
        <w:gridCol w:w="624"/>
        <w:gridCol w:w="624"/>
        <w:gridCol w:w="2346"/>
      </w:tblGrid>
      <w:tr>
        <w:trPr>
          <w:trHeight w:val="256" w:hRule="atLeast"/>
        </w:trPr>
        <w:tc>
          <w:tcPr>
            <w:tcW w:w="1187" w:type="dxa"/>
            <w:tcBorders>
              <w:bottom w:val="single" w:sz="2" w:space="0" w:color="000000"/>
              <w:insideH w:val="single" w:sz="2" w:space="0" w:color="000000"/>
            </w:tcBorders>
            <w:shd w:fill="auto" w:val="clear"/>
            <w:vAlign w:val="bottom"/>
          </w:tcPr>
          <w:p>
            <w:pPr>
              <w:pStyle w:val="Normal"/>
              <w:rPr/>
            </w:pPr>
            <w:r>
              <w:rPr>
                <w:b/>
                <w:bCs/>
                <w:sz w:val="20"/>
                <w:szCs w:val="20"/>
              </w:rPr>
              <w:t>Family</w:t>
            </w:r>
          </w:p>
        </w:tc>
        <w:tc>
          <w:tcPr>
            <w:tcW w:w="2238" w:type="dxa"/>
            <w:tcBorders>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b/>
                <w:bCs/>
                <w:sz w:val="20"/>
                <w:szCs w:val="20"/>
              </w:rPr>
              <w:t>Species</w:t>
            </w:r>
          </w:p>
        </w:tc>
        <w:tc>
          <w:tcPr>
            <w:tcW w:w="533" w:type="dxa"/>
            <w:tcBorders>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b/>
                <w:bCs/>
                <w:sz w:val="20"/>
                <w:szCs w:val="20"/>
              </w:rPr>
              <w:t>ITD (mm)</w:t>
            </w:r>
          </w:p>
        </w:tc>
        <w:tc>
          <w:tcPr>
            <w:tcW w:w="624" w:type="dxa"/>
            <w:tcBorders>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b/>
                <w:bCs/>
                <w:sz w:val="20"/>
                <w:szCs w:val="20"/>
              </w:rPr>
              <w:t>Nest loc.</w:t>
            </w:r>
          </w:p>
        </w:tc>
        <w:tc>
          <w:tcPr>
            <w:tcW w:w="913" w:type="dxa"/>
            <w:tcBorders>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b/>
                <w:bCs/>
                <w:sz w:val="20"/>
                <w:szCs w:val="20"/>
              </w:rPr>
              <w:t>Overw. stage</w:t>
            </w:r>
          </w:p>
        </w:tc>
        <w:tc>
          <w:tcPr>
            <w:tcW w:w="531" w:type="dxa"/>
            <w:tcBorders>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b/>
                <w:bCs/>
                <w:sz w:val="20"/>
                <w:szCs w:val="20"/>
              </w:rPr>
              <w:t>#</w:t>
            </w:r>
          </w:p>
        </w:tc>
        <w:tc>
          <w:tcPr>
            <w:tcW w:w="639" w:type="dxa"/>
            <w:tcBorders>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b/>
                <w:bCs/>
                <w:sz w:val="20"/>
                <w:szCs w:val="20"/>
              </w:rPr>
              <w:t>Em. points</w:t>
            </w:r>
          </w:p>
        </w:tc>
        <w:tc>
          <w:tcPr>
            <w:tcW w:w="624"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rPr/>
            </w:pPr>
            <w:r>
              <w:rPr>
                <w:b/>
                <w:bCs/>
                <w:sz w:val="20"/>
                <w:szCs w:val="20"/>
              </w:rPr>
              <w:t>Peak points</w:t>
            </w:r>
          </w:p>
        </w:tc>
        <w:tc>
          <w:tcPr>
            <w:tcW w:w="624" w:type="dxa"/>
            <w:tcBorders>
              <w:bottom w:val="single" w:sz="2" w:space="0" w:color="000000"/>
              <w:insideH w:val="single" w:sz="2" w:space="0" w:color="000000"/>
            </w:tcBorders>
            <w:shd w:fill="auto" w:val="clear"/>
            <w:vAlign w:val="bottom"/>
          </w:tcPr>
          <w:p>
            <w:pPr>
              <w:pStyle w:val="Normal"/>
              <w:rPr/>
            </w:pPr>
            <w:r>
              <w:rPr>
                <w:b/>
                <w:bCs/>
                <w:sz w:val="20"/>
                <w:szCs w:val="20"/>
              </w:rPr>
              <w:t>Sen. points</w:t>
            </w:r>
          </w:p>
        </w:tc>
        <w:tc>
          <w:tcPr>
            <w:tcW w:w="2346" w:type="dxa"/>
            <w:tcBorders>
              <w:bottom w:val="single" w:sz="2" w:space="0" w:color="000000"/>
              <w:insideH w:val="single" w:sz="2" w:space="0" w:color="000000"/>
            </w:tcBorders>
            <w:shd w:fill="auto" w:val="clear"/>
            <w:vAlign w:val="bottom"/>
          </w:tcPr>
          <w:p>
            <w:pPr>
              <w:pStyle w:val="Normal"/>
              <w:rPr/>
            </w:pPr>
            <w:r>
              <w:rPr>
                <w:b/>
                <w:bCs/>
                <w:sz w:val="20"/>
                <w:szCs w:val="20"/>
              </w:rPr>
              <w:t>Reference</w:t>
            </w:r>
          </w:p>
        </w:tc>
      </w:tr>
      <w:tr>
        <w:trPr>
          <w:trHeight w:val="256" w:hRule="atLeast"/>
        </w:trPr>
        <w:tc>
          <w:tcPr>
            <w:tcW w:w="1187" w:type="dxa"/>
            <w:vMerge w:val="restart"/>
            <w:tcBorders>
              <w:top w:val="single" w:sz="2" w:space="0" w:color="000000"/>
              <w:bottom w:val="single" w:sz="2" w:space="0" w:color="000000"/>
              <w:insideH w:val="single" w:sz="2" w:space="0" w:color="000000"/>
            </w:tcBorders>
            <w:shd w:fill="auto" w:val="clear"/>
          </w:tcPr>
          <w:p>
            <w:pPr>
              <w:pStyle w:val="Normal"/>
              <w:rPr/>
            </w:pPr>
            <w:r>
              <w:rPr>
                <w:sz w:val="20"/>
                <w:szCs w:val="20"/>
              </w:rPr>
              <w:t>Andrenidae</w:t>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Andrena algida</w:t>
            </w:r>
          </w:p>
          <w:p>
            <w:pPr>
              <w:pStyle w:val="Normal"/>
              <w:rPr/>
            </w:pPr>
            <w:r>
              <w:rPr>
                <w:rFonts w:eastAsia="Times New Roman" w:cs="Arial"/>
                <w:sz w:val="20"/>
                <w:szCs w:val="20"/>
                <w:lang w:val="en-CA" w:eastAsia="en-CA" w:bidi="ar-SA"/>
              </w:rPr>
              <w:t>Smith 1853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1.91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44</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6</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(LaBerge 1986)</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Andrena lawrencei </w:t>
            </w:r>
          </w:p>
          <w:p>
            <w:pPr>
              <w:pStyle w:val="Normal"/>
              <w:rPr/>
            </w:pPr>
            <w:r>
              <w:rPr>
                <w:rFonts w:eastAsia="Times New Roman" w:cs="Arial"/>
                <w:sz w:val="20"/>
                <w:szCs w:val="20"/>
                <w:lang w:val="en-CA" w:eastAsia="en-CA" w:bidi="ar-SA"/>
              </w:rPr>
              <w:t>Viereck &amp; Cockerell 1914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2.36</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20</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(LaBerge and Ribble 1975)</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Andrena nothocalaidis </w:t>
            </w:r>
          </w:p>
          <w:p>
            <w:pPr>
              <w:pStyle w:val="Normal"/>
              <w:rPr/>
            </w:pPr>
            <w:r>
              <w:rPr>
                <w:rFonts w:eastAsia="Times New Roman" w:cs="Arial"/>
                <w:sz w:val="20"/>
                <w:szCs w:val="20"/>
                <w:lang w:val="en-CA" w:eastAsia="en-CA" w:bidi="ar-SA"/>
              </w:rPr>
              <w:t>Cockerell 1905</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2.15</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(Thorp 1969; Cane &amp; Love 2016; Gezon et al. 2015)</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Andrena transnigra </w:t>
            </w:r>
          </w:p>
          <w:p>
            <w:pPr>
              <w:pStyle w:val="Normal"/>
              <w:rPr/>
            </w:pPr>
            <w:r>
              <w:rPr>
                <w:rFonts w:eastAsia="Times New Roman" w:cs="Arial"/>
                <w:sz w:val="20"/>
                <w:szCs w:val="20"/>
                <w:lang w:val="en-CA" w:eastAsia="en-CA" w:bidi="ar-SA"/>
              </w:rPr>
              <w:t>Viereck 1904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3.17</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19</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5</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(Bouseman and LaBerge 1978)</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Calliopsis coloradensis </w:t>
            </w:r>
          </w:p>
          <w:p>
            <w:pPr>
              <w:pStyle w:val="Normal"/>
              <w:rPr/>
            </w:pPr>
            <w:r>
              <w:rPr>
                <w:rFonts w:eastAsia="Times New Roman" w:cs="Arial"/>
                <w:sz w:val="20"/>
                <w:szCs w:val="20"/>
                <w:lang w:val="en-CA" w:eastAsia="en-CA" w:bidi="ar-SA"/>
              </w:rPr>
              <w:t>Cresson 1878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1.65</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(Mitchell 1960; Shinn 1967 Jackson 1966; Miliczky 1991; Sheffield et al. 2014)</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Calliopsis teucrii </w:t>
            </w:r>
          </w:p>
          <w:p>
            <w:pPr>
              <w:pStyle w:val="Normal"/>
              <w:rPr/>
            </w:pPr>
            <w:r>
              <w:rPr>
                <w:rFonts w:eastAsia="Times New Roman" w:cs="Arial"/>
                <w:sz w:val="20"/>
                <w:szCs w:val="20"/>
                <w:lang w:val="en-CA" w:eastAsia="en-CA" w:bidi="ar-SA"/>
              </w:rPr>
              <w:t>Cockerell 1899</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1.41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319</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4</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(Shinn 1967; Hefetz et al. 1982)</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Panurginus cressoniellus</w:t>
            </w:r>
          </w:p>
          <w:p>
            <w:pPr>
              <w:pStyle w:val="Normal"/>
              <w:rPr/>
            </w:pPr>
            <w:r>
              <w:rPr>
                <w:rFonts w:eastAsia="Times New Roman" w:cs="Arial"/>
                <w:sz w:val="20"/>
                <w:szCs w:val="20"/>
                <w:lang w:val="en-CA" w:eastAsia="en-CA" w:bidi="ar-SA"/>
              </w:rPr>
              <w:t>Cockerell 1898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2269</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29</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48</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29</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tabs>
                <w:tab w:val="clear" w:pos="720"/>
              </w:tabs>
              <w:jc w:val="left"/>
              <w:rPr/>
            </w:pPr>
            <w:r>
              <w:rPr>
                <w:sz w:val="20"/>
                <w:szCs w:val="20"/>
                <w:lang w:val="fr-FR"/>
              </w:rPr>
              <w:t>(Stephen et al. 1969)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Panurginus ineptus </w:t>
            </w:r>
          </w:p>
          <w:p>
            <w:pPr>
              <w:pStyle w:val="Normal"/>
              <w:rPr/>
            </w:pPr>
            <w:r>
              <w:rPr>
                <w:rFonts w:eastAsia="Times New Roman" w:cs="Arial"/>
                <w:sz w:val="20"/>
                <w:szCs w:val="20"/>
                <w:lang w:val="en-CA" w:eastAsia="en-CA" w:bidi="ar-SA"/>
              </w:rPr>
              <w:t>Cockerell 1922</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1.35</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946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36</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38</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37</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tabs>
                <w:tab w:val="clear" w:pos="720"/>
              </w:tabs>
              <w:jc w:val="left"/>
              <w:rPr/>
            </w:pPr>
            <w:r>
              <w:rPr>
                <w:sz w:val="20"/>
                <w:szCs w:val="20"/>
                <w:lang w:val="fr-FR"/>
              </w:rPr>
              <w:t>(Gezon et al. 2015; Stephen et al. 1969)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Pseudopanurgus bakeri </w:t>
            </w:r>
          </w:p>
          <w:p>
            <w:pPr>
              <w:pStyle w:val="Normal"/>
              <w:rPr/>
            </w:pPr>
            <w:r>
              <w:rPr>
                <w:rFonts w:eastAsia="Times New Roman" w:cs="Arial"/>
                <w:sz w:val="20"/>
                <w:szCs w:val="20"/>
                <w:lang w:val="en-CA" w:eastAsia="en-CA" w:bidi="ar-SA"/>
              </w:rPr>
              <w:t>(Cockerell 1906)</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1.12</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569</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29</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tabs>
                <w:tab w:val="clear" w:pos="720"/>
              </w:tabs>
              <w:jc w:val="left"/>
              <w:rPr/>
            </w:pPr>
            <w:r>
              <w:rPr>
                <w:sz w:val="20"/>
                <w:szCs w:val="20"/>
                <w:lang w:val="fr-FR"/>
              </w:rPr>
              <w:t>(Gezon et al. 2015; Stephen et al. 1969)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Pseudopanurgus didirupa </w:t>
            </w:r>
            <w:r>
              <w:rPr>
                <w:rFonts w:eastAsia="Times New Roman" w:cs="Arial"/>
                <w:sz w:val="20"/>
                <w:szCs w:val="20"/>
                <w:lang w:val="en-CA" w:eastAsia="en-CA" w:bidi="ar-SA"/>
              </w:rPr>
              <w:t>(Cockerell 1908)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19</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tabs>
                <w:tab w:val="clear" w:pos="720"/>
              </w:tabs>
              <w:jc w:val="left"/>
              <w:rPr/>
            </w:pPr>
            <w:r>
              <w:rPr>
                <w:sz w:val="20"/>
                <w:szCs w:val="20"/>
                <w:lang w:val="fr-FR"/>
              </w:rPr>
              <w:t>(Gezon et al. 2015; Stephen et al. 1969) *</w:t>
            </w:r>
          </w:p>
        </w:tc>
      </w:tr>
      <w:tr>
        <w:trPr>
          <w:trHeight w:val="256" w:hRule="atLeast"/>
        </w:trPr>
        <w:tc>
          <w:tcPr>
            <w:tcW w:w="1187" w:type="dxa"/>
            <w:vMerge w:val="restart"/>
            <w:tcBorders>
              <w:top w:val="single" w:sz="2" w:space="0" w:color="000000"/>
              <w:bottom w:val="single" w:sz="2" w:space="0" w:color="000000"/>
              <w:insideH w:val="single" w:sz="2" w:space="0" w:color="000000"/>
            </w:tcBorders>
            <w:shd w:fill="auto" w:val="clear"/>
            <w:tcMar>
              <w:top w:w="29" w:type="dxa"/>
              <w:bottom w:w="29" w:type="dxa"/>
            </w:tcMar>
          </w:tcPr>
          <w:p>
            <w:pPr>
              <w:pStyle w:val="Normal"/>
              <w:rPr/>
            </w:pPr>
            <w:r>
              <w:rPr>
                <w:sz w:val="20"/>
                <w:szCs w:val="20"/>
              </w:rPr>
              <w:t>Apidae</w:t>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Anthophora terminalis </w:t>
            </w:r>
          </w:p>
          <w:p>
            <w:pPr>
              <w:pStyle w:val="Normal"/>
              <w:rPr/>
            </w:pPr>
            <w:r>
              <w:rPr>
                <w:rFonts w:eastAsia="Times New Roman" w:cs="Arial"/>
                <w:sz w:val="20"/>
                <w:szCs w:val="20"/>
                <w:lang w:val="en-CA" w:eastAsia="en-CA" w:bidi="ar-SA"/>
              </w:rPr>
              <w:t>Cresson 1869</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3.17</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(Medler 1964)</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top w:w="29" w:type="dxa"/>
              <w:bottom w:w="29" w:type="dxa"/>
            </w:tcM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Ceratina neomexicana </w:t>
            </w:r>
          </w:p>
          <w:p>
            <w:pPr>
              <w:pStyle w:val="Normal"/>
              <w:rPr/>
            </w:pPr>
            <w:r>
              <w:rPr>
                <w:rFonts w:eastAsia="Times New Roman" w:cs="Arial"/>
                <w:sz w:val="20"/>
                <w:szCs w:val="20"/>
                <w:lang w:val="en-CA" w:eastAsia="en-CA" w:bidi="ar-SA"/>
              </w:rPr>
              <w:t>Cockerell 1901</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1.37</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67</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2346"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(Michener 1936)</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top w:w="29" w:type="dxa"/>
              <w:bottom w:w="29" w:type="dxa"/>
            </w:tcM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Melissodes confusus </w:t>
            </w:r>
          </w:p>
          <w:p>
            <w:pPr>
              <w:pStyle w:val="Normal"/>
              <w:rPr/>
            </w:pPr>
            <w:r>
              <w:rPr>
                <w:rFonts w:eastAsia="Times New Roman" w:cs="Arial"/>
                <w:sz w:val="20"/>
                <w:szCs w:val="20"/>
                <w:lang w:val="en-CA" w:eastAsia="en-CA" w:bidi="ar-SA"/>
              </w:rPr>
              <w:t>Cresson 1878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3.01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lang w:val="fr-FR"/>
              </w:rPr>
              <w:t>(LaBerge 1961; Clement 1973; Hurd et al. 1980)</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top w:w="29" w:type="dxa"/>
              <w:bottom w:w="29" w:type="dxa"/>
            </w:tcM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Melissodes grindeliae </w:t>
            </w:r>
          </w:p>
          <w:p>
            <w:pPr>
              <w:pStyle w:val="Normal"/>
              <w:rPr/>
            </w:pPr>
            <w:r>
              <w:rPr>
                <w:rFonts w:eastAsia="Times New Roman" w:cs="Arial"/>
                <w:sz w:val="20"/>
                <w:szCs w:val="20"/>
                <w:lang w:val="en-CA" w:eastAsia="en-CA" w:bidi="ar-SA"/>
              </w:rPr>
              <w:t>Cockerell 1898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2.72</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lang w:val="fr-FR"/>
              </w:rPr>
              <w:t>(LaBerge 1961; Clement 1973; Hurd et al. 1980)</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top w:w="29" w:type="dxa"/>
              <w:bottom w:w="29" w:type="dxa"/>
            </w:tcM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Melissodes hymenoxidis </w:t>
            </w:r>
          </w:p>
          <w:p>
            <w:pPr>
              <w:pStyle w:val="Normal"/>
              <w:rPr/>
            </w:pPr>
            <w:r>
              <w:rPr>
                <w:rFonts w:eastAsia="Times New Roman" w:cs="Arial"/>
                <w:sz w:val="20"/>
                <w:szCs w:val="20"/>
                <w:lang w:val="en-CA" w:eastAsia="en-CA" w:bidi="ar-SA"/>
              </w:rPr>
              <w:t>Cockerell 1906</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3.11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lang w:val="fr-FR"/>
              </w:rPr>
              <w:t>(LaBerge 1961; Clement 1973; Hurd et al. 1980)</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top w:w="29" w:type="dxa"/>
              <w:bottom w:w="29" w:type="dxa"/>
            </w:tcM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Melissodes tristis </w:t>
            </w:r>
          </w:p>
          <w:p>
            <w:pPr>
              <w:pStyle w:val="Normal"/>
              <w:rPr/>
            </w:pPr>
            <w:r>
              <w:rPr>
                <w:rFonts w:eastAsia="Times New Roman" w:cs="Arial"/>
                <w:sz w:val="20"/>
                <w:szCs w:val="20"/>
                <w:lang w:val="en-CA" w:eastAsia="en-CA" w:bidi="ar-SA"/>
              </w:rPr>
              <w:t>Cockerell 1894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3.07</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lang w:val="fr-FR"/>
              </w:rPr>
              <w:t>(LaBerge 1961; Clement 1973; Hurd et al. 1980)</w:t>
            </w:r>
          </w:p>
        </w:tc>
      </w:tr>
      <w:tr>
        <w:trPr>
          <w:trHeight w:val="256" w:hRule="atLeast"/>
        </w:trPr>
        <w:tc>
          <w:tcPr>
            <w:tcW w:w="1187" w:type="dxa"/>
            <w:vMerge w:val="restart"/>
            <w:tcBorders>
              <w:top w:val="single" w:sz="2" w:space="0" w:color="000000"/>
              <w:bottom w:val="single" w:sz="2" w:space="0" w:color="000000"/>
              <w:insideH w:val="single" w:sz="2" w:space="0" w:color="000000"/>
            </w:tcBorders>
            <w:shd w:fill="auto" w:val="clear"/>
          </w:tcPr>
          <w:p>
            <w:pPr>
              <w:pStyle w:val="Normal"/>
              <w:rPr/>
            </w:pPr>
            <w:r>
              <w:rPr>
                <w:sz w:val="20"/>
                <w:szCs w:val="20"/>
              </w:rPr>
              <w:t>Colletidae</w:t>
            </w:r>
          </w:p>
        </w:tc>
        <w:tc>
          <w:tcPr>
            <w:tcW w:w="2238"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rFonts w:eastAsia="Times New Roman" w:cs="Arial"/>
                <w:i/>
                <w:iCs/>
                <w:sz w:val="20"/>
                <w:szCs w:val="20"/>
                <w:lang w:val="en-CA" w:eastAsia="en-CA" w:bidi="ar-SA"/>
              </w:rPr>
              <w:t xml:space="preserve">Colletes consors </w:t>
            </w:r>
          </w:p>
          <w:p>
            <w:pPr>
              <w:pStyle w:val="Normal"/>
              <w:rPr/>
            </w:pPr>
            <w:r>
              <w:rPr>
                <w:rFonts w:eastAsia="Times New Roman" w:cs="Arial"/>
                <w:sz w:val="20"/>
                <w:szCs w:val="20"/>
                <w:lang w:val="en-CA" w:eastAsia="en-CA" w:bidi="ar-SA"/>
              </w:rPr>
              <w:t>Cresson 1868</w:t>
            </w:r>
          </w:p>
        </w:tc>
        <w:tc>
          <w:tcPr>
            <w:tcW w:w="533"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2.19</w:t>
            </w:r>
          </w:p>
        </w:tc>
        <w:tc>
          <w:tcPr>
            <w:tcW w:w="624"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2</w:t>
            </w:r>
          </w:p>
        </w:tc>
        <w:tc>
          <w:tcPr>
            <w:tcW w:w="639"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2" w:type="dxa"/>
              <w:right w:w="0"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0" w:type="dxa"/>
              <w:right w:w="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0" w:type="dxa"/>
              <w:right w:w="0" w:type="dxa"/>
            </w:tcMar>
            <w:vAlign w:val="bottom"/>
          </w:tcPr>
          <w:p>
            <w:pPr>
              <w:pStyle w:val="Normal"/>
              <w:rPr/>
            </w:pPr>
            <w:r>
              <w:rPr>
                <w:sz w:val="20"/>
                <w:szCs w:val="20"/>
                <w:lang w:val="fr-FR"/>
              </w:rPr>
              <w:t>(Gezon et al. 2015; Sheffield et al. 2014)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Colletes nigrifrons </w:t>
            </w:r>
          </w:p>
          <w:p>
            <w:pPr>
              <w:pStyle w:val="Normal"/>
              <w:rPr/>
            </w:pPr>
            <w:r>
              <w:rPr>
                <w:rFonts w:eastAsia="Times New Roman" w:cs="Arial"/>
                <w:sz w:val="20"/>
                <w:szCs w:val="20"/>
                <w:lang w:val="en-CA" w:eastAsia="en-CA" w:bidi="ar-SA"/>
              </w:rPr>
              <w:t>Titus 1900</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2.04</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38</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5</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(Gezon et al. 2015; Sheffield et al. 2014)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Hylaeus annulatus </w:t>
            </w:r>
          </w:p>
          <w:p>
            <w:pPr>
              <w:pStyle w:val="Normal"/>
              <w:rPr/>
            </w:pPr>
            <w:r>
              <w:rPr>
                <w:rFonts w:eastAsia="Times New Roman" w:cs="Arial"/>
                <w:sz w:val="20"/>
                <w:szCs w:val="20"/>
                <w:lang w:val="en-CA" w:eastAsia="en-CA" w:bidi="ar-SA"/>
              </w:rPr>
              <w:t>(L. 1758)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1.28</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353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34</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14</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6</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(Gezon et al. 2015; Stephen et al. 1969)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Hylaeus basalis </w:t>
            </w:r>
          </w:p>
          <w:p>
            <w:pPr>
              <w:pStyle w:val="Normal"/>
              <w:rPr/>
            </w:pPr>
            <w:r>
              <w:rPr>
                <w:rFonts w:eastAsia="Times New Roman" w:cs="Arial"/>
                <w:sz w:val="20"/>
                <w:szCs w:val="20"/>
                <w:lang w:val="en-CA" w:eastAsia="en-CA" w:bidi="ar-SA"/>
              </w:rPr>
              <w:t>(Smith 1853)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1.85</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57</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4</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(Scott 1996)</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Hylaeus modestus </w:t>
            </w:r>
          </w:p>
          <w:p>
            <w:pPr>
              <w:pStyle w:val="Normal"/>
              <w:rPr/>
            </w:pPr>
            <w:r>
              <w:rPr>
                <w:rFonts w:eastAsia="Times New Roman" w:cs="Arial"/>
                <w:sz w:val="20"/>
                <w:szCs w:val="20"/>
                <w:lang w:val="en-CA" w:eastAsia="en-CA" w:bidi="ar-SA"/>
              </w:rPr>
              <w:t>Say 1837</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1.38</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(Packer et al. 2007; Stephen et al. 1969)</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Hylaeus rudbeckiae </w:t>
            </w:r>
          </w:p>
          <w:p>
            <w:pPr>
              <w:pStyle w:val="Normal"/>
              <w:rPr/>
            </w:pPr>
            <w:r>
              <w:rPr>
                <w:rFonts w:eastAsia="Times New Roman" w:cs="Arial"/>
                <w:sz w:val="20"/>
                <w:szCs w:val="20"/>
                <w:lang w:val="en-CA" w:eastAsia="en-CA" w:bidi="ar-SA"/>
              </w:rPr>
              <w:t>(Cockerell &amp; Casad 1895)</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0.97</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(Packer et al. 2007; Stephen et al. 1969)</w:t>
            </w:r>
          </w:p>
        </w:tc>
      </w:tr>
      <w:tr>
        <w:trPr>
          <w:trHeight w:val="256" w:hRule="atLeast"/>
        </w:trPr>
        <w:tc>
          <w:tcPr>
            <w:tcW w:w="1187" w:type="dxa"/>
            <w:vMerge w:val="restart"/>
            <w:tcBorders>
              <w:top w:val="single" w:sz="2" w:space="0" w:color="000000"/>
              <w:bottom w:val="single" w:sz="2" w:space="0" w:color="000000"/>
              <w:insideH w:val="single" w:sz="2" w:space="0" w:color="000000"/>
            </w:tcBorders>
            <w:shd w:fill="auto" w:val="clear"/>
          </w:tcPr>
          <w:p>
            <w:pPr>
              <w:pStyle w:val="Normal"/>
              <w:rPr/>
            </w:pPr>
            <w:r>
              <w:rPr>
                <w:sz w:val="20"/>
                <w:szCs w:val="20"/>
              </w:rPr>
              <w:t>Halictidae</w:t>
            </w:r>
          </w:p>
        </w:tc>
        <w:tc>
          <w:tcPr>
            <w:tcW w:w="2238"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rFonts w:eastAsia="Times New Roman" w:cs="Arial"/>
                <w:i/>
                <w:iCs/>
                <w:sz w:val="20"/>
                <w:szCs w:val="20"/>
                <w:lang w:val="en-CA" w:eastAsia="en-CA" w:bidi="ar-SA"/>
              </w:rPr>
              <w:t xml:space="preserve">Agapostemon texanus </w:t>
            </w:r>
          </w:p>
          <w:p>
            <w:pPr>
              <w:pStyle w:val="Normal"/>
              <w:rPr/>
            </w:pPr>
            <w:r>
              <w:rPr>
                <w:rFonts w:eastAsia="Times New Roman" w:cs="Arial"/>
                <w:sz w:val="20"/>
                <w:szCs w:val="20"/>
                <w:lang w:val="en-CA" w:eastAsia="en-CA" w:bidi="ar-SA"/>
              </w:rPr>
              <w:t>Cresson 1872</w:t>
            </w:r>
          </w:p>
        </w:tc>
        <w:tc>
          <w:tcPr>
            <w:tcW w:w="533"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2.22</w:t>
            </w:r>
          </w:p>
        </w:tc>
        <w:tc>
          <w:tcPr>
            <w:tcW w:w="624"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170</w:t>
            </w:r>
          </w:p>
        </w:tc>
        <w:tc>
          <w:tcPr>
            <w:tcW w:w="639"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2" w:type="dxa"/>
              <w:right w:w="0"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0" w:type="dxa"/>
              <w:right w:w="0"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left w:w="0" w:type="dxa"/>
              <w:right w:w="0" w:type="dxa"/>
            </w:tcMar>
            <w:vAlign w:val="bottom"/>
          </w:tcPr>
          <w:p>
            <w:pPr>
              <w:pStyle w:val="Normal"/>
              <w:rPr/>
            </w:pPr>
            <w:r>
              <w:rPr>
                <w:sz w:val="20"/>
                <w:szCs w:val="20"/>
                <w:lang w:val="fr-FR"/>
              </w:rPr>
              <w:t>(Roberts 1973a; Eickwort 1981)</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Dufourea fimbriata ^</w:t>
            </w:r>
          </w:p>
          <w:p>
            <w:pPr>
              <w:pStyle w:val="Normal"/>
              <w:rPr/>
            </w:pPr>
            <w:r>
              <w:rPr>
                <w:rFonts w:eastAsia="Times New Roman" w:cs="Arial"/>
                <w:sz w:val="20"/>
                <w:szCs w:val="20"/>
                <w:lang w:val="en-CA" w:eastAsia="en-CA" w:bidi="ar-SA"/>
              </w:rPr>
              <w:t>(Cresson 1878)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1.18</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50</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7</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Dumesh &amp; Sheffield 2012)</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Dufourea harveyi ^</w:t>
            </w:r>
          </w:p>
          <w:p>
            <w:pPr>
              <w:pStyle w:val="Normal"/>
              <w:rPr/>
            </w:pPr>
            <w:r>
              <w:rPr>
                <w:rFonts w:eastAsia="Times New Roman" w:cs="Arial"/>
                <w:sz w:val="20"/>
                <w:szCs w:val="20"/>
                <w:lang w:val="en-CA" w:eastAsia="en-CA" w:bidi="ar-SA"/>
              </w:rPr>
              <w:t>(Cockerell 1906)</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1.18</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221</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24</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7</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Dumesh &amp; Sheffield 2012)</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Dufourea maura </w:t>
            </w:r>
          </w:p>
          <w:p>
            <w:pPr>
              <w:pStyle w:val="Normal"/>
              <w:rPr/>
            </w:pPr>
            <w:r>
              <w:rPr>
                <w:rFonts w:eastAsia="Times New Roman" w:cs="Arial"/>
                <w:sz w:val="20"/>
                <w:szCs w:val="20"/>
                <w:lang w:val="en-CA" w:eastAsia="en-CA" w:bidi="ar-SA"/>
              </w:rPr>
              <w:t>(Cresson 1878)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1.73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5</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Dumesh &amp; Sheffield 2012)</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Halictus confusus </w:t>
            </w:r>
          </w:p>
          <w:p>
            <w:pPr>
              <w:pStyle w:val="Normal"/>
              <w:rPr/>
            </w:pPr>
            <w:r>
              <w:rPr>
                <w:rFonts w:eastAsia="Times New Roman" w:cs="Arial"/>
                <w:sz w:val="20"/>
                <w:szCs w:val="20"/>
                <w:lang w:val="en-CA" w:eastAsia="en-CA" w:bidi="ar-SA"/>
              </w:rPr>
              <w:t>Smith 1853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1.32</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38</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(Dolphin 1971, 1978; Eickwort et al. 1996; Richards et al. 2010)</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Halictus rubicundus </w:t>
            </w:r>
          </w:p>
          <w:p>
            <w:pPr>
              <w:pStyle w:val="Normal"/>
              <w:rPr/>
            </w:pPr>
            <w:r>
              <w:rPr>
                <w:rFonts w:eastAsia="Times New Roman" w:cs="Arial"/>
                <w:sz w:val="20"/>
                <w:szCs w:val="20"/>
                <w:lang w:val="en-CA" w:eastAsia="en-CA" w:bidi="ar-SA"/>
              </w:rPr>
              <w:t>(Christ 1791)</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1.87</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496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25</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(Dolphin 1978)</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Halictus tripartitus </w:t>
            </w:r>
          </w:p>
          <w:p>
            <w:pPr>
              <w:pStyle w:val="Normal"/>
              <w:rPr/>
            </w:pPr>
            <w:r>
              <w:rPr>
                <w:rFonts w:eastAsia="Times New Roman" w:cs="Arial"/>
                <w:sz w:val="20"/>
                <w:szCs w:val="20"/>
                <w:lang w:val="en-CA" w:eastAsia="en-CA" w:bidi="ar-SA"/>
              </w:rPr>
              <w:t>Cockerell 1895</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1.24</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231</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7</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(Dolphin 1978; Gezon et al. 2015; Roberts 1973b)</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Halictus virgatellus </w:t>
            </w:r>
          </w:p>
          <w:p>
            <w:pPr>
              <w:pStyle w:val="Normal"/>
              <w:rPr/>
            </w:pPr>
            <w:r>
              <w:rPr>
                <w:rFonts w:eastAsia="Times New Roman" w:cs="Arial"/>
                <w:sz w:val="20"/>
                <w:szCs w:val="20"/>
                <w:lang w:val="en-CA" w:eastAsia="en-CA" w:bidi="ar-SA"/>
              </w:rPr>
              <w:t>Cockerell 1901</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1.44</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1722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19</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26</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(Gezon et al. 2015; Sheffield et al. 2014)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abundipunctum</w:t>
            </w:r>
          </w:p>
          <w:p>
            <w:pPr>
              <w:pStyle w:val="Normal"/>
              <w:rPr/>
            </w:pPr>
            <w:r>
              <w:rPr>
                <w:rFonts w:eastAsia="Times New Roman" w:cs="Arial"/>
                <w:sz w:val="20"/>
                <w:szCs w:val="20"/>
                <w:lang w:val="en-CA" w:eastAsia="en-CA" w:bidi="ar-SA"/>
              </w:rPr>
              <w:t>Gibbs 2010</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9</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(Gezon et al. 2015; 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Lasioglossum ephialtum </w:t>
            </w:r>
          </w:p>
          <w:p>
            <w:pPr>
              <w:pStyle w:val="Normal"/>
              <w:rPr/>
            </w:pPr>
            <w:r>
              <w:rPr>
                <w:rFonts w:eastAsia="Times New Roman" w:cs="Arial"/>
                <w:sz w:val="20"/>
                <w:szCs w:val="20"/>
                <w:lang w:val="en-CA" w:eastAsia="en-CA" w:bidi="ar-SA"/>
              </w:rPr>
              <w:t>Gibbs 2010</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2010)</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inconditum</w:t>
            </w:r>
          </w:p>
          <w:p>
            <w:pPr>
              <w:pStyle w:val="Normal"/>
              <w:rPr/>
            </w:pPr>
            <w:r>
              <w:rPr>
                <w:rFonts w:eastAsia="Times New Roman" w:cs="Arial"/>
                <w:sz w:val="20"/>
                <w:szCs w:val="20"/>
                <w:lang w:val="en-CA" w:eastAsia="en-CA" w:bidi="ar-SA"/>
              </w:rPr>
              <w:t>(Cockerell 1916)</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1.25</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980</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45</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et al. 2013)</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Lasioglossum nigrum </w:t>
            </w:r>
          </w:p>
          <w:p>
            <w:pPr>
              <w:pStyle w:val="Normal"/>
              <w:rPr/>
            </w:pPr>
            <w:r>
              <w:rPr>
                <w:rFonts w:eastAsia="Times New Roman" w:cs="Arial"/>
                <w:sz w:val="20"/>
                <w:szCs w:val="20"/>
                <w:lang w:val="en-CA" w:eastAsia="en-CA" w:bidi="ar-SA"/>
              </w:rPr>
              <w:t>(Viereck 1903)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1.28</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1865</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40</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obnubilum</w:t>
            </w:r>
          </w:p>
          <w:p>
            <w:pPr>
              <w:pStyle w:val="Normal"/>
              <w:rPr/>
            </w:pPr>
            <w:r>
              <w:rPr>
                <w:rFonts w:eastAsia="Times New Roman" w:cs="Arial"/>
                <w:sz w:val="20"/>
                <w:szCs w:val="20"/>
                <w:lang w:val="en-CA" w:eastAsia="en-CA" w:bidi="ar-SA"/>
              </w:rPr>
              <w:t>(Sandhouse 1924)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0.89</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167</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4</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5</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2010; 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occidentale</w:t>
            </w:r>
          </w:p>
          <w:p>
            <w:pPr>
              <w:pStyle w:val="Normal"/>
              <w:rPr/>
            </w:pPr>
            <w:r>
              <w:rPr>
                <w:rFonts w:eastAsia="Times New Roman" w:cs="Arial"/>
                <w:sz w:val="20"/>
                <w:szCs w:val="20"/>
                <w:lang w:val="en-CA" w:eastAsia="en-CA" w:bidi="ar-SA"/>
              </w:rPr>
              <w:t>(Crawford 1902)</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0.96</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4</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pacatum</w:t>
            </w:r>
          </w:p>
          <w:p>
            <w:pPr>
              <w:pStyle w:val="Normal"/>
              <w:rPr/>
            </w:pPr>
            <w:r>
              <w:rPr>
                <w:rFonts w:eastAsia="Times New Roman" w:cs="Arial"/>
                <w:sz w:val="20"/>
                <w:szCs w:val="20"/>
                <w:lang w:val="en-CA" w:eastAsia="en-CA" w:bidi="ar-SA"/>
              </w:rPr>
              <w:t>(Sandhouse 1924)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1.12</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643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4</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2010; 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Lasioglossum pavoninum </w:t>
            </w:r>
          </w:p>
          <w:p>
            <w:pPr>
              <w:pStyle w:val="Normal"/>
              <w:rPr/>
            </w:pPr>
            <w:r>
              <w:rPr>
                <w:rFonts w:eastAsia="Times New Roman" w:cs="Arial"/>
                <w:sz w:val="20"/>
                <w:szCs w:val="20"/>
                <w:lang w:val="en-CA" w:eastAsia="en-CA" w:bidi="ar-SA"/>
              </w:rPr>
              <w:t>(Ellis 1913)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1.06</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51</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2010; 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Lasioglossum prasinogaster </w:t>
            </w:r>
          </w:p>
          <w:p>
            <w:pPr>
              <w:pStyle w:val="Normal"/>
              <w:rPr/>
            </w:pPr>
            <w:r>
              <w:rPr>
                <w:rFonts w:eastAsia="Times New Roman" w:cs="Arial"/>
                <w:sz w:val="20"/>
                <w:szCs w:val="20"/>
                <w:lang w:val="en-CA" w:eastAsia="en-CA" w:bidi="ar-SA"/>
              </w:rPr>
              <w:t>Gibbs 2010</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1.14</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806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5</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ruidosense</w:t>
            </w:r>
          </w:p>
          <w:p>
            <w:pPr>
              <w:pStyle w:val="Normal"/>
              <w:rPr/>
            </w:pPr>
            <w:r>
              <w:rPr>
                <w:rFonts w:eastAsia="Times New Roman" w:cs="Arial"/>
                <w:sz w:val="20"/>
                <w:szCs w:val="20"/>
                <w:lang w:val="en-CA" w:eastAsia="en-CA" w:bidi="ar-SA"/>
              </w:rPr>
              <w:t>(Cockerell 1897)</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1.05</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1273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27</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2010; 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sandhousiellum</w:t>
            </w:r>
          </w:p>
          <w:p>
            <w:pPr>
              <w:pStyle w:val="Normal"/>
              <w:rPr/>
            </w:pPr>
            <w:r>
              <w:rPr>
                <w:rFonts w:eastAsia="Times New Roman" w:cs="Arial"/>
                <w:sz w:val="20"/>
                <w:szCs w:val="20"/>
                <w:lang w:val="en-CA" w:eastAsia="en-CA" w:bidi="ar-SA"/>
              </w:rPr>
              <w:t>Gibbs 2010</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1.08</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85</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2010; 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Lasioglossum sedi </w:t>
            </w:r>
          </w:p>
          <w:p>
            <w:pPr>
              <w:pStyle w:val="Normal"/>
              <w:rPr/>
            </w:pPr>
            <w:r>
              <w:rPr>
                <w:rFonts w:eastAsia="Times New Roman" w:cs="Arial"/>
                <w:sz w:val="20"/>
                <w:szCs w:val="20"/>
                <w:lang w:val="en-CA" w:eastAsia="en-CA" w:bidi="ar-SA"/>
              </w:rPr>
              <w:t>(Sandhouse 1924)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0.99</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6161</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63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Lasioglossum semicaeruleum</w:t>
            </w:r>
          </w:p>
          <w:p>
            <w:pPr>
              <w:pStyle w:val="Normal"/>
              <w:rPr/>
            </w:pPr>
            <w:r>
              <w:rPr>
                <w:rFonts w:eastAsia="Times New Roman" w:cs="Arial"/>
                <w:sz w:val="20"/>
                <w:szCs w:val="20"/>
                <w:lang w:val="en-CA" w:eastAsia="en-CA" w:bidi="ar-SA"/>
              </w:rPr>
              <w:t>(Cockerell 1895)</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41</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(Gibbs 2010; Packer et al. 2007)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Lasioglossum tenax </w:t>
            </w:r>
          </w:p>
          <w:p>
            <w:pPr>
              <w:pStyle w:val="Normal"/>
              <w:rPr/>
            </w:pPr>
            <w:r>
              <w:rPr>
                <w:rFonts w:eastAsia="Times New Roman" w:cs="Arial"/>
                <w:sz w:val="20"/>
                <w:szCs w:val="20"/>
                <w:lang w:val="en-CA" w:eastAsia="en-CA" w:bidi="ar-SA"/>
              </w:rPr>
              <w:t>(Sandhouse 1924)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1.06</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343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16</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(Packer 1994)</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Lasioglossum trizonatum </w:t>
            </w:r>
          </w:p>
          <w:p>
            <w:pPr>
              <w:pStyle w:val="Normal"/>
              <w:rPr/>
            </w:pPr>
            <w:r>
              <w:rPr>
                <w:rFonts w:eastAsia="Times New Roman" w:cs="Arial"/>
                <w:sz w:val="20"/>
                <w:szCs w:val="20"/>
                <w:lang w:val="en-CA" w:eastAsia="en-CA" w:bidi="ar-SA"/>
              </w:rPr>
              <w:t>(Cresson 1874)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359</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(McGinley 1986)</w:t>
            </w:r>
          </w:p>
        </w:tc>
      </w:tr>
      <w:tr>
        <w:trPr>
          <w:trHeight w:val="256" w:hRule="atLeast"/>
        </w:trPr>
        <w:tc>
          <w:tcPr>
            <w:tcW w:w="1187" w:type="dxa"/>
            <w:vMerge w:val="restart"/>
            <w:tcBorders>
              <w:top w:val="single" w:sz="2" w:space="0" w:color="000000"/>
              <w:bottom w:val="single" w:sz="2" w:space="0" w:color="000000"/>
              <w:insideH w:val="single" w:sz="2" w:space="0" w:color="000000"/>
            </w:tcBorders>
            <w:shd w:fill="auto" w:val="clear"/>
          </w:tcPr>
          <w:p>
            <w:pPr>
              <w:pStyle w:val="Normal"/>
              <w:rPr/>
            </w:pPr>
            <w:r>
              <w:rPr>
                <w:sz w:val="20"/>
                <w:szCs w:val="20"/>
              </w:rPr>
              <w:t>Megachilidae</w:t>
            </w:r>
          </w:p>
        </w:tc>
        <w:tc>
          <w:tcPr>
            <w:tcW w:w="2238"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rFonts w:eastAsia="Times New Roman" w:cs="Arial"/>
                <w:i/>
                <w:iCs/>
                <w:sz w:val="20"/>
                <w:szCs w:val="20"/>
                <w:lang w:val="en-CA" w:eastAsia="en-CA" w:bidi="ar-SA"/>
              </w:rPr>
              <w:t xml:space="preserve">Dianthidium heterulkei </w:t>
            </w:r>
          </w:p>
          <w:p>
            <w:pPr>
              <w:pStyle w:val="Normal"/>
              <w:rPr/>
            </w:pPr>
            <w:r>
              <w:rPr>
                <w:rFonts w:eastAsia="Times New Roman" w:cs="Arial"/>
                <w:sz w:val="20"/>
                <w:szCs w:val="20"/>
                <w:lang w:val="en-CA" w:eastAsia="en-CA" w:bidi="ar-SA"/>
              </w:rPr>
              <w:t>Schwarz 1940</w:t>
            </w:r>
          </w:p>
        </w:tc>
        <w:tc>
          <w:tcPr>
            <w:tcW w:w="533"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2.08</w:t>
            </w:r>
          </w:p>
        </w:tc>
        <w:tc>
          <w:tcPr>
            <w:tcW w:w="624"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49</w:t>
            </w:r>
          </w:p>
        </w:tc>
        <w:tc>
          <w:tcPr>
            <w:tcW w:w="639" w:type="dxa"/>
            <w:tcBorders>
              <w:top w:val="single" w:sz="2" w:space="0" w:color="000000"/>
              <w:left w:val="single" w:sz="2" w:space="0" w:color="000000"/>
              <w:bottom w:val="single" w:sz="2" w:space="0" w:color="000000"/>
              <w:insideH w:val="single" w:sz="2" w:space="0" w:color="000000"/>
            </w:tcBorders>
            <w:shd w:fill="auto" w:val="clear"/>
            <w:tcMar>
              <w:left w:w="-2" w:type="dxa"/>
              <w:right w:w="0" w:type="dxa"/>
            </w:tcMar>
            <w:vAlign w:val="bottom"/>
          </w:tcPr>
          <w:p>
            <w:pPr>
              <w:pStyle w:val="Normal"/>
              <w:jc w:val="right"/>
              <w:rPr/>
            </w:pPr>
            <w:r>
              <w:rPr>
                <w:sz w:val="20"/>
                <w:szCs w:val="20"/>
              </w:rPr>
              <w:t>7</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2" w:type="dxa"/>
              <w:right w:w="0" w:type="dxa"/>
            </w:tcMar>
            <w:vAlign w:val="bottom"/>
          </w:tcPr>
          <w:p>
            <w:pPr>
              <w:pStyle w:val="Normal"/>
              <w:jc w:val="right"/>
              <w:rPr/>
            </w:pPr>
            <w:r>
              <w:rPr>
                <w:sz w:val="20"/>
                <w:szCs w:val="20"/>
              </w:rPr>
              <w:t>3</w:t>
            </w:r>
          </w:p>
        </w:tc>
        <w:tc>
          <w:tcPr>
            <w:tcW w:w="624" w:type="dxa"/>
            <w:tcBorders>
              <w:top w:val="single" w:sz="2" w:space="0" w:color="000000"/>
              <w:bottom w:val="single" w:sz="2" w:space="0" w:color="000000"/>
              <w:insideH w:val="single" w:sz="2" w:space="0" w:color="000000"/>
            </w:tcBorders>
            <w:shd w:fill="auto" w:val="clear"/>
            <w:tcMar>
              <w:left w:w="0" w:type="dxa"/>
              <w:right w:w="0"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left w:w="0" w:type="dxa"/>
              <w:right w:w="0" w:type="dxa"/>
            </w:tcMar>
            <w:vAlign w:val="bottom"/>
          </w:tcPr>
          <w:p>
            <w:pPr>
              <w:pStyle w:val="Normal"/>
              <w:rPr/>
            </w:pPr>
            <w:r>
              <w:rPr>
                <w:sz w:val="20"/>
                <w:szCs w:val="20"/>
              </w:rPr>
              <w:t>(Krombein 1967; Clement 1976)</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Hoplitis albifrons </w:t>
            </w:r>
          </w:p>
          <w:p>
            <w:pPr>
              <w:pStyle w:val="Normal"/>
              <w:rPr/>
            </w:pPr>
            <w:r>
              <w:rPr>
                <w:rFonts w:eastAsia="Times New Roman" w:cs="Arial"/>
                <w:sz w:val="20"/>
                <w:szCs w:val="20"/>
                <w:lang w:val="en-CA" w:eastAsia="en-CA" w:bidi="ar-SA"/>
              </w:rPr>
              <w:t>(Kirby 1837)</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2.43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(Fye 1965)</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Hoplitis fulgida </w:t>
            </w:r>
          </w:p>
          <w:p>
            <w:pPr>
              <w:pStyle w:val="Normal"/>
              <w:rPr/>
            </w:pPr>
            <w:r>
              <w:rPr>
                <w:rFonts w:eastAsia="Times New Roman" w:cs="Arial"/>
                <w:sz w:val="20"/>
                <w:szCs w:val="20"/>
                <w:lang w:val="en-CA" w:eastAsia="en-CA" w:bidi="ar-SA"/>
              </w:rPr>
              <w:t>(Cresson 1864)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2.04</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88</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9</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12</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4</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(Tepedino &amp; Parker 1984)</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Hoplitis robusta </w:t>
            </w:r>
          </w:p>
          <w:p>
            <w:pPr>
              <w:pStyle w:val="Normal"/>
              <w:rPr/>
            </w:pPr>
            <w:r>
              <w:rPr>
                <w:rFonts w:eastAsia="Times New Roman" w:cs="Arial"/>
                <w:sz w:val="20"/>
                <w:szCs w:val="20"/>
                <w:lang w:val="en-CA" w:eastAsia="en-CA" w:bidi="ar-SA"/>
              </w:rPr>
              <w:t>(Nylander 1848)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1.39</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156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14</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(Clement &amp; Rust 1975; Müller &amp; Richter 2018; Müller &amp; Mauss 2016)</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Megachile frigida </w:t>
            </w:r>
          </w:p>
          <w:p>
            <w:pPr>
              <w:pStyle w:val="Normal"/>
              <w:rPr/>
            </w:pPr>
            <w:r>
              <w:rPr>
                <w:rFonts w:eastAsia="Times New Roman" w:cs="Arial"/>
                <w:sz w:val="20"/>
                <w:szCs w:val="20"/>
                <w:lang w:val="en-CA" w:eastAsia="en-CA" w:bidi="ar-SA"/>
              </w:rPr>
              <w:t>Smith 1853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3.64</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7</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(Hobbs &amp; Lilly 1954; Pengelly 1955; Stephen 1956; Jenkins &amp; Matthews 2004)</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Megachile inermis </w:t>
            </w:r>
          </w:p>
          <w:p>
            <w:pPr>
              <w:pStyle w:val="Normal"/>
              <w:rPr/>
            </w:pPr>
            <w:r>
              <w:rPr>
                <w:rFonts w:eastAsia="Times New Roman" w:cs="Arial"/>
                <w:sz w:val="20"/>
                <w:szCs w:val="20"/>
                <w:lang w:val="en-CA" w:eastAsia="en-CA" w:bidi="ar-SA"/>
              </w:rPr>
              <w:t>Provancher 1888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4.43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4</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(Stephen 1956; Medler 1958; Sheffield et al. 2008)</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Megachile melanophaea </w:t>
            </w:r>
          </w:p>
          <w:p>
            <w:pPr>
              <w:pStyle w:val="Normal"/>
              <w:rPr/>
            </w:pPr>
            <w:r>
              <w:rPr>
                <w:rFonts w:eastAsia="Times New Roman" w:cs="Arial"/>
                <w:sz w:val="20"/>
                <w:szCs w:val="20"/>
                <w:lang w:val="en-CA" w:eastAsia="en-CA" w:bidi="ar-SA"/>
              </w:rPr>
              <w:t>Smith 1853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3.26</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4</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(Hobbs &amp; Lilly 1954; Pengelly 1955)</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Megachile montivaga </w:t>
            </w:r>
          </w:p>
          <w:p>
            <w:pPr>
              <w:pStyle w:val="Normal"/>
              <w:rPr/>
            </w:pPr>
            <w:r>
              <w:rPr>
                <w:rFonts w:eastAsia="Times New Roman" w:cs="Arial"/>
                <w:sz w:val="20"/>
                <w:szCs w:val="20"/>
                <w:lang w:val="en-CA" w:eastAsia="en-CA" w:bidi="ar-SA"/>
              </w:rPr>
              <w:t>Cresson 1878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2.61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15</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(Hicks 1926; Hobbs &amp; Lilly 1954; Baker et al. 1985)</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Megachile perihirta </w:t>
            </w:r>
          </w:p>
          <w:p>
            <w:pPr>
              <w:pStyle w:val="Normal"/>
              <w:rPr/>
            </w:pPr>
            <w:r>
              <w:rPr>
                <w:rFonts w:eastAsia="Times New Roman" w:cs="Arial"/>
                <w:sz w:val="20"/>
                <w:szCs w:val="20"/>
                <w:lang w:val="en-CA" w:eastAsia="en-CA" w:bidi="ar-SA"/>
              </w:rPr>
              <w:t>Cockerell 1898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3.53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below</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9</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(Sladen 1918; Hicks 1926; Hobbs &amp; Lilly 1954; Bohart 1957)</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Megachile pugnata </w:t>
            </w:r>
          </w:p>
          <w:p>
            <w:pPr>
              <w:pStyle w:val="Normal"/>
              <w:rPr/>
            </w:pPr>
            <w:r>
              <w:rPr>
                <w:rFonts w:eastAsia="Times New Roman" w:cs="Arial"/>
                <w:sz w:val="20"/>
                <w:szCs w:val="20"/>
                <w:lang w:val="en-CA" w:eastAsia="en-CA" w:bidi="ar-SA"/>
              </w:rPr>
              <w:t>Say 1837</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0</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(Medler 1964; Hobbs &amp; Lilly 1954; Sheffield et al. 2008)</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Megachile relativa </w:t>
            </w:r>
          </w:p>
          <w:p>
            <w:pPr>
              <w:pStyle w:val="Normal"/>
              <w:rPr/>
            </w:pPr>
            <w:r>
              <w:rPr>
                <w:rFonts w:eastAsia="Times New Roman" w:cs="Arial"/>
                <w:sz w:val="20"/>
                <w:szCs w:val="20"/>
                <w:lang w:val="en-CA" w:eastAsia="en-CA" w:bidi="ar-SA"/>
              </w:rPr>
              <w:t>Cresson 1878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2.47</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prepupae</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18</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(Medler &amp; Koerber 1958; Sheffield et al. 2008)</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albolateralis </w:t>
            </w:r>
          </w:p>
          <w:p>
            <w:pPr>
              <w:pStyle w:val="Normal"/>
              <w:rPr/>
            </w:pPr>
            <w:r>
              <w:rPr>
                <w:rFonts w:eastAsia="Times New Roman" w:cs="Arial"/>
                <w:sz w:val="20"/>
                <w:szCs w:val="20"/>
                <w:lang w:val="en-CA" w:eastAsia="en-CA" w:bidi="ar-SA"/>
              </w:rPr>
              <w:t>Cockerell 1906</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2.23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7</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4</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(Rightmyer et al. 2013)</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brevis </w:t>
            </w:r>
          </w:p>
          <w:p>
            <w:pPr>
              <w:pStyle w:val="Normal"/>
              <w:rPr/>
            </w:pPr>
            <w:r>
              <w:rPr>
                <w:rFonts w:eastAsia="Times New Roman" w:cs="Arial"/>
                <w:sz w:val="20"/>
                <w:szCs w:val="20"/>
                <w:lang w:val="en-CA" w:eastAsia="en-CA" w:bidi="ar-SA"/>
              </w:rPr>
              <w:t>Cresson 1864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21</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(Baker et al. 1985; Cane 2014)</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bruneri </w:t>
            </w:r>
          </w:p>
          <w:p>
            <w:pPr>
              <w:pStyle w:val="Normal"/>
              <w:rPr/>
            </w:pPr>
            <w:r>
              <w:rPr>
                <w:rFonts w:eastAsia="Times New Roman" w:cs="Arial"/>
                <w:sz w:val="20"/>
                <w:szCs w:val="20"/>
                <w:lang w:val="en-CA" w:eastAsia="en-CA" w:bidi="ar-SA"/>
              </w:rPr>
              <w:t>Cockerell 1897</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(Baker et al. 1985; Cane et al. 2007; Frohlich 1983)</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bucephala </w:t>
            </w:r>
          </w:p>
          <w:p>
            <w:pPr>
              <w:pStyle w:val="Normal"/>
              <w:rPr/>
            </w:pPr>
            <w:r>
              <w:rPr>
                <w:rFonts w:eastAsia="Times New Roman" w:cs="Arial"/>
                <w:sz w:val="20"/>
                <w:szCs w:val="20"/>
                <w:lang w:val="en-CA" w:eastAsia="en-CA" w:bidi="ar-SA"/>
              </w:rPr>
              <w:t>Cresson 1864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3.76</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93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8</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(Rightmyer et al. 2013)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inermis </w:t>
            </w:r>
          </w:p>
          <w:p>
            <w:pPr>
              <w:pStyle w:val="Normal"/>
              <w:rPr/>
            </w:pPr>
            <w:r>
              <w:rPr>
                <w:rFonts w:eastAsia="Times New Roman" w:cs="Arial"/>
                <w:sz w:val="20"/>
                <w:szCs w:val="20"/>
                <w:lang w:val="en-CA" w:eastAsia="en-CA" w:bidi="ar-SA"/>
              </w:rPr>
              <w:t>(Zetterstedi 1838)</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2.35</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5</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(Müller 2018; Sheffield et al. 2014)</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longula </w:t>
            </w:r>
          </w:p>
          <w:p>
            <w:pPr>
              <w:pStyle w:val="Normal"/>
              <w:rPr/>
            </w:pPr>
            <w:r>
              <w:rPr>
                <w:rFonts w:eastAsia="Times New Roman" w:cs="Arial"/>
                <w:sz w:val="20"/>
                <w:szCs w:val="20"/>
                <w:lang w:val="en-CA" w:eastAsia="en-CA" w:bidi="ar-SA"/>
              </w:rPr>
              <w:t>Cresson 1864</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3.2</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(Cane et al. 2007; Rightmyer et al. 2013)</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phaceliae </w:t>
            </w:r>
          </w:p>
          <w:p>
            <w:pPr>
              <w:pStyle w:val="Normal"/>
              <w:rPr/>
            </w:pPr>
            <w:r>
              <w:rPr>
                <w:rFonts w:eastAsia="Times New Roman" w:cs="Arial"/>
                <w:sz w:val="20"/>
                <w:szCs w:val="20"/>
                <w:lang w:val="en-CA" w:eastAsia="en-CA" w:bidi="ar-SA"/>
              </w:rPr>
              <w:t>Cockerell 1907</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1.78</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8</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(Packer et al. 2007)</w:t>
            </w:r>
            <w:r>
              <w:rPr>
                <w:sz w:val="20"/>
                <w:szCs w:val="20"/>
                <w:lang w:val="fr-FR"/>
              </w:rPr>
              <w:t xml:space="preserve">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Pr>
          <w:p>
            <w:pPr>
              <w:pStyle w:val="Normal"/>
              <w:rPr>
                <w:sz w:val="20"/>
                <w:szCs w:val="20"/>
              </w:rPr>
            </w:pPr>
            <w:r>
              <w:rPr>
                <w:sz w:val="20"/>
                <w:szCs w:val="20"/>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sculleni </w:t>
            </w:r>
          </w:p>
          <w:p>
            <w:pPr>
              <w:pStyle w:val="Normal"/>
              <w:rPr/>
            </w:pPr>
            <w:r>
              <w:rPr>
                <w:rFonts w:eastAsia="Times New Roman" w:cs="Arial"/>
                <w:sz w:val="20"/>
                <w:szCs w:val="20"/>
                <w:lang w:val="en-CA" w:eastAsia="en-CA" w:bidi="ar-SA"/>
              </w:rPr>
              <w:t>Sandhouse 18939</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2.32</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3</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(Cane et al. 2007; Sheffield et al. 2014)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simillima </w:t>
            </w:r>
          </w:p>
          <w:p>
            <w:pPr>
              <w:pStyle w:val="Normal"/>
              <w:rPr/>
            </w:pPr>
            <w:r>
              <w:rPr>
                <w:rFonts w:eastAsia="Times New Roman" w:cs="Arial"/>
                <w:sz w:val="20"/>
                <w:szCs w:val="20"/>
                <w:lang w:val="en-CA" w:eastAsia="en-CA" w:bidi="ar-SA"/>
              </w:rPr>
              <w:t>Smith 1853</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2.53</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105</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7</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6</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13</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(Cane et al. 2007; Sheffield et al. 2014) *</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 xml:space="preserve">Osmia tersula </w:t>
            </w:r>
          </w:p>
          <w:p>
            <w:pPr>
              <w:pStyle w:val="Normal"/>
              <w:rPr/>
            </w:pPr>
            <w:r>
              <w:rPr>
                <w:rFonts w:eastAsia="Times New Roman" w:cs="Arial"/>
                <w:sz w:val="20"/>
                <w:szCs w:val="20"/>
                <w:lang w:val="en-CA" w:eastAsia="en-CA" w:bidi="ar-SA"/>
              </w:rPr>
              <w:t>Cockerell 1912</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2.31</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6</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2</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2</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lang w:val="fr-FR"/>
              </w:rPr>
              <w:t>(Cane et al. 2007; Sheffield et al. 2008)</w:t>
            </w:r>
          </w:p>
        </w:tc>
      </w:tr>
      <w:tr>
        <w:trPr>
          <w:trHeight w:val="256" w:hRule="atLeast"/>
        </w:trPr>
        <w:tc>
          <w:tcPr>
            <w:tcW w:w="1187" w:type="dxa"/>
            <w:vMerge w:val="continue"/>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sz w:val="20"/>
                <w:szCs w:val="20"/>
                <w:lang w:val="fr-FR"/>
              </w:rPr>
            </w:pPr>
            <w:r>
              <w:rPr>
                <w:sz w:val="20"/>
                <w:szCs w:val="20"/>
                <w:lang w:val="fr-FR"/>
              </w:rPr>
            </w:r>
          </w:p>
        </w:tc>
        <w:tc>
          <w:tcPr>
            <w:tcW w:w="2238"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rFonts w:eastAsia="Times New Roman" w:cs="Arial"/>
                <w:i/>
                <w:iCs/>
                <w:sz w:val="20"/>
                <w:szCs w:val="20"/>
                <w:lang w:val="en-CA" w:eastAsia="en-CA" w:bidi="ar-SA"/>
              </w:rPr>
              <w:t>Osmia “torchioi”</w:t>
            </w:r>
          </w:p>
          <w:p>
            <w:pPr>
              <w:pStyle w:val="Normal"/>
              <w:rPr/>
            </w:pPr>
            <w:r>
              <w:rPr>
                <w:rFonts w:eastAsia="Times New Roman" w:cs="Arial"/>
                <w:sz w:val="20"/>
                <w:szCs w:val="20"/>
                <w:lang w:val="en-CA" w:eastAsia="en-CA" w:bidi="ar-SA"/>
              </w:rPr>
              <w:t>Griswold ms. name</w:t>
            </w:r>
          </w:p>
        </w:tc>
        <w:tc>
          <w:tcPr>
            <w:tcW w:w="53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1.82</w:t>
            </w:r>
          </w:p>
        </w:tc>
        <w:tc>
          <w:tcPr>
            <w:tcW w:w="624"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above</w:t>
            </w:r>
          </w:p>
        </w:tc>
        <w:tc>
          <w:tcPr>
            <w:tcW w:w="913"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rPr/>
            </w:pPr>
            <w:r>
              <w:rPr>
                <w:sz w:val="20"/>
                <w:szCs w:val="20"/>
              </w:rPr>
              <w:t>adults</w:t>
            </w:r>
          </w:p>
        </w:tc>
        <w:tc>
          <w:tcPr>
            <w:tcW w:w="531"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12</w:t>
            </w:r>
          </w:p>
        </w:tc>
        <w:tc>
          <w:tcPr>
            <w:tcW w:w="639" w:type="dxa"/>
            <w:tcBorders>
              <w:top w:val="single" w:sz="2" w:space="0" w:color="000000"/>
              <w:left w:val="single" w:sz="2" w:space="0" w:color="000000"/>
              <w:bottom w:val="single" w:sz="2" w:space="0" w:color="000000"/>
              <w:insideH w:val="single" w:sz="2" w:space="0" w:color="000000"/>
            </w:tcBorders>
            <w:shd w:fill="auto" w:val="clear"/>
            <w:tcMar>
              <w:top w:w="29" w:type="dxa"/>
              <w:bottom w:w="29" w:type="dxa"/>
            </w:tcMar>
            <w:vAlign w:val="bottom"/>
          </w:tcPr>
          <w:p>
            <w:pPr>
              <w:pStyle w:val="Normal"/>
              <w:jc w:val="right"/>
              <w:rPr/>
            </w:pPr>
            <w:r>
              <w:rPr>
                <w:sz w:val="20"/>
                <w:szCs w:val="20"/>
              </w:rPr>
              <w:t>0</w:t>
            </w:r>
          </w:p>
        </w:tc>
        <w:tc>
          <w:tcPr>
            <w:tcW w:w="6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top w:w="29" w:type="dxa"/>
              <w:bottom w:w="29" w:type="dxa"/>
            </w:tcMar>
            <w:vAlign w:val="bottom"/>
          </w:tcPr>
          <w:p>
            <w:pPr>
              <w:pStyle w:val="Normal"/>
              <w:jc w:val="right"/>
              <w:rPr/>
            </w:pPr>
            <w:r>
              <w:rPr>
                <w:sz w:val="20"/>
                <w:szCs w:val="20"/>
              </w:rPr>
              <w:t>1</w:t>
            </w:r>
          </w:p>
        </w:tc>
        <w:tc>
          <w:tcPr>
            <w:tcW w:w="624"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jc w:val="right"/>
              <w:rPr/>
            </w:pPr>
            <w:r>
              <w:rPr>
                <w:sz w:val="20"/>
                <w:szCs w:val="20"/>
              </w:rPr>
              <w:t>1</w:t>
            </w:r>
          </w:p>
        </w:tc>
        <w:tc>
          <w:tcPr>
            <w:tcW w:w="2346" w:type="dxa"/>
            <w:tcBorders>
              <w:top w:val="single" w:sz="2" w:space="0" w:color="000000"/>
              <w:bottom w:val="single" w:sz="2" w:space="0" w:color="000000"/>
              <w:insideH w:val="single" w:sz="2" w:space="0" w:color="000000"/>
            </w:tcBorders>
            <w:shd w:fill="auto" w:val="clear"/>
            <w:tcMar>
              <w:left w:w="30" w:type="dxa"/>
              <w:right w:w="30" w:type="dxa"/>
            </w:tcMar>
            <w:vAlign w:val="bottom"/>
          </w:tcPr>
          <w:p>
            <w:pPr>
              <w:pStyle w:val="Normal"/>
              <w:rPr/>
            </w:pPr>
            <w:r>
              <w:rPr>
                <w:sz w:val="20"/>
                <w:szCs w:val="20"/>
              </w:rPr>
              <w:t>(Gezon et al., 2015)</w:t>
            </w:r>
          </w:p>
        </w:tc>
      </w:tr>
    </w:tbl>
    <w:p>
      <w:pPr>
        <w:pStyle w:val="Normal"/>
        <w:rPr>
          <w:sz w:val="20"/>
          <w:szCs w:val="20"/>
        </w:rPr>
      </w:pPr>
      <w:r>
        <w:rPr>
          <w:sz w:val="20"/>
          <w:szCs w:val="20"/>
        </w:rPr>
      </w:r>
    </w:p>
    <w:p>
      <w:pPr>
        <w:pStyle w:val="Normal"/>
        <w:rPr/>
      </w:pPr>
      <w:r>
        <w:rPr>
          <w:i/>
          <w:iCs/>
          <w:sz w:val="20"/>
          <w:szCs w:val="20"/>
        </w:rPr>
        <w:t>^</w:t>
      </w:r>
      <w:r>
        <w:rPr>
          <w:sz w:val="20"/>
          <w:szCs w:val="20"/>
        </w:rPr>
        <w:t xml:space="preserve"> </w:t>
      </w:r>
      <w:r>
        <w:rPr>
          <w:i/>
          <w:iCs/>
          <w:sz w:val="20"/>
          <w:szCs w:val="20"/>
        </w:rPr>
        <w:t xml:space="preserve">Dufourea harveyi </w:t>
      </w:r>
      <w:r>
        <w:rPr>
          <w:sz w:val="20"/>
          <w:szCs w:val="20"/>
        </w:rPr>
        <w:t xml:space="preserve">and </w:t>
      </w:r>
      <w:r>
        <w:rPr>
          <w:i/>
          <w:iCs/>
          <w:sz w:val="20"/>
          <w:szCs w:val="20"/>
        </w:rPr>
        <w:t>Dufourea fimbriata</w:t>
      </w:r>
      <w:r>
        <w:rPr>
          <w:sz w:val="20"/>
          <w:szCs w:val="20"/>
        </w:rPr>
        <w:t xml:space="preserve"> may be synonymous in some parts of their range, but we found clear morphological differences between specimens in these groups in the present study area.</w:t>
      </w:r>
    </w:p>
    <w:p>
      <w:pPr>
        <w:pStyle w:val="Normal"/>
        <w:rPr>
          <w:sz w:val="20"/>
          <w:szCs w:val="20"/>
        </w:rPr>
      </w:pPr>
      <w:r>
        <w:rPr>
          <w:sz w:val="20"/>
          <w:szCs w:val="20"/>
        </w:rPr>
      </w:r>
    </w:p>
    <w:p>
      <w:pPr>
        <w:pStyle w:val="Normal"/>
        <w:spacing w:lineRule="auto" w:line="360"/>
        <w:rPr/>
      </w:pPr>
      <w:r>
        <w:rPr>
          <w:b/>
          <w:bCs/>
        </w:rPr>
        <w:t>Table S3 references</w:t>
      </w:r>
    </w:p>
    <w:p>
      <w:pPr>
        <w:pStyle w:val="Normal"/>
        <w:spacing w:lineRule="auto" w:line="360"/>
        <w:rPr>
          <w:sz w:val="20"/>
          <w:szCs w:val="20"/>
        </w:rPr>
      </w:pPr>
      <w:r>
        <w:rPr>
          <w:sz w:val="20"/>
          <w:szCs w:val="20"/>
        </w:rPr>
      </w:r>
    </w:p>
    <w:p>
      <w:pPr>
        <w:pStyle w:val="Normal"/>
        <w:spacing w:lineRule="auto" w:line="360"/>
        <w:ind w:left="360" w:hanging="360"/>
        <w:rPr/>
      </w:pPr>
      <w:r>
        <w:rPr>
          <w:sz w:val="20"/>
          <w:szCs w:val="20"/>
        </w:rPr>
        <w:t xml:space="preserve">Baker, J. R., Kuhn, E. D., &amp; Bambara, S. B. (1985). Nests and immature stages of leafcutter bees (Hymenoptera: Megachilidae). </w:t>
      </w:r>
      <w:r>
        <w:rPr>
          <w:i/>
          <w:iCs/>
          <w:sz w:val="20"/>
          <w:szCs w:val="20"/>
        </w:rPr>
        <w:t>Journal of the Kansas Entomological Society</w:t>
      </w:r>
      <w:r>
        <w:rPr>
          <w:sz w:val="20"/>
          <w:szCs w:val="20"/>
        </w:rPr>
        <w:t>, 58, 290–313.</w:t>
      </w:r>
    </w:p>
    <w:p>
      <w:pPr>
        <w:pStyle w:val="Normal"/>
        <w:spacing w:lineRule="auto" w:line="360"/>
        <w:ind w:left="360" w:hanging="360"/>
        <w:rPr/>
      </w:pPr>
      <w:r>
        <w:rPr>
          <w:sz w:val="20"/>
          <w:szCs w:val="20"/>
        </w:rPr>
        <w:t>Bohart, G. E. (1957). Pollination of alfalfa and red clover. Annual Review of Entomology, 2(1), 355-380.</w:t>
      </w:r>
    </w:p>
    <w:p>
      <w:pPr>
        <w:pStyle w:val="Normal"/>
        <w:spacing w:lineRule="auto" w:line="360"/>
        <w:ind w:left="360" w:hanging="360"/>
        <w:rPr/>
      </w:pPr>
      <w:r>
        <w:rPr>
          <w:sz w:val="20"/>
          <w:szCs w:val="20"/>
        </w:rPr>
        <w:t>Bouseman, J. K., LaBerge, W. E. 1978. A revision of the bees of the genus Andrena of the Western Hemisphere. Part IX. Subgenus Melandrena. Transactions of the American Entomological Society 104: 275-390</w:t>
      </w:r>
    </w:p>
    <w:p>
      <w:pPr>
        <w:pStyle w:val="Normal"/>
        <w:spacing w:lineRule="auto" w:line="360"/>
        <w:ind w:left="360" w:hanging="360"/>
        <w:rPr/>
      </w:pPr>
      <w:r>
        <w:rPr>
          <w:sz w:val="20"/>
          <w:szCs w:val="20"/>
        </w:rPr>
        <w:t xml:space="preserve">Butler Jr, G. D. (1965). </w:t>
      </w:r>
      <w:r>
        <w:rPr>
          <w:i/>
          <w:iCs/>
          <w:sz w:val="20"/>
          <w:szCs w:val="20"/>
        </w:rPr>
        <w:t>Distribution and host plants of leaf-cutter bees in Arizona</w:t>
      </w:r>
      <w:r>
        <w:rPr>
          <w:sz w:val="20"/>
          <w:szCs w:val="20"/>
        </w:rPr>
        <w:t>. College of Agriculture, University of Arizona, Tucson, AZ.</w:t>
      </w:r>
    </w:p>
    <w:p>
      <w:pPr>
        <w:pStyle w:val="Normal"/>
        <w:spacing w:lineRule="auto" w:line="360"/>
        <w:ind w:left="360" w:hanging="360"/>
        <w:rPr/>
      </w:pPr>
      <w:r>
        <w:rPr>
          <w:sz w:val="20"/>
          <w:szCs w:val="20"/>
        </w:rPr>
        <w:t xml:space="preserve">Cane, J. H. (2014). The oligolectic bee </w:t>
      </w:r>
      <w:r>
        <w:rPr>
          <w:i/>
          <w:iCs/>
          <w:sz w:val="20"/>
          <w:szCs w:val="20"/>
        </w:rPr>
        <w:t>Osmia brevis</w:t>
      </w:r>
      <w:r>
        <w:rPr>
          <w:sz w:val="20"/>
          <w:szCs w:val="20"/>
        </w:rPr>
        <w:t xml:space="preserve"> sonicates </w:t>
      </w:r>
      <w:r>
        <w:rPr>
          <w:i/>
          <w:iCs/>
          <w:sz w:val="20"/>
          <w:szCs w:val="20"/>
        </w:rPr>
        <w:t>Penstemon</w:t>
      </w:r>
      <w:r>
        <w:rPr>
          <w:sz w:val="20"/>
          <w:szCs w:val="20"/>
        </w:rPr>
        <w:t xml:space="preserve"> flowers for pollen: a newly documented behavior for the Megachilidae. </w:t>
      </w:r>
      <w:r>
        <w:rPr>
          <w:i/>
          <w:iCs/>
          <w:sz w:val="20"/>
          <w:szCs w:val="20"/>
        </w:rPr>
        <w:t>Apidologie</w:t>
      </w:r>
      <w:r>
        <w:rPr>
          <w:sz w:val="20"/>
          <w:szCs w:val="20"/>
        </w:rPr>
        <w:t>, 45, 678–684.</w:t>
      </w:r>
    </w:p>
    <w:p>
      <w:pPr>
        <w:pStyle w:val="Normal"/>
        <w:spacing w:lineRule="auto" w:line="360"/>
        <w:ind w:left="360" w:hanging="360"/>
        <w:rPr/>
      </w:pPr>
      <w:r>
        <w:rPr>
          <w:sz w:val="20"/>
          <w:szCs w:val="20"/>
        </w:rPr>
        <w:t xml:space="preserve">Cane, J. H., Griswold, T., &amp; Parker, F. D. (2007). Substrates and materials used for nesting by North American </w:t>
      </w:r>
      <w:r>
        <w:rPr>
          <w:i/>
          <w:iCs/>
          <w:sz w:val="20"/>
          <w:szCs w:val="20"/>
        </w:rPr>
        <w:t>Osmia</w:t>
      </w:r>
      <w:r>
        <w:rPr>
          <w:sz w:val="20"/>
          <w:szCs w:val="20"/>
        </w:rPr>
        <w:t xml:space="preserve"> bees (Hymenoptera: Apiformes: Megachilidae). </w:t>
      </w:r>
      <w:r>
        <w:rPr>
          <w:i/>
          <w:iCs/>
          <w:sz w:val="20"/>
          <w:szCs w:val="20"/>
        </w:rPr>
        <w:t>Annals of the Entomological Society of America</w:t>
      </w:r>
      <w:r>
        <w:rPr>
          <w:sz w:val="20"/>
          <w:szCs w:val="20"/>
        </w:rPr>
        <w:t>, 100, 350–358.</w:t>
      </w:r>
    </w:p>
    <w:p>
      <w:pPr>
        <w:pStyle w:val="Normal"/>
        <w:spacing w:lineRule="auto" w:line="360"/>
        <w:ind w:left="360" w:hanging="360"/>
        <w:rPr/>
      </w:pPr>
      <w:r>
        <w:rPr>
          <w:sz w:val="20"/>
          <w:szCs w:val="20"/>
        </w:rPr>
        <w:t xml:space="preserve">Cane, J. H., &amp; Love, B. (2016). Floral guilds of bees in sagebrush steppe: comparing bee usage of wildflowers available for postfire restoration. </w:t>
      </w:r>
      <w:r>
        <w:rPr>
          <w:i/>
          <w:iCs/>
          <w:sz w:val="20"/>
          <w:szCs w:val="20"/>
        </w:rPr>
        <w:t>Natural Areas Journal</w:t>
      </w:r>
      <w:r>
        <w:rPr>
          <w:sz w:val="20"/>
          <w:szCs w:val="20"/>
        </w:rPr>
        <w:t>, 36, 377–391.</w:t>
      </w:r>
    </w:p>
    <w:p>
      <w:pPr>
        <w:pStyle w:val="Normal"/>
        <w:spacing w:lineRule="auto" w:line="360"/>
        <w:ind w:left="360" w:hanging="360"/>
        <w:rPr/>
      </w:pPr>
      <w:r>
        <w:rPr>
          <w:sz w:val="20"/>
          <w:szCs w:val="20"/>
        </w:rPr>
        <w:t xml:space="preserve">Clement, S. L. (1973). The nesting biology of </w:t>
      </w:r>
      <w:r>
        <w:rPr>
          <w:i/>
          <w:iCs/>
          <w:sz w:val="20"/>
          <w:szCs w:val="20"/>
        </w:rPr>
        <w:t xml:space="preserve">Melissodes </w:t>
      </w:r>
      <w:r>
        <w:rPr>
          <w:sz w:val="20"/>
          <w:szCs w:val="20"/>
        </w:rPr>
        <w:t>(</w:t>
      </w:r>
      <w:r>
        <w:rPr>
          <w:i/>
          <w:sz w:val="20"/>
          <w:szCs w:val="20"/>
        </w:rPr>
        <w:t>Eumelissodes</w:t>
      </w:r>
      <w:r>
        <w:rPr>
          <w:sz w:val="20"/>
          <w:szCs w:val="20"/>
        </w:rPr>
        <w:t xml:space="preserve">) </w:t>
      </w:r>
      <w:r>
        <w:rPr>
          <w:i/>
          <w:sz w:val="20"/>
          <w:szCs w:val="20"/>
        </w:rPr>
        <w:t>rustica</w:t>
      </w:r>
      <w:r>
        <w:rPr>
          <w:sz w:val="20"/>
          <w:szCs w:val="20"/>
        </w:rPr>
        <w:t xml:space="preserve"> (Say), with a description of the larva (Hymenoptera: Anthophoridae). </w:t>
      </w:r>
      <w:r>
        <w:rPr>
          <w:i/>
          <w:iCs/>
          <w:sz w:val="20"/>
          <w:szCs w:val="20"/>
        </w:rPr>
        <w:t>Journal of the Kansas Entomological Society</w:t>
      </w:r>
      <w:r>
        <w:rPr>
          <w:sz w:val="20"/>
          <w:szCs w:val="20"/>
        </w:rPr>
        <w:t>, 46, 516–525.</w:t>
      </w:r>
    </w:p>
    <w:p>
      <w:pPr>
        <w:pStyle w:val="Normal"/>
        <w:spacing w:lineRule="auto" w:line="360"/>
        <w:ind w:left="360" w:hanging="360"/>
        <w:rPr/>
      </w:pPr>
      <w:r>
        <w:rPr>
          <w:sz w:val="20"/>
          <w:szCs w:val="20"/>
        </w:rPr>
        <w:t xml:space="preserve">Clement, S.L. 1976. The biology of </w:t>
      </w:r>
      <w:r>
        <w:rPr>
          <w:i/>
          <w:iCs/>
          <w:sz w:val="20"/>
          <w:szCs w:val="20"/>
        </w:rPr>
        <w:t>Dianthidium heterulkei heterulkei</w:t>
      </w:r>
      <w:r>
        <w:rPr>
          <w:sz w:val="20"/>
          <w:szCs w:val="20"/>
        </w:rPr>
        <w:t xml:space="preserve"> Schwarz, with a description of the larva (Hymenoptera, Megachilidae). Wasmann Journal of Biology 34: 9–22.</w:t>
      </w:r>
    </w:p>
    <w:p>
      <w:pPr>
        <w:pStyle w:val="Normal"/>
        <w:spacing w:lineRule="auto" w:line="360"/>
        <w:ind w:left="360" w:hanging="360"/>
        <w:rPr/>
      </w:pPr>
      <w:r>
        <w:rPr>
          <w:sz w:val="20"/>
          <w:szCs w:val="20"/>
        </w:rPr>
        <w:t>Clement SL, Rust RW (1975) The biology of Hoplitis robusta (Hymenoptera: Megachilidae). Entomological News 86(5/6): 115-120.</w:t>
      </w:r>
    </w:p>
    <w:p>
      <w:pPr>
        <w:pStyle w:val="Normal"/>
        <w:spacing w:lineRule="auto" w:line="360"/>
        <w:ind w:left="360" w:hanging="360"/>
        <w:rPr/>
      </w:pPr>
      <w:r>
        <w:rPr>
          <w:sz w:val="20"/>
          <w:szCs w:val="20"/>
        </w:rPr>
        <w:t xml:space="preserve">Dolphin, R. E. (1971, January). Observations of </w:t>
      </w:r>
      <w:r>
        <w:rPr>
          <w:i/>
          <w:iCs/>
          <w:sz w:val="20"/>
          <w:szCs w:val="20"/>
        </w:rPr>
        <w:t>Halictus confusus</w:t>
      </w:r>
      <w:r>
        <w:rPr>
          <w:sz w:val="20"/>
          <w:szCs w:val="20"/>
        </w:rPr>
        <w:t xml:space="preserve"> Smith (Hymenoptera: Halictidae) on Woodland and Field Flowers. </w:t>
      </w:r>
      <w:r>
        <w:rPr>
          <w:i/>
          <w:iCs/>
          <w:sz w:val="20"/>
          <w:szCs w:val="20"/>
        </w:rPr>
        <w:t xml:space="preserve">Proceedings of the Indiana Academy of Science, </w:t>
      </w:r>
      <w:r>
        <w:rPr>
          <w:sz w:val="20"/>
          <w:szCs w:val="20"/>
        </w:rPr>
        <w:t>81, 182-186.</w:t>
      </w:r>
    </w:p>
    <w:p>
      <w:pPr>
        <w:pStyle w:val="Normal"/>
        <w:spacing w:lineRule="auto" w:line="360"/>
        <w:ind w:left="360" w:hanging="360"/>
        <w:rPr/>
      </w:pPr>
      <w:r>
        <w:rPr>
          <w:sz w:val="20"/>
          <w:szCs w:val="20"/>
        </w:rPr>
        <w:t xml:space="preserve">Dolphin, R. E. (1978). Associates of the native bee, </w:t>
      </w:r>
      <w:r>
        <w:rPr>
          <w:i/>
          <w:iCs/>
          <w:sz w:val="20"/>
          <w:szCs w:val="20"/>
        </w:rPr>
        <w:t xml:space="preserve">Halictus </w:t>
      </w:r>
      <w:r>
        <w:rPr>
          <w:sz w:val="20"/>
          <w:szCs w:val="20"/>
        </w:rPr>
        <w:t xml:space="preserve">(Seladonia) </w:t>
      </w:r>
      <w:r>
        <w:rPr>
          <w:i/>
          <w:iCs/>
          <w:sz w:val="20"/>
          <w:szCs w:val="20"/>
        </w:rPr>
        <w:t>confusus</w:t>
      </w:r>
      <w:r>
        <w:rPr>
          <w:sz w:val="20"/>
          <w:szCs w:val="20"/>
        </w:rPr>
        <w:t xml:space="preserve"> Smith (Hymenoptera: Halictidae). </w:t>
      </w:r>
      <w:r>
        <w:rPr>
          <w:i/>
          <w:iCs/>
          <w:sz w:val="20"/>
          <w:szCs w:val="20"/>
        </w:rPr>
        <w:t>Proceedings of the Indiana Academy of Science</w:t>
      </w:r>
      <w:r>
        <w:rPr>
          <w:sz w:val="20"/>
          <w:szCs w:val="20"/>
        </w:rPr>
        <w:t>, 88, 228–234.</w:t>
      </w:r>
    </w:p>
    <w:p>
      <w:pPr>
        <w:pStyle w:val="Normal"/>
        <w:spacing w:lineRule="auto" w:line="360"/>
        <w:ind w:left="360" w:hanging="360"/>
        <w:rPr/>
      </w:pPr>
      <w:r>
        <w:rPr>
          <w:sz w:val="20"/>
          <w:szCs w:val="20"/>
        </w:rPr>
        <w:t xml:space="preserve">Dumesh, S., &amp; Sheffield, C. S. (2012). Bees of the genus </w:t>
      </w:r>
      <w:r>
        <w:rPr>
          <w:i/>
          <w:iCs/>
          <w:sz w:val="20"/>
          <w:szCs w:val="20"/>
        </w:rPr>
        <w:t>Dufourea</w:t>
      </w:r>
      <w:r>
        <w:rPr>
          <w:sz w:val="20"/>
          <w:szCs w:val="20"/>
        </w:rPr>
        <w:t xml:space="preserve"> Lepeletier (Hymenoptera: Halictidae: Rophitinae) of Canada. </w:t>
      </w:r>
      <w:r>
        <w:rPr>
          <w:i/>
          <w:iCs/>
          <w:sz w:val="20"/>
          <w:szCs w:val="20"/>
        </w:rPr>
        <w:t>Canadian Journal of Arthropod Identification</w:t>
      </w:r>
      <w:r>
        <w:rPr>
          <w:sz w:val="20"/>
          <w:szCs w:val="20"/>
        </w:rPr>
        <w:t>, 20, 1–36.</w:t>
      </w:r>
    </w:p>
    <w:p>
      <w:pPr>
        <w:pStyle w:val="Normal"/>
        <w:spacing w:lineRule="auto" w:line="360"/>
        <w:ind w:left="360" w:hanging="360"/>
        <w:rPr/>
      </w:pPr>
      <w:r>
        <w:rPr>
          <w:sz w:val="20"/>
          <w:szCs w:val="20"/>
        </w:rPr>
        <w:t>Eickwort, G. C., Eickwort, M., Gordon, J., &amp; Eickwort, M. A. (1996). Solitary behavior in a high-altitude population of the social sweat bee</w:t>
      </w:r>
      <w:r>
        <w:rPr>
          <w:i/>
          <w:iCs/>
          <w:sz w:val="20"/>
          <w:szCs w:val="20"/>
        </w:rPr>
        <w:t xml:space="preserve"> Halictus rubicundus</w:t>
      </w:r>
      <w:r>
        <w:rPr>
          <w:sz w:val="20"/>
          <w:szCs w:val="20"/>
        </w:rPr>
        <w:t xml:space="preserve"> (Hymenoptera: Halictidae). </w:t>
      </w:r>
      <w:r>
        <w:rPr>
          <w:i/>
          <w:iCs/>
          <w:sz w:val="20"/>
          <w:szCs w:val="20"/>
        </w:rPr>
        <w:t>Behavioral Ecology and Sociobiology</w:t>
      </w:r>
      <w:r>
        <w:rPr>
          <w:sz w:val="20"/>
          <w:szCs w:val="20"/>
        </w:rPr>
        <w:t>, 38, 227–233.</w:t>
      </w:r>
    </w:p>
    <w:p>
      <w:pPr>
        <w:pStyle w:val="Normal"/>
        <w:spacing w:lineRule="auto" w:line="360"/>
        <w:ind w:left="360" w:hanging="360"/>
        <w:rPr/>
      </w:pPr>
      <w:r>
        <w:rPr>
          <w:sz w:val="20"/>
          <w:szCs w:val="20"/>
        </w:rPr>
        <w:t>Fye, R. E. (1965). Biology of Apoidea taken in trap nests in northwestern Ontario (Hymenoptera). The Canadian Entomologist, 97(8), 863-877.</w:t>
      </w:r>
    </w:p>
    <w:p>
      <w:pPr>
        <w:pStyle w:val="Normal"/>
        <w:spacing w:lineRule="auto" w:line="360"/>
        <w:ind w:left="360" w:hanging="360"/>
        <w:rPr/>
      </w:pPr>
      <w:r>
        <w:rPr>
          <w:sz w:val="20"/>
          <w:szCs w:val="20"/>
        </w:rPr>
        <w:t xml:space="preserve">Frohlich, D. R. (1983). On the nesting biology of </w:t>
      </w:r>
      <w:r>
        <w:rPr>
          <w:i/>
          <w:iCs/>
          <w:sz w:val="20"/>
          <w:szCs w:val="20"/>
        </w:rPr>
        <w:t>Osmia</w:t>
      </w:r>
      <w:r>
        <w:rPr>
          <w:sz w:val="20"/>
          <w:szCs w:val="20"/>
        </w:rPr>
        <w:t xml:space="preserve"> (Chenosmia) </w:t>
      </w:r>
      <w:r>
        <w:rPr>
          <w:i/>
          <w:iCs/>
          <w:sz w:val="20"/>
          <w:szCs w:val="20"/>
        </w:rPr>
        <w:t>bruneri</w:t>
      </w:r>
      <w:r>
        <w:rPr>
          <w:sz w:val="20"/>
          <w:szCs w:val="20"/>
        </w:rPr>
        <w:t xml:space="preserve"> (Hymenoptera: Megachilidae). </w:t>
      </w:r>
      <w:r>
        <w:rPr>
          <w:i/>
          <w:iCs/>
          <w:sz w:val="20"/>
          <w:szCs w:val="20"/>
        </w:rPr>
        <w:t>Journal of the Kansas Entomological Society</w:t>
      </w:r>
      <w:r>
        <w:rPr>
          <w:sz w:val="20"/>
          <w:szCs w:val="20"/>
        </w:rPr>
        <w:t>, 56, 123–130.</w:t>
      </w:r>
    </w:p>
    <w:p>
      <w:pPr>
        <w:pStyle w:val="Normal"/>
        <w:spacing w:lineRule="auto" w:line="360"/>
        <w:ind w:left="360" w:hanging="360"/>
        <w:rPr/>
      </w:pPr>
      <w:r>
        <w:rPr>
          <w:sz w:val="20"/>
          <w:szCs w:val="20"/>
        </w:rPr>
        <w:t xml:space="preserve">Gezon, Z. J., Wyman, E. S., Ascher, J. S., Inouye, D. W., &amp; Irwin, R. E. (2015). The effect of repeated, lethal sampling on wild bee abundance and diversity. </w:t>
      </w:r>
      <w:r>
        <w:rPr>
          <w:i/>
          <w:iCs/>
          <w:sz w:val="20"/>
          <w:szCs w:val="20"/>
        </w:rPr>
        <w:t>Methods in Ecology and Evolution</w:t>
      </w:r>
      <w:r>
        <w:rPr>
          <w:sz w:val="20"/>
          <w:szCs w:val="20"/>
        </w:rPr>
        <w:t>, 6, 1044–1054.</w:t>
      </w:r>
    </w:p>
    <w:p>
      <w:pPr>
        <w:pStyle w:val="Normal"/>
        <w:spacing w:lineRule="auto" w:line="360"/>
        <w:ind w:left="360" w:hanging="360"/>
        <w:rPr/>
      </w:pPr>
      <w:r>
        <w:rPr>
          <w:sz w:val="20"/>
          <w:szCs w:val="20"/>
        </w:rPr>
        <w:t xml:space="preserve">Gibbs, J. (2010). Revision of the metallic species of </w:t>
      </w:r>
      <w:r>
        <w:rPr>
          <w:i/>
          <w:iCs/>
          <w:sz w:val="20"/>
          <w:szCs w:val="20"/>
        </w:rPr>
        <w:t xml:space="preserve">Lasioglossum </w:t>
      </w:r>
      <w:r>
        <w:rPr>
          <w:sz w:val="20"/>
          <w:szCs w:val="20"/>
        </w:rPr>
        <w:t>(</w:t>
      </w:r>
      <w:r>
        <w:rPr>
          <w:i/>
          <w:iCs/>
          <w:sz w:val="20"/>
          <w:szCs w:val="20"/>
        </w:rPr>
        <w:t>Dialictus</w:t>
      </w:r>
      <w:r>
        <w:rPr>
          <w:sz w:val="20"/>
          <w:szCs w:val="20"/>
        </w:rPr>
        <w:t xml:space="preserve">) in Canada (Hymenoptera, Halictidae, Halictini). </w:t>
      </w:r>
      <w:r>
        <w:rPr>
          <w:i/>
          <w:iCs/>
          <w:sz w:val="20"/>
          <w:szCs w:val="20"/>
        </w:rPr>
        <w:t>Zootaxa</w:t>
      </w:r>
      <w:r>
        <w:rPr>
          <w:sz w:val="20"/>
          <w:szCs w:val="20"/>
        </w:rPr>
        <w:t>, 259, 1–382.</w:t>
      </w:r>
    </w:p>
    <w:p>
      <w:pPr>
        <w:pStyle w:val="Normal"/>
        <w:spacing w:lineRule="auto" w:line="360"/>
        <w:ind w:left="360" w:hanging="360"/>
        <w:rPr/>
      </w:pPr>
      <w:r>
        <w:rPr>
          <w:sz w:val="20"/>
          <w:szCs w:val="20"/>
        </w:rPr>
        <w:t xml:space="preserve">Gibbs, J., Ascher, J. S., Rightmyer, M. G., &amp; Isaacs, R. (2017). The bees of Michigan (Hymenoptera: Apoidea: Anthophila), with notes on distribution, taxonomy, pollination, and natural history. </w:t>
      </w:r>
      <w:r>
        <w:rPr>
          <w:i/>
          <w:iCs/>
          <w:sz w:val="20"/>
          <w:szCs w:val="20"/>
        </w:rPr>
        <w:t>Zootaxa</w:t>
      </w:r>
      <w:r>
        <w:rPr>
          <w:sz w:val="20"/>
          <w:szCs w:val="20"/>
        </w:rPr>
        <w:t>, 4352, 1–160.</w:t>
      </w:r>
    </w:p>
    <w:p>
      <w:pPr>
        <w:pStyle w:val="Normal"/>
        <w:spacing w:lineRule="auto" w:line="360"/>
        <w:ind w:left="360" w:hanging="360"/>
        <w:rPr/>
      </w:pPr>
      <w:r>
        <w:rPr>
          <w:sz w:val="20"/>
          <w:szCs w:val="20"/>
        </w:rPr>
        <w:t xml:space="preserve">Gibbs, J., Packer, L., Dumesh, S., &amp; Danforth, B. N. (2013). Revision and reclassification of </w:t>
      </w:r>
      <w:r>
        <w:rPr>
          <w:i/>
          <w:iCs/>
          <w:sz w:val="20"/>
          <w:szCs w:val="20"/>
        </w:rPr>
        <w:t>Lasioglossum (Evylaeus)</w:t>
      </w:r>
      <w:r>
        <w:rPr>
          <w:sz w:val="20"/>
          <w:szCs w:val="20"/>
        </w:rPr>
        <w:t xml:space="preserve">, </w:t>
      </w:r>
      <w:r>
        <w:rPr>
          <w:i/>
          <w:iCs/>
          <w:sz w:val="20"/>
          <w:szCs w:val="20"/>
        </w:rPr>
        <w:t xml:space="preserve">L. (Hemihalictus) </w:t>
      </w:r>
      <w:r>
        <w:rPr>
          <w:sz w:val="20"/>
          <w:szCs w:val="20"/>
        </w:rPr>
        <w:t xml:space="preserve">and </w:t>
      </w:r>
      <w:r>
        <w:rPr>
          <w:i/>
          <w:iCs/>
          <w:sz w:val="20"/>
          <w:szCs w:val="20"/>
        </w:rPr>
        <w:t>L. (Sphecodogastra)</w:t>
      </w:r>
      <w:r>
        <w:rPr>
          <w:sz w:val="20"/>
          <w:szCs w:val="20"/>
        </w:rPr>
        <w:t xml:space="preserve"> in eastern North America (Hymenoptera: Apoidea: Halictidae). </w:t>
      </w:r>
      <w:r>
        <w:rPr>
          <w:i/>
          <w:iCs/>
          <w:sz w:val="20"/>
          <w:szCs w:val="20"/>
        </w:rPr>
        <w:t>Zootaxa</w:t>
      </w:r>
      <w:r>
        <w:rPr>
          <w:sz w:val="20"/>
          <w:szCs w:val="20"/>
        </w:rPr>
        <w:t>, 3672, 1–116.</w:t>
      </w:r>
    </w:p>
    <w:p>
      <w:pPr>
        <w:pStyle w:val="Normal"/>
        <w:spacing w:lineRule="auto" w:line="360"/>
        <w:ind w:left="360" w:hanging="360"/>
        <w:rPr/>
      </w:pPr>
      <w:r>
        <w:rPr>
          <w:sz w:val="20"/>
          <w:szCs w:val="20"/>
        </w:rPr>
        <w:t>Harmon-Threatt, A. (2020). Influence of Nesting Characteristics on Health of Wild Bee Communities. Annual Review of Entomology, 65, 39-56.</w:t>
      </w:r>
    </w:p>
    <w:p>
      <w:pPr>
        <w:pStyle w:val="Normal"/>
        <w:spacing w:lineRule="auto" w:line="360"/>
        <w:ind w:left="360" w:hanging="360"/>
        <w:rPr/>
      </w:pPr>
      <w:r>
        <w:rPr>
          <w:sz w:val="20"/>
          <w:szCs w:val="20"/>
        </w:rPr>
        <w:t>Hefetz, A., Eickwort, G. C., Blum, M. S., Cane, J., &amp; Bohart, G. E. (1982). A comparative study of the exocrine products of cleptoparasitic bees (</w:t>
      </w:r>
      <w:r>
        <w:rPr>
          <w:i/>
          <w:iCs/>
          <w:sz w:val="20"/>
          <w:szCs w:val="20"/>
        </w:rPr>
        <w:t>Holcopasites</w:t>
      </w:r>
      <w:r>
        <w:rPr>
          <w:sz w:val="20"/>
          <w:szCs w:val="20"/>
        </w:rPr>
        <w:t>) and their hosts (</w:t>
      </w:r>
      <w:r>
        <w:rPr>
          <w:i/>
          <w:iCs/>
          <w:sz w:val="20"/>
          <w:szCs w:val="20"/>
        </w:rPr>
        <w:t>Calliopsis</w:t>
      </w:r>
      <w:r>
        <w:rPr>
          <w:sz w:val="20"/>
          <w:szCs w:val="20"/>
        </w:rPr>
        <w:t xml:space="preserve">) (Hymenoptera: Anthophoridae, Andrendae). </w:t>
      </w:r>
      <w:r>
        <w:rPr>
          <w:i/>
          <w:iCs/>
          <w:sz w:val="20"/>
          <w:szCs w:val="20"/>
        </w:rPr>
        <w:t>Journal of Chemical Ecology</w:t>
      </w:r>
      <w:r>
        <w:rPr>
          <w:sz w:val="20"/>
          <w:szCs w:val="20"/>
        </w:rPr>
        <w:t>, 8, 1389–1397.</w:t>
      </w:r>
    </w:p>
    <w:p>
      <w:pPr>
        <w:pStyle w:val="Normal"/>
        <w:spacing w:lineRule="auto" w:line="360"/>
        <w:ind w:left="360" w:hanging="360"/>
        <w:rPr/>
      </w:pPr>
      <w:r>
        <w:rPr>
          <w:sz w:val="20"/>
          <w:szCs w:val="20"/>
        </w:rPr>
        <w:t>Hicks, C. H. (1926). Nesting habits and parasites of certain bees of Boulder County, Colorado. University of Colorado Studies, 15, 217.</w:t>
      </w:r>
    </w:p>
    <w:p>
      <w:pPr>
        <w:pStyle w:val="Normal"/>
        <w:spacing w:lineRule="auto" w:line="360"/>
        <w:ind w:left="360" w:hanging="360"/>
        <w:rPr/>
      </w:pPr>
      <w:r>
        <w:rPr>
          <w:sz w:val="20"/>
          <w:szCs w:val="20"/>
        </w:rPr>
        <w:t xml:space="preserve">Hobbs, G. A. (1956). Ecology of the leaf-cutter bee </w:t>
      </w:r>
      <w:r>
        <w:rPr>
          <w:i/>
          <w:iCs/>
          <w:sz w:val="20"/>
          <w:szCs w:val="20"/>
        </w:rPr>
        <w:t>Megachile perihirta</w:t>
      </w:r>
      <w:r>
        <w:rPr>
          <w:sz w:val="20"/>
          <w:szCs w:val="20"/>
        </w:rPr>
        <w:t xml:space="preserve"> Ckll. (Hymenoptera: Megachilidae) in relation to production of alfalfa seed. </w:t>
      </w:r>
      <w:r>
        <w:rPr>
          <w:i/>
          <w:iCs/>
          <w:sz w:val="20"/>
          <w:szCs w:val="20"/>
        </w:rPr>
        <w:t>The Canadian Entomoloigst</w:t>
      </w:r>
      <w:r>
        <w:rPr>
          <w:sz w:val="20"/>
          <w:szCs w:val="20"/>
        </w:rPr>
        <w:t>, 3414, 625–631.</w:t>
      </w:r>
    </w:p>
    <w:p>
      <w:pPr>
        <w:pStyle w:val="Normal"/>
        <w:spacing w:lineRule="auto" w:line="360"/>
        <w:ind w:left="360" w:hanging="360"/>
        <w:rPr/>
      </w:pPr>
      <w:r>
        <w:rPr>
          <w:sz w:val="20"/>
          <w:szCs w:val="20"/>
        </w:rPr>
        <w:t xml:space="preserve">Hobbs, G. A., &amp; Lilly, C. E. (1954). Ecology of Species of </w:t>
      </w:r>
      <w:r>
        <w:rPr>
          <w:i/>
          <w:iCs/>
          <w:sz w:val="20"/>
          <w:szCs w:val="20"/>
        </w:rPr>
        <w:t xml:space="preserve">Megachile </w:t>
      </w:r>
      <w:r>
        <w:rPr>
          <w:sz w:val="20"/>
          <w:szCs w:val="20"/>
        </w:rPr>
        <w:t xml:space="preserve">Latreille in the mixed prairie region of southern Alberta with special reference to pollination of alfalfa. </w:t>
      </w:r>
      <w:r>
        <w:rPr>
          <w:i/>
          <w:iCs/>
          <w:sz w:val="20"/>
          <w:szCs w:val="20"/>
        </w:rPr>
        <w:t>Ecology</w:t>
      </w:r>
      <w:r>
        <w:rPr>
          <w:sz w:val="20"/>
          <w:szCs w:val="20"/>
        </w:rPr>
        <w:t>, 35, 453–462.</w:t>
      </w:r>
    </w:p>
    <w:p>
      <w:pPr>
        <w:pStyle w:val="Normal"/>
        <w:spacing w:lineRule="auto" w:line="360"/>
        <w:ind w:left="360" w:hanging="360"/>
        <w:rPr/>
      </w:pPr>
      <w:r>
        <w:rPr>
          <w:sz w:val="20"/>
          <w:szCs w:val="20"/>
        </w:rPr>
        <w:t xml:space="preserve">Hurd, P. D., Laberge, W. E., &amp; Linsley, E. G. (1980). </w:t>
      </w:r>
      <w:r>
        <w:rPr>
          <w:i/>
          <w:iCs/>
          <w:sz w:val="20"/>
          <w:szCs w:val="20"/>
        </w:rPr>
        <w:t>Principal sunflower bees of North America with emphasis on the southwestern United States (Hymenoptera: Apoidea)</w:t>
      </w:r>
      <w:r>
        <w:rPr>
          <w:sz w:val="20"/>
          <w:szCs w:val="20"/>
        </w:rPr>
        <w:t>. Smithsonian Institution Press, Washington,  D.C.</w:t>
      </w:r>
    </w:p>
    <w:p>
      <w:pPr>
        <w:pStyle w:val="Normal"/>
        <w:spacing w:lineRule="auto" w:line="360"/>
        <w:ind w:left="360" w:hanging="360"/>
        <w:rPr/>
      </w:pPr>
      <w:r>
        <w:rPr>
          <w:sz w:val="20"/>
          <w:szCs w:val="20"/>
        </w:rPr>
        <w:t xml:space="preserve">Jackson, R. C. (1966). Some intersectional hybrids and relationships in </w:t>
      </w:r>
      <w:r>
        <w:rPr>
          <w:i/>
          <w:iCs/>
          <w:sz w:val="20"/>
          <w:szCs w:val="20"/>
        </w:rPr>
        <w:t>Haplopappus</w:t>
      </w:r>
      <w:r>
        <w:rPr>
          <w:sz w:val="20"/>
          <w:szCs w:val="20"/>
        </w:rPr>
        <w:t xml:space="preserve">. </w:t>
      </w:r>
      <w:r>
        <w:rPr>
          <w:i/>
          <w:iCs/>
          <w:sz w:val="20"/>
          <w:szCs w:val="20"/>
        </w:rPr>
        <w:t>The University of Kansas Science Bulletin</w:t>
      </w:r>
      <w:r>
        <w:rPr>
          <w:sz w:val="20"/>
          <w:szCs w:val="20"/>
        </w:rPr>
        <w:t>, 475–485.</w:t>
      </w:r>
    </w:p>
    <w:p>
      <w:pPr>
        <w:pStyle w:val="Normal"/>
        <w:spacing w:lineRule="auto" w:line="360"/>
        <w:ind w:left="360" w:hanging="360"/>
        <w:rPr/>
      </w:pPr>
      <w:r>
        <w:rPr>
          <w:sz w:val="20"/>
          <w:szCs w:val="20"/>
        </w:rPr>
        <w:t>James, R. R., &amp; Pitts-Singer, T. L. (2008). Bee Pollination in Agricultural Ecosystems (pp. 219–222). Oxford University Press, New York, NY.</w:t>
      </w:r>
    </w:p>
    <w:p>
      <w:pPr>
        <w:pStyle w:val="Normal"/>
        <w:spacing w:lineRule="auto" w:line="360"/>
        <w:ind w:left="360" w:hanging="360"/>
        <w:rPr/>
      </w:pPr>
      <w:r>
        <w:rPr>
          <w:sz w:val="20"/>
          <w:szCs w:val="20"/>
        </w:rPr>
        <w:t xml:space="preserve">Jenkins, D. A., &amp; Matthews, R. W. (2004). Cavity-nesting Hymenoptera in disturbed habitats of Georgia and South Carolina: nest architecture and seasonal occurrence. </w:t>
      </w:r>
      <w:r>
        <w:rPr>
          <w:i/>
          <w:iCs/>
          <w:sz w:val="20"/>
          <w:szCs w:val="20"/>
        </w:rPr>
        <w:t>Journal of the Kansas Entomological Society</w:t>
      </w:r>
      <w:r>
        <w:rPr>
          <w:sz w:val="20"/>
          <w:szCs w:val="20"/>
        </w:rPr>
        <w:t>, 77, 203–214.</w:t>
      </w:r>
    </w:p>
    <w:p>
      <w:pPr>
        <w:pStyle w:val="Normal"/>
        <w:spacing w:lineRule="auto" w:line="360"/>
        <w:ind w:left="360" w:hanging="360"/>
        <w:rPr/>
      </w:pPr>
      <w:r>
        <w:rPr>
          <w:sz w:val="20"/>
          <w:szCs w:val="20"/>
        </w:rPr>
        <w:t>Krombein, K. V. (1967). Trap-nesting wasps and bees: life histories and nest associates. Smithsonian, Washington, D. C.</w:t>
      </w:r>
    </w:p>
    <w:p>
      <w:pPr>
        <w:pStyle w:val="Normal"/>
        <w:spacing w:lineRule="auto" w:line="360"/>
        <w:ind w:left="360" w:hanging="360"/>
        <w:rPr/>
      </w:pPr>
      <w:r>
        <w:rPr>
          <w:sz w:val="20"/>
          <w:szCs w:val="20"/>
        </w:rPr>
        <w:t xml:space="preserve">LaBerge, W. E. (1986). The zoogeography of </w:t>
      </w:r>
      <w:r>
        <w:rPr>
          <w:i/>
          <w:iCs/>
          <w:sz w:val="20"/>
          <w:szCs w:val="20"/>
        </w:rPr>
        <w:t>Andrena</w:t>
      </w:r>
      <w:r>
        <w:rPr>
          <w:sz w:val="20"/>
          <w:szCs w:val="20"/>
        </w:rPr>
        <w:t xml:space="preserve"> Fabricius (Hymenoptera: Andrenidae) of the Western Hemisphere. </w:t>
      </w:r>
      <w:r>
        <w:rPr>
          <w:i/>
          <w:iCs/>
          <w:sz w:val="20"/>
          <w:szCs w:val="20"/>
        </w:rPr>
        <w:t>Proceedings of the Ninth North American Prairie Conference</w:t>
      </w:r>
      <w:r>
        <w:rPr>
          <w:sz w:val="20"/>
          <w:szCs w:val="20"/>
        </w:rPr>
        <w:t>, 110, 110–115.</w:t>
      </w:r>
    </w:p>
    <w:p>
      <w:pPr>
        <w:pStyle w:val="Normal"/>
        <w:spacing w:lineRule="auto" w:line="360"/>
        <w:ind w:left="360" w:hanging="360"/>
        <w:rPr/>
      </w:pPr>
      <w:r>
        <w:rPr>
          <w:sz w:val="20"/>
          <w:szCs w:val="20"/>
        </w:rPr>
        <w:t>LaBerge, W. E., Ribble, D. W. 1975. A revision of the bees of the genus Andrena of the Western Hemisphere. Part VII. Subgenus Euandrena. Transactions of the American Entomological Society 101: 371-446.</w:t>
      </w:r>
    </w:p>
    <w:p>
      <w:pPr>
        <w:pStyle w:val="Normal"/>
        <w:spacing w:lineRule="auto" w:line="360"/>
        <w:ind w:left="360" w:hanging="360"/>
        <w:rPr/>
      </w:pPr>
      <w:r>
        <w:rPr>
          <w:sz w:val="20"/>
          <w:szCs w:val="20"/>
        </w:rPr>
        <w:t xml:space="preserve">Levin, M. D. (1966). Biological notes on </w:t>
      </w:r>
      <w:r>
        <w:rPr>
          <w:i/>
          <w:iCs/>
          <w:sz w:val="20"/>
          <w:szCs w:val="20"/>
        </w:rPr>
        <w:t>Osmia lignaria</w:t>
      </w:r>
      <w:r>
        <w:rPr>
          <w:sz w:val="20"/>
          <w:szCs w:val="20"/>
        </w:rPr>
        <w:t xml:space="preserve"> and </w:t>
      </w:r>
      <w:r>
        <w:rPr>
          <w:i/>
          <w:iCs/>
          <w:sz w:val="20"/>
          <w:szCs w:val="20"/>
        </w:rPr>
        <w:t>Osmia californica</w:t>
      </w:r>
      <w:r>
        <w:rPr>
          <w:sz w:val="20"/>
          <w:szCs w:val="20"/>
        </w:rPr>
        <w:t xml:space="preserve"> (Hymenoptera: Apoidea, Megachilidae). </w:t>
      </w:r>
      <w:r>
        <w:rPr>
          <w:i/>
          <w:iCs/>
          <w:sz w:val="20"/>
          <w:szCs w:val="20"/>
        </w:rPr>
        <w:t>Journal of the Kansas Entomological Society</w:t>
      </w:r>
      <w:r>
        <w:rPr>
          <w:sz w:val="20"/>
          <w:szCs w:val="20"/>
        </w:rPr>
        <w:t>, 39, 524–535.</w:t>
      </w:r>
    </w:p>
    <w:p>
      <w:pPr>
        <w:pStyle w:val="Normal"/>
        <w:spacing w:lineRule="auto" w:line="360"/>
        <w:ind w:left="360" w:hanging="360"/>
        <w:rPr/>
      </w:pPr>
      <w:r>
        <w:rPr>
          <w:sz w:val="20"/>
          <w:szCs w:val="20"/>
        </w:rPr>
        <w:t xml:space="preserve">McGinley, R. J. (1986). Studies of </w:t>
      </w:r>
      <w:r>
        <w:rPr>
          <w:i/>
          <w:iCs/>
          <w:sz w:val="20"/>
          <w:szCs w:val="20"/>
        </w:rPr>
        <w:t>Halictinae</w:t>
      </w:r>
      <w:r>
        <w:rPr>
          <w:sz w:val="20"/>
          <w:szCs w:val="20"/>
        </w:rPr>
        <w:t xml:space="preserve"> (Apoidea: Halictidae), I: revision of new world </w:t>
      </w:r>
      <w:r>
        <w:rPr>
          <w:i/>
          <w:iCs/>
          <w:sz w:val="20"/>
          <w:szCs w:val="20"/>
        </w:rPr>
        <w:t>Lasioglossum</w:t>
      </w:r>
      <w:r>
        <w:rPr>
          <w:sz w:val="20"/>
          <w:szCs w:val="20"/>
        </w:rPr>
        <w:t xml:space="preserve"> curtis. Smithsonian contributions to zoology.</w:t>
      </w:r>
    </w:p>
    <w:p>
      <w:pPr>
        <w:pStyle w:val="Normal"/>
        <w:spacing w:lineRule="auto" w:line="360"/>
        <w:ind w:left="360" w:hanging="360"/>
        <w:rPr/>
      </w:pPr>
      <w:r>
        <w:rPr>
          <w:sz w:val="20"/>
          <w:szCs w:val="20"/>
        </w:rPr>
        <w:t xml:space="preserve">Medler, J. T. (1964). </w:t>
      </w:r>
      <w:r>
        <w:rPr>
          <w:i/>
          <w:iCs/>
          <w:sz w:val="20"/>
          <w:szCs w:val="20"/>
        </w:rPr>
        <w:t>Anthophora (Clisodon) terminalis</w:t>
      </w:r>
      <w:r>
        <w:rPr>
          <w:sz w:val="20"/>
          <w:szCs w:val="20"/>
        </w:rPr>
        <w:t xml:space="preserve"> Cresson in trap-nests in Wisconsin (Hymenoptera: Anthophoridae). </w:t>
      </w:r>
      <w:r>
        <w:rPr>
          <w:i/>
          <w:iCs/>
          <w:sz w:val="20"/>
          <w:szCs w:val="20"/>
        </w:rPr>
        <w:t>The Canadian Entomoloigst</w:t>
      </w:r>
      <w:r>
        <w:rPr>
          <w:sz w:val="20"/>
          <w:szCs w:val="20"/>
        </w:rPr>
        <w:t>, 96, 1332–1336.</w:t>
      </w:r>
    </w:p>
    <w:p>
      <w:pPr>
        <w:pStyle w:val="Normal"/>
        <w:spacing w:lineRule="auto" w:line="360"/>
        <w:ind w:left="360" w:hanging="360"/>
        <w:rPr/>
      </w:pPr>
      <w:r>
        <w:rPr>
          <w:sz w:val="20"/>
          <w:szCs w:val="20"/>
        </w:rPr>
        <w:t xml:space="preserve">Medler, J. T., &amp; Koerber, T. W. (1958). Biology of </w:t>
      </w:r>
      <w:r>
        <w:rPr>
          <w:i/>
          <w:iCs/>
          <w:sz w:val="20"/>
          <w:szCs w:val="20"/>
        </w:rPr>
        <w:t>Megachile relativa</w:t>
      </w:r>
      <w:r>
        <w:rPr>
          <w:sz w:val="20"/>
          <w:szCs w:val="20"/>
        </w:rPr>
        <w:t xml:space="preserve"> Cresson (Hymenoptera, Megachilidae) in trap-nests in Wisconsin. </w:t>
      </w:r>
      <w:r>
        <w:rPr>
          <w:i/>
          <w:iCs/>
          <w:sz w:val="20"/>
          <w:szCs w:val="20"/>
        </w:rPr>
        <w:t>Annals of the Entomological Society of America</w:t>
      </w:r>
      <w:r>
        <w:rPr>
          <w:sz w:val="20"/>
          <w:szCs w:val="20"/>
        </w:rPr>
        <w:t>, 51, 337–344.</w:t>
      </w:r>
    </w:p>
    <w:p>
      <w:pPr>
        <w:pStyle w:val="Normal"/>
        <w:spacing w:lineRule="auto" w:line="360"/>
        <w:ind w:left="360" w:hanging="360"/>
        <w:rPr/>
      </w:pPr>
      <w:r>
        <w:rPr>
          <w:sz w:val="20"/>
          <w:szCs w:val="20"/>
        </w:rPr>
        <w:t xml:space="preserve">Melander, A. L. (1902). The nesting habits of </w:t>
      </w:r>
      <w:r>
        <w:rPr>
          <w:i/>
          <w:iCs/>
          <w:sz w:val="20"/>
          <w:szCs w:val="20"/>
        </w:rPr>
        <w:t>Anthidium</w:t>
      </w:r>
      <w:r>
        <w:rPr>
          <w:sz w:val="20"/>
          <w:szCs w:val="20"/>
        </w:rPr>
        <w:t xml:space="preserve">. </w:t>
      </w:r>
      <w:r>
        <w:rPr>
          <w:i/>
          <w:iCs/>
          <w:sz w:val="20"/>
          <w:szCs w:val="20"/>
        </w:rPr>
        <w:t>Biological Bulletin</w:t>
      </w:r>
      <w:r>
        <w:rPr>
          <w:sz w:val="20"/>
          <w:szCs w:val="20"/>
        </w:rPr>
        <w:t>, 3, 27–32.</w:t>
      </w:r>
    </w:p>
    <w:p>
      <w:pPr>
        <w:pStyle w:val="Normal"/>
        <w:spacing w:lineRule="auto" w:line="360"/>
        <w:ind w:left="360" w:hanging="360"/>
        <w:rPr/>
      </w:pPr>
      <w:r>
        <w:rPr>
          <w:sz w:val="20"/>
          <w:szCs w:val="20"/>
        </w:rPr>
        <w:t xml:space="preserve">Michener, C. D. (1936). Western bees of the genus </w:t>
      </w:r>
      <w:r>
        <w:rPr>
          <w:i/>
          <w:iCs/>
          <w:sz w:val="20"/>
          <w:szCs w:val="20"/>
        </w:rPr>
        <w:t>Ceratina</w:t>
      </w:r>
      <w:r>
        <w:rPr>
          <w:sz w:val="20"/>
          <w:szCs w:val="20"/>
        </w:rPr>
        <w:t xml:space="preserve">, subgenus </w:t>
      </w:r>
      <w:r>
        <w:rPr>
          <w:i/>
          <w:iCs/>
          <w:sz w:val="20"/>
          <w:szCs w:val="20"/>
        </w:rPr>
        <w:t>Zaodontomerus</w:t>
      </w:r>
      <w:r>
        <w:rPr>
          <w:sz w:val="20"/>
          <w:szCs w:val="20"/>
        </w:rPr>
        <w:t>. American Museum Novitates, 844, 2–13.</w:t>
      </w:r>
    </w:p>
    <w:p>
      <w:pPr>
        <w:pStyle w:val="Normal"/>
        <w:spacing w:lineRule="auto" w:line="360"/>
        <w:ind w:left="360" w:hanging="360"/>
        <w:rPr/>
      </w:pPr>
      <w:r>
        <w:rPr>
          <w:sz w:val="20"/>
          <w:szCs w:val="20"/>
        </w:rPr>
        <w:t>Miliczky, E. (1991). Observations on the nesting biology of three species of p</w:t>
      </w:r>
      <w:r>
        <w:rPr>
          <w:i/>
          <w:iCs/>
          <w:sz w:val="20"/>
          <w:szCs w:val="20"/>
        </w:rPr>
        <w:t>anurgine</w:t>
      </w:r>
      <w:r>
        <w:rPr>
          <w:sz w:val="20"/>
          <w:szCs w:val="20"/>
        </w:rPr>
        <w:t xml:space="preserve"> bees (Hymenoptera: Andrenidae). </w:t>
      </w:r>
      <w:r>
        <w:rPr>
          <w:i/>
          <w:iCs/>
          <w:sz w:val="20"/>
          <w:szCs w:val="20"/>
        </w:rPr>
        <w:t>Journal of the Kansas Entomological Society</w:t>
      </w:r>
      <w:r>
        <w:rPr>
          <w:sz w:val="20"/>
          <w:szCs w:val="20"/>
        </w:rPr>
        <w:t>, 64, 80–87.</w:t>
      </w:r>
    </w:p>
    <w:p>
      <w:pPr>
        <w:pStyle w:val="Normal"/>
        <w:spacing w:lineRule="auto" w:line="360"/>
        <w:ind w:left="360" w:hanging="360"/>
        <w:rPr/>
      </w:pPr>
      <w:r>
        <w:rPr>
          <w:sz w:val="20"/>
          <w:szCs w:val="20"/>
        </w:rPr>
        <w:t>Miliczky, E. (2008). Observations on the nesting biology of</w:t>
      </w:r>
      <w:r>
        <w:rPr>
          <w:i/>
          <w:iCs/>
          <w:sz w:val="20"/>
          <w:szCs w:val="20"/>
        </w:rPr>
        <w:t xml:space="preserve"> Andrena (Plastandrena) prunorum</w:t>
      </w:r>
      <w:r>
        <w:rPr>
          <w:sz w:val="20"/>
          <w:szCs w:val="20"/>
        </w:rPr>
        <w:t xml:space="preserve"> Cockerell in Washington State (Hymenoptera: Andrenidae). </w:t>
      </w:r>
      <w:r>
        <w:rPr>
          <w:i/>
          <w:iCs/>
          <w:sz w:val="20"/>
          <w:szCs w:val="20"/>
        </w:rPr>
        <w:t>Journal of the Kansas Entomological Society</w:t>
      </w:r>
      <w:r>
        <w:rPr>
          <w:sz w:val="20"/>
          <w:szCs w:val="20"/>
        </w:rPr>
        <w:t>, 81, 110–121.</w:t>
      </w:r>
    </w:p>
    <w:p>
      <w:pPr>
        <w:pStyle w:val="Normal"/>
        <w:spacing w:lineRule="auto" w:line="360"/>
        <w:ind w:left="360" w:hanging="360"/>
        <w:rPr/>
      </w:pPr>
      <w:r>
        <w:rPr>
          <w:sz w:val="20"/>
          <w:szCs w:val="20"/>
        </w:rPr>
        <w:t>Mitchell, T.B. 1960 Bees of the Eastern United States. North Carolina Agricultural Experiment Station Technical Bulletin No. 141.</w:t>
      </w:r>
    </w:p>
    <w:p>
      <w:pPr>
        <w:pStyle w:val="Normal"/>
        <w:spacing w:lineRule="auto" w:line="360"/>
        <w:ind w:left="360" w:hanging="360"/>
        <w:rPr/>
      </w:pPr>
      <w:r>
        <w:rPr>
          <w:sz w:val="20"/>
          <w:szCs w:val="20"/>
        </w:rPr>
        <w:t>Mitchell, T. B. (1962). Bees of the eastern United States. II Technical bulletin. North Carolina Agricultural Experiment Station, 152, 1-557.</w:t>
      </w:r>
    </w:p>
    <w:p>
      <w:pPr>
        <w:pStyle w:val="Normal"/>
        <w:spacing w:lineRule="auto" w:line="360"/>
        <w:ind w:left="360" w:hanging="360"/>
        <w:rPr/>
      </w:pPr>
      <w:r>
        <w:rPr>
          <w:sz w:val="20"/>
          <w:szCs w:val="20"/>
        </w:rPr>
        <w:t xml:space="preserve">Müller, A. (2018). Pollen host selection by predominantly alpine bee species of the genera </w:t>
      </w:r>
      <w:r>
        <w:rPr>
          <w:i/>
          <w:iCs/>
          <w:sz w:val="20"/>
          <w:szCs w:val="20"/>
        </w:rPr>
        <w:t>Andrena</w:t>
      </w:r>
      <w:r>
        <w:rPr>
          <w:sz w:val="20"/>
          <w:szCs w:val="20"/>
        </w:rPr>
        <w:t xml:space="preserve">, </w:t>
      </w:r>
      <w:r>
        <w:rPr>
          <w:i/>
          <w:iCs/>
          <w:sz w:val="20"/>
          <w:szCs w:val="20"/>
        </w:rPr>
        <w:t>Panurginus</w:t>
      </w:r>
      <w:r>
        <w:rPr>
          <w:sz w:val="20"/>
          <w:szCs w:val="20"/>
        </w:rPr>
        <w:t xml:space="preserve">, </w:t>
      </w:r>
      <w:r>
        <w:rPr>
          <w:i/>
          <w:iCs/>
          <w:sz w:val="20"/>
          <w:szCs w:val="20"/>
        </w:rPr>
        <w:t>Dufourea</w:t>
      </w:r>
      <w:r>
        <w:rPr>
          <w:sz w:val="20"/>
          <w:szCs w:val="20"/>
        </w:rPr>
        <w:t xml:space="preserve">, </w:t>
      </w:r>
      <w:r>
        <w:rPr>
          <w:i/>
          <w:iCs/>
          <w:sz w:val="20"/>
          <w:szCs w:val="20"/>
        </w:rPr>
        <w:t>Megachile</w:t>
      </w:r>
      <w:r>
        <w:rPr>
          <w:sz w:val="20"/>
          <w:szCs w:val="20"/>
        </w:rPr>
        <w:t xml:space="preserve">, </w:t>
      </w:r>
      <w:r>
        <w:rPr>
          <w:i/>
          <w:iCs/>
          <w:sz w:val="20"/>
          <w:szCs w:val="20"/>
        </w:rPr>
        <w:t>Hoplitis</w:t>
      </w:r>
      <w:r>
        <w:rPr>
          <w:sz w:val="20"/>
          <w:szCs w:val="20"/>
        </w:rPr>
        <w:t xml:space="preserve"> and </w:t>
      </w:r>
      <w:r>
        <w:rPr>
          <w:i/>
          <w:iCs/>
          <w:sz w:val="20"/>
          <w:szCs w:val="20"/>
        </w:rPr>
        <w:t>Osmia</w:t>
      </w:r>
      <w:r>
        <w:rPr>
          <w:sz w:val="20"/>
          <w:szCs w:val="20"/>
        </w:rPr>
        <w:t xml:space="preserve"> (Hymenoptera, Apoidea). </w:t>
      </w:r>
      <w:r>
        <w:rPr>
          <w:i/>
          <w:iCs/>
          <w:sz w:val="20"/>
          <w:szCs w:val="20"/>
        </w:rPr>
        <w:t>Alpine Entomology</w:t>
      </w:r>
      <w:r>
        <w:rPr>
          <w:sz w:val="20"/>
          <w:szCs w:val="20"/>
        </w:rPr>
        <w:t>, 2, 101–113.</w:t>
      </w:r>
    </w:p>
    <w:p>
      <w:pPr>
        <w:pStyle w:val="Normal"/>
        <w:spacing w:lineRule="auto" w:line="360"/>
        <w:ind w:left="360" w:hanging="360"/>
        <w:rPr/>
      </w:pPr>
      <w:r>
        <w:rPr>
          <w:sz w:val="20"/>
          <w:szCs w:val="20"/>
        </w:rPr>
        <w:t xml:space="preserve">Müller A, Richter H (2018). Dual function of </w:t>
      </w:r>
      <w:r>
        <w:rPr>
          <w:i/>
          <w:iCs/>
          <w:sz w:val="20"/>
          <w:szCs w:val="20"/>
        </w:rPr>
        <w:t>Potentilla</w:t>
      </w:r>
      <w:r>
        <w:rPr>
          <w:sz w:val="20"/>
          <w:szCs w:val="20"/>
        </w:rPr>
        <w:t xml:space="preserve"> (Rosaceae) in the life history of the rare boreoalpine osmiine bee </w:t>
      </w:r>
      <w:r>
        <w:rPr>
          <w:i/>
          <w:iCs/>
          <w:sz w:val="20"/>
          <w:szCs w:val="20"/>
        </w:rPr>
        <w:t>Hoplitis</w:t>
      </w:r>
      <w:r>
        <w:rPr>
          <w:sz w:val="20"/>
          <w:szCs w:val="20"/>
        </w:rPr>
        <w:t xml:space="preserve"> (Formicapis) </w:t>
      </w:r>
      <w:r>
        <w:rPr>
          <w:i/>
          <w:iCs/>
          <w:sz w:val="20"/>
          <w:szCs w:val="20"/>
        </w:rPr>
        <w:t>robusta</w:t>
      </w:r>
      <w:r>
        <w:rPr>
          <w:sz w:val="20"/>
          <w:szCs w:val="20"/>
        </w:rPr>
        <w:t xml:space="preserve"> (Hymenoptera, Megachilidae). </w:t>
      </w:r>
      <w:r>
        <w:rPr>
          <w:i/>
          <w:iCs/>
          <w:sz w:val="20"/>
          <w:szCs w:val="20"/>
        </w:rPr>
        <w:t>Alpine Entomology</w:t>
      </w:r>
      <w:r>
        <w:rPr>
          <w:sz w:val="20"/>
          <w:szCs w:val="20"/>
        </w:rPr>
        <w:t xml:space="preserve"> 2: 139–147.</w:t>
      </w:r>
    </w:p>
    <w:p>
      <w:pPr>
        <w:pStyle w:val="Normal"/>
        <w:spacing w:lineRule="auto" w:line="360"/>
        <w:ind w:left="360" w:hanging="360"/>
        <w:rPr/>
      </w:pPr>
      <w:r>
        <w:rPr>
          <w:sz w:val="20"/>
          <w:szCs w:val="20"/>
        </w:rPr>
        <w:t xml:space="preserve">Müller A, Mauss V (2016) Palaearctic </w:t>
      </w:r>
      <w:r>
        <w:rPr>
          <w:i/>
          <w:iCs/>
          <w:sz w:val="20"/>
          <w:szCs w:val="20"/>
        </w:rPr>
        <w:t>Hoplitis</w:t>
      </w:r>
      <w:r>
        <w:rPr>
          <w:sz w:val="20"/>
          <w:szCs w:val="20"/>
        </w:rPr>
        <w:t xml:space="preserve"> bees of the subgenera </w:t>
      </w:r>
      <w:r>
        <w:rPr>
          <w:i/>
          <w:iCs/>
          <w:sz w:val="20"/>
          <w:szCs w:val="20"/>
        </w:rPr>
        <w:t>Formicapis</w:t>
      </w:r>
      <w:r>
        <w:rPr>
          <w:sz w:val="20"/>
          <w:szCs w:val="20"/>
        </w:rPr>
        <w:t xml:space="preserve"> and </w:t>
      </w:r>
      <w:r>
        <w:rPr>
          <w:i/>
          <w:iCs/>
          <w:sz w:val="20"/>
          <w:szCs w:val="20"/>
        </w:rPr>
        <w:t>Tkalcua</w:t>
      </w:r>
      <w:r>
        <w:rPr>
          <w:sz w:val="20"/>
          <w:szCs w:val="20"/>
        </w:rPr>
        <w:t xml:space="preserve"> (Megachilidae, Osmiini): biology, taxonomy and key to species. Zootaxa 4127(1): 105-120. http://dx.doi.org/10.11646/zootaxa.4127.1.5</w:t>
      </w:r>
    </w:p>
    <w:p>
      <w:pPr>
        <w:pStyle w:val="Normal"/>
        <w:spacing w:lineRule="auto" w:line="360"/>
        <w:ind w:left="360" w:hanging="360"/>
        <w:rPr/>
      </w:pPr>
      <w:r>
        <w:rPr>
          <w:sz w:val="20"/>
          <w:szCs w:val="20"/>
        </w:rPr>
        <w:t xml:space="preserve">Packer, L. (1994). </w:t>
      </w:r>
      <w:r>
        <w:rPr>
          <w:i/>
          <w:iCs/>
          <w:sz w:val="20"/>
          <w:szCs w:val="20"/>
        </w:rPr>
        <w:t xml:space="preserve">Lasioglossum (Dialictus) tenax </w:t>
      </w:r>
      <w:r>
        <w:rPr>
          <w:sz w:val="20"/>
          <w:szCs w:val="20"/>
        </w:rPr>
        <w:t xml:space="preserve">(Sandhouse) (Hymenoptera: Halictidae) as a solitary sweat bee. </w:t>
      </w:r>
      <w:r>
        <w:rPr>
          <w:i/>
          <w:iCs/>
          <w:sz w:val="20"/>
          <w:szCs w:val="20"/>
        </w:rPr>
        <w:t>Insect Society</w:t>
      </w:r>
      <w:r>
        <w:rPr>
          <w:sz w:val="20"/>
          <w:szCs w:val="20"/>
        </w:rPr>
        <w:t>, 41, 309–313.</w:t>
      </w:r>
    </w:p>
    <w:p>
      <w:pPr>
        <w:pStyle w:val="Normal"/>
        <w:spacing w:lineRule="auto" w:line="360"/>
        <w:ind w:left="360" w:hanging="360"/>
        <w:rPr/>
      </w:pPr>
      <w:r>
        <w:rPr>
          <w:sz w:val="20"/>
          <w:szCs w:val="20"/>
        </w:rPr>
        <w:t xml:space="preserve">Packer, L., Genaro, J. A., &amp; Sheffield, C. S. (2007). The bee genera of Eastern Canada. </w:t>
      </w:r>
      <w:r>
        <w:rPr>
          <w:i/>
          <w:iCs/>
          <w:sz w:val="20"/>
          <w:szCs w:val="20"/>
        </w:rPr>
        <w:t>Canadian Journal of Arthropod Identification</w:t>
      </w:r>
      <w:r>
        <w:rPr>
          <w:sz w:val="20"/>
          <w:szCs w:val="20"/>
        </w:rPr>
        <w:t>, 3, 1–32.</w:t>
      </w:r>
    </w:p>
    <w:p>
      <w:pPr>
        <w:pStyle w:val="Normal"/>
        <w:spacing w:lineRule="auto" w:line="360"/>
        <w:ind w:left="360" w:hanging="360"/>
        <w:rPr/>
      </w:pPr>
      <w:r>
        <w:rPr>
          <w:sz w:val="20"/>
          <w:szCs w:val="20"/>
        </w:rPr>
        <w:t xml:space="preserve">Pengelly, D. H. (1955). The biology of bees of the genus </w:t>
      </w:r>
      <w:r>
        <w:rPr>
          <w:i/>
          <w:iCs/>
          <w:sz w:val="20"/>
          <w:szCs w:val="20"/>
        </w:rPr>
        <w:t>Megachile</w:t>
      </w:r>
      <w:r>
        <w:rPr>
          <w:sz w:val="20"/>
          <w:szCs w:val="20"/>
        </w:rPr>
        <w:t xml:space="preserve"> with special reference to their importance in alfalfa seed production in southern Ontario. Cornell University Press.</w:t>
      </w:r>
    </w:p>
    <w:p>
      <w:pPr>
        <w:pStyle w:val="Normal"/>
        <w:spacing w:lineRule="auto" w:line="360"/>
        <w:ind w:left="360" w:hanging="360"/>
        <w:rPr/>
      </w:pPr>
      <w:r>
        <w:rPr>
          <w:sz w:val="20"/>
          <w:szCs w:val="20"/>
        </w:rPr>
        <w:t>Pesenko, Y.A., and Y.V. Astafurova. 2006. Contributions to the Halictidae fauna of the Eastern Palaearctic Region: subfamily Rophitinae (Hymenoptera: Halictidae). Entomofauna 27: 317-356.</w:t>
      </w:r>
    </w:p>
    <w:p>
      <w:pPr>
        <w:pStyle w:val="Normal"/>
        <w:spacing w:lineRule="auto" w:line="360"/>
        <w:ind w:left="360" w:hanging="360"/>
        <w:rPr/>
      </w:pPr>
      <w:r>
        <w:rPr>
          <w:sz w:val="20"/>
          <w:szCs w:val="20"/>
        </w:rPr>
        <w:t xml:space="preserve">Richards, M. H., Vickruck, J. L., &amp; Rehan, S. M. (2010). Colony social organisation of </w:t>
      </w:r>
      <w:r>
        <w:rPr>
          <w:i/>
          <w:iCs/>
          <w:sz w:val="20"/>
          <w:szCs w:val="20"/>
        </w:rPr>
        <w:t>Halictus confusus</w:t>
      </w:r>
      <w:r>
        <w:rPr>
          <w:sz w:val="20"/>
          <w:szCs w:val="20"/>
        </w:rPr>
        <w:t xml:space="preserve"> in southern Ontario, with comments on sociality in the subgenus </w:t>
      </w:r>
      <w:r>
        <w:rPr>
          <w:i/>
          <w:iCs/>
          <w:sz w:val="20"/>
          <w:szCs w:val="20"/>
        </w:rPr>
        <w:t>H. (Seladonia)</w:t>
      </w:r>
      <w:r>
        <w:rPr>
          <w:sz w:val="20"/>
          <w:szCs w:val="20"/>
        </w:rPr>
        <w:t>. Journal of Hymenoptera Research, 19(1), 144-158.</w:t>
      </w:r>
    </w:p>
    <w:p>
      <w:pPr>
        <w:pStyle w:val="Normal"/>
        <w:spacing w:lineRule="auto" w:line="360"/>
        <w:ind w:left="360" w:hanging="360"/>
        <w:rPr/>
      </w:pPr>
      <w:r>
        <w:rPr>
          <w:sz w:val="20"/>
          <w:szCs w:val="20"/>
        </w:rPr>
        <w:t xml:space="preserve">Rightmyer, M. G., Griswold, T., &amp; Brady, S. G. (2013). Phylogeny and systematics of the bee genus </w:t>
      </w:r>
      <w:r>
        <w:rPr>
          <w:i/>
          <w:iCs/>
          <w:sz w:val="20"/>
          <w:szCs w:val="20"/>
        </w:rPr>
        <w:t>Osmia</w:t>
      </w:r>
      <w:r>
        <w:rPr>
          <w:sz w:val="20"/>
          <w:szCs w:val="20"/>
        </w:rPr>
        <w:t xml:space="preserve"> (Hymenoptera: Megachilidae) with emphasis on North American </w:t>
      </w:r>
      <w:r>
        <w:rPr>
          <w:i/>
          <w:iCs/>
          <w:sz w:val="20"/>
          <w:szCs w:val="20"/>
        </w:rPr>
        <w:t>Melanosmia</w:t>
      </w:r>
      <w:r>
        <w:rPr>
          <w:sz w:val="20"/>
          <w:szCs w:val="20"/>
        </w:rPr>
        <w:t xml:space="preserve">: subgenera, synonymies and nesting biology revisited. </w:t>
      </w:r>
      <w:r>
        <w:rPr>
          <w:i/>
          <w:iCs/>
          <w:sz w:val="20"/>
          <w:szCs w:val="20"/>
        </w:rPr>
        <w:t>Systematic Entomology</w:t>
      </w:r>
      <w:r>
        <w:rPr>
          <w:sz w:val="20"/>
          <w:szCs w:val="20"/>
        </w:rPr>
        <w:t>, 38, 561–576.</w:t>
      </w:r>
    </w:p>
    <w:p>
      <w:pPr>
        <w:pStyle w:val="Normal"/>
        <w:spacing w:lineRule="auto" w:line="360"/>
        <w:ind w:left="360" w:hanging="360"/>
        <w:rPr/>
      </w:pPr>
      <w:r>
        <w:rPr>
          <w:sz w:val="20"/>
          <w:szCs w:val="20"/>
        </w:rPr>
        <w:t xml:space="preserve">Roberts, R. B. (1973a). Bees of Northwestern America: </w:t>
      </w:r>
      <w:r>
        <w:rPr>
          <w:i/>
          <w:iCs/>
          <w:sz w:val="20"/>
          <w:szCs w:val="20"/>
        </w:rPr>
        <w:t>Agapostemon</w:t>
      </w:r>
      <w:r>
        <w:rPr>
          <w:sz w:val="20"/>
          <w:szCs w:val="20"/>
        </w:rPr>
        <w:t xml:space="preserve">. </w:t>
      </w:r>
      <w:r>
        <w:rPr>
          <w:i/>
          <w:iCs/>
          <w:sz w:val="20"/>
          <w:szCs w:val="20"/>
        </w:rPr>
        <w:t>Oregon State University Agricultural Experiment Station</w:t>
      </w:r>
      <w:r>
        <w:rPr>
          <w:sz w:val="20"/>
          <w:szCs w:val="20"/>
        </w:rPr>
        <w:t>, 125, 1–23.</w:t>
      </w:r>
    </w:p>
    <w:p>
      <w:pPr>
        <w:pStyle w:val="Normal"/>
        <w:spacing w:lineRule="auto" w:line="360"/>
        <w:ind w:left="360" w:hanging="360"/>
        <w:rPr/>
      </w:pPr>
      <w:r>
        <w:rPr>
          <w:sz w:val="20"/>
          <w:szCs w:val="20"/>
        </w:rPr>
        <w:t xml:space="preserve">Roberts, R. B. (1973b). Bees of Northwestern America: </w:t>
      </w:r>
      <w:r>
        <w:rPr>
          <w:i/>
          <w:iCs/>
          <w:sz w:val="20"/>
          <w:szCs w:val="20"/>
        </w:rPr>
        <w:t>Halictus</w:t>
      </w:r>
      <w:r>
        <w:rPr>
          <w:sz w:val="20"/>
          <w:szCs w:val="20"/>
        </w:rPr>
        <w:t>. Oregon State University Agricultural Experiment Station, 1–23.</w:t>
      </w:r>
    </w:p>
    <w:p>
      <w:pPr>
        <w:pStyle w:val="Normal"/>
        <w:spacing w:lineRule="auto" w:line="360"/>
        <w:ind w:left="360" w:hanging="360"/>
        <w:rPr/>
      </w:pPr>
      <w:r>
        <w:rPr>
          <w:sz w:val="20"/>
          <w:szCs w:val="20"/>
        </w:rPr>
        <w:t xml:space="preserve">Scott, V. (1996). Pollen selection by three species of </w:t>
      </w:r>
      <w:r>
        <w:rPr>
          <w:i/>
          <w:iCs/>
          <w:sz w:val="20"/>
          <w:szCs w:val="20"/>
        </w:rPr>
        <w:t>Hylaeus</w:t>
      </w:r>
      <w:r>
        <w:rPr>
          <w:sz w:val="20"/>
          <w:szCs w:val="20"/>
        </w:rPr>
        <w:t xml:space="preserve"> in Michigan (Hymenoptera: Colletidae). </w:t>
      </w:r>
      <w:r>
        <w:rPr>
          <w:i/>
          <w:iCs/>
          <w:sz w:val="20"/>
          <w:szCs w:val="20"/>
        </w:rPr>
        <w:t>Journal of the Kansas Entomological Society</w:t>
      </w:r>
      <w:r>
        <w:rPr>
          <w:sz w:val="20"/>
          <w:szCs w:val="20"/>
        </w:rPr>
        <w:t>, 69, 195–200.</w:t>
      </w:r>
    </w:p>
    <w:p>
      <w:pPr>
        <w:pStyle w:val="Normal"/>
        <w:spacing w:lineRule="auto" w:line="360"/>
        <w:ind w:left="360" w:hanging="360"/>
        <w:rPr/>
      </w:pPr>
      <w:r>
        <w:rPr>
          <w:sz w:val="20"/>
          <w:szCs w:val="20"/>
        </w:rPr>
        <w:t xml:space="preserve">Sheffield, C. S. (2008). Summer bees for spring crops? Potential problems with </w:t>
      </w:r>
      <w:r>
        <w:rPr>
          <w:i/>
          <w:iCs/>
          <w:sz w:val="20"/>
          <w:szCs w:val="20"/>
        </w:rPr>
        <w:t>Megachile rotundata</w:t>
      </w:r>
      <w:r>
        <w:rPr>
          <w:sz w:val="20"/>
          <w:szCs w:val="20"/>
        </w:rPr>
        <w:t xml:space="preserve"> (Fab.)(Hymenoptera: Megachilidae) as a pollinator of lowbush blueberry (Ericaceae). Journal of the Kansas Entomological Society, 81(3), 276-287.</w:t>
      </w:r>
    </w:p>
    <w:p>
      <w:pPr>
        <w:pStyle w:val="Normal"/>
        <w:spacing w:lineRule="auto" w:line="360"/>
        <w:ind w:left="360" w:hanging="360"/>
        <w:rPr/>
      </w:pPr>
      <w:r>
        <w:rPr>
          <w:sz w:val="20"/>
          <w:szCs w:val="20"/>
        </w:rPr>
        <w:t xml:space="preserve">Sheffield, C. S., Frier, D., &amp; Dumesh, S. (2014). The bees (Hymenoptera: Apoidea, Apiformes) of the prairies ecozone with comparisons to other grasslands of Canada. </w:t>
      </w:r>
      <w:r>
        <w:rPr>
          <w:i/>
          <w:iCs/>
          <w:sz w:val="20"/>
          <w:szCs w:val="20"/>
        </w:rPr>
        <w:t>Arthropods of Canadian Grasslands,</w:t>
      </w:r>
      <w:r>
        <w:rPr>
          <w:sz w:val="20"/>
          <w:szCs w:val="20"/>
        </w:rPr>
        <w:t xml:space="preserve"> 4, 427–467.</w:t>
      </w:r>
    </w:p>
    <w:p>
      <w:pPr>
        <w:pStyle w:val="Normal"/>
        <w:spacing w:lineRule="auto" w:line="360"/>
        <w:ind w:left="360" w:hanging="360"/>
        <w:rPr/>
      </w:pPr>
      <w:r>
        <w:rPr>
          <w:sz w:val="20"/>
          <w:szCs w:val="20"/>
        </w:rPr>
        <w:t xml:space="preserve">Sladen, F. W. L. (1918). Pollination of alfalfa by bees of the genus </w:t>
      </w:r>
      <w:r>
        <w:rPr>
          <w:i/>
          <w:iCs/>
          <w:sz w:val="20"/>
          <w:szCs w:val="20"/>
        </w:rPr>
        <w:t>Megachile</w:t>
      </w:r>
      <w:r>
        <w:rPr>
          <w:sz w:val="20"/>
          <w:szCs w:val="20"/>
        </w:rPr>
        <w:t xml:space="preserve">. Table of Canadian species of the </w:t>
      </w:r>
      <w:r>
        <w:rPr>
          <w:i/>
          <w:iCs/>
          <w:sz w:val="20"/>
          <w:szCs w:val="20"/>
        </w:rPr>
        <w:t>latimanus</w:t>
      </w:r>
      <w:r>
        <w:rPr>
          <w:sz w:val="20"/>
          <w:szCs w:val="20"/>
        </w:rPr>
        <w:t xml:space="preserve"> group. The Canadian Entomologist, 50(9), 301-304.</w:t>
      </w:r>
    </w:p>
    <w:p>
      <w:pPr>
        <w:pStyle w:val="Normal"/>
        <w:spacing w:lineRule="auto" w:line="360"/>
        <w:ind w:left="360" w:hanging="360"/>
        <w:rPr/>
      </w:pPr>
      <w:r>
        <w:rPr>
          <w:sz w:val="20"/>
          <w:szCs w:val="20"/>
        </w:rPr>
        <w:t>Stephen, W. P., Bohart, G. E., &amp; Torchio, P. F. (1969). The biology and external morphology of bees with a synopsis of the genera of North-Western America. Oregon State University Agricultural Experiment Station, 1–146.</w:t>
      </w:r>
    </w:p>
    <w:p>
      <w:pPr>
        <w:pStyle w:val="Normal"/>
        <w:spacing w:lineRule="auto" w:line="360"/>
        <w:ind w:left="360" w:hanging="360"/>
        <w:rPr/>
      </w:pPr>
      <w:r>
        <w:rPr>
          <w:sz w:val="20"/>
          <w:szCs w:val="20"/>
        </w:rPr>
        <w:t xml:space="preserve">Tepedino, V. J., &amp; Frohlich, D. R. (1982). Mortality factors, pollen utilization, and sex ratio in </w:t>
      </w:r>
      <w:r>
        <w:rPr>
          <w:i/>
          <w:iCs/>
          <w:sz w:val="20"/>
          <w:szCs w:val="20"/>
        </w:rPr>
        <w:t>Megachile pugnata</w:t>
      </w:r>
      <w:r>
        <w:rPr>
          <w:sz w:val="20"/>
          <w:szCs w:val="20"/>
        </w:rPr>
        <w:t xml:space="preserve"> Say (Hymenoptera: Megachilidae), a candidate for commercial sunflower pollination. </w:t>
      </w:r>
      <w:r>
        <w:rPr>
          <w:i/>
          <w:iCs/>
          <w:sz w:val="20"/>
          <w:szCs w:val="20"/>
        </w:rPr>
        <w:t>Journal of the New York Entomological Society</w:t>
      </w:r>
      <w:r>
        <w:rPr>
          <w:sz w:val="20"/>
          <w:szCs w:val="20"/>
        </w:rPr>
        <w:t>, 90, 269–274.</w:t>
      </w:r>
    </w:p>
    <w:p>
      <w:pPr>
        <w:pStyle w:val="Normal"/>
        <w:spacing w:lineRule="auto" w:line="360"/>
        <w:ind w:left="360" w:hanging="360"/>
        <w:rPr/>
      </w:pPr>
      <w:r>
        <w:rPr>
          <w:sz w:val="20"/>
          <w:szCs w:val="20"/>
        </w:rPr>
        <w:t xml:space="preserve">Tepedino, V. J., &amp; Parker, F. D. (1984). Nest selection, mortality and sex ratio in </w:t>
      </w:r>
      <w:r>
        <w:rPr>
          <w:i/>
          <w:iCs/>
          <w:sz w:val="20"/>
          <w:szCs w:val="20"/>
        </w:rPr>
        <w:t>Hoplitis fulgida</w:t>
      </w:r>
      <w:r>
        <w:rPr>
          <w:sz w:val="20"/>
          <w:szCs w:val="20"/>
        </w:rPr>
        <w:t xml:space="preserve"> (Cresson) (Hymenoptera: Megachilidae). </w:t>
      </w:r>
      <w:r>
        <w:rPr>
          <w:i/>
          <w:iCs/>
          <w:sz w:val="20"/>
          <w:szCs w:val="20"/>
        </w:rPr>
        <w:t>Journal of the Kansas Entomological Society</w:t>
      </w:r>
      <w:r>
        <w:rPr>
          <w:sz w:val="20"/>
          <w:szCs w:val="20"/>
        </w:rPr>
        <w:t>, 57, 181–189.</w:t>
      </w:r>
    </w:p>
    <w:p>
      <w:pPr>
        <w:pStyle w:val="Normal"/>
        <w:widowControl/>
        <w:overflowPunct w:val="false"/>
        <w:bidi w:val="0"/>
        <w:spacing w:lineRule="auto" w:line="360"/>
        <w:ind w:left="360" w:right="0" w:hanging="360"/>
        <w:jc w:val="left"/>
        <w:rPr/>
      </w:pPr>
      <w:r>
        <w:rPr>
          <w:sz w:val="20"/>
          <w:szCs w:val="20"/>
        </w:rPr>
        <w:t>Thorp, R. W. 1969. Systematics and ecology of bees of the subgenus Diandrena (Hymenoptera: Andrenidae). University of California Publications in Entomology 52: 1-146.</w:t>
      </w:r>
      <w:r>
        <w:br w:type="page"/>
      </w:r>
    </w:p>
    <w:p>
      <w:pPr>
        <w:pStyle w:val="Normal"/>
        <w:spacing w:lineRule="auto" w:line="360"/>
        <w:rPr/>
      </w:pPr>
      <w:r>
        <w:rPr>
          <w:b/>
          <w:bCs/>
        </w:rPr>
        <w:t>Table S4</w:t>
      </w:r>
      <w:r>
        <w:rPr/>
        <w:t>. Coefficients for species-specific shifts in phenophases in response to snowmelt timing (Figure 1). The three phenophases (emergence, peak, senescence) are separated by commas.</w:t>
      </w:r>
    </w:p>
    <w:p>
      <w:pPr>
        <w:pStyle w:val="Normal"/>
        <w:rPr>
          <w:rFonts w:ascii="Liberation Serif" w:hAnsi="Liberation Serif"/>
        </w:rPr>
      </w:pPr>
      <w:r>
        <w:rPr/>
      </w:r>
    </w:p>
    <w:tbl>
      <w:tblPr>
        <w:tblW w:w="9894" w:type="dxa"/>
        <w:jc w:val="left"/>
        <w:tblInd w:w="23" w:type="dxa"/>
        <w:tblBorders>
          <w:bottom w:val="single" w:sz="4" w:space="0" w:color="000000"/>
          <w:insideH w:val="single" w:sz="4" w:space="0" w:color="000000"/>
        </w:tblBorders>
        <w:tblCellMar>
          <w:top w:w="0" w:type="dxa"/>
          <w:left w:w="113" w:type="dxa"/>
          <w:bottom w:w="0" w:type="dxa"/>
          <w:right w:w="108" w:type="dxa"/>
        </w:tblCellMar>
        <w:tblLook w:noVBand="1" w:val="04a0" w:noHBand="0" w:lastColumn="0" w:firstColumn="1" w:lastRow="0" w:firstRow="1"/>
      </w:tblPr>
      <w:tblGrid>
        <w:gridCol w:w="2526"/>
        <w:gridCol w:w="1887"/>
        <w:gridCol w:w="3094"/>
        <w:gridCol w:w="2386"/>
      </w:tblGrid>
      <w:tr>
        <w:trPr>
          <w:trHeight w:val="242" w:hRule="atLeast"/>
        </w:trPr>
        <w:tc>
          <w:tcPr>
            <w:tcW w:w="2526" w:type="dxa"/>
            <w:tcBorders>
              <w:bottom w:val="single" w:sz="4" w:space="0" w:color="000000"/>
              <w:insideH w:val="single" w:sz="4" w:space="0" w:color="000000"/>
            </w:tcBorders>
            <w:shd w:fill="auto" w:val="clear"/>
          </w:tcPr>
          <w:p>
            <w:pPr>
              <w:pStyle w:val="Normal"/>
              <w:spacing w:lineRule="auto" w:line="240"/>
              <w:rPr>
                <w:rFonts w:ascii="Liberation Serif" w:hAnsi="Liberation Serif"/>
                <w:b/>
                <w:b/>
                <w:sz w:val="22"/>
                <w:szCs w:val="22"/>
              </w:rPr>
            </w:pPr>
            <w:r>
              <w:rPr>
                <w:b/>
                <w:sz w:val="22"/>
                <w:szCs w:val="22"/>
              </w:rPr>
            </w:r>
          </w:p>
          <w:p>
            <w:pPr>
              <w:pStyle w:val="Normal"/>
              <w:spacing w:lineRule="auto" w:line="240"/>
              <w:rPr>
                <w:rFonts w:ascii="Liberation Serif" w:hAnsi="Liberation Serif"/>
                <w:sz w:val="22"/>
                <w:szCs w:val="22"/>
              </w:rPr>
            </w:pPr>
            <w:r>
              <w:rPr>
                <w:b/>
                <w:sz w:val="22"/>
                <w:szCs w:val="22"/>
              </w:rPr>
              <w:t>Species</w:t>
            </w:r>
          </w:p>
        </w:tc>
        <w:tc>
          <w:tcPr>
            <w:tcW w:w="1887" w:type="dxa"/>
            <w:tcBorders>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ascii="Liberation Serif" w:hAnsi="Liberation Serif"/>
                <w:sz w:val="22"/>
                <w:szCs w:val="22"/>
              </w:rPr>
            </w:pPr>
            <w:r>
              <w:rPr>
                <w:b/>
                <w:sz w:val="22"/>
                <w:szCs w:val="22"/>
              </w:rPr>
              <w:t>Slope</w:t>
            </w:r>
          </w:p>
        </w:tc>
        <w:tc>
          <w:tcPr>
            <w:tcW w:w="3094" w:type="dxa"/>
            <w:tcBorders>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eastAsia="MS Gothic"/>
                <w:b w:val="false"/>
                <w:b w:val="false"/>
                <w:bCs w:val="false"/>
                <w:color w:val="000000"/>
              </w:rPr>
            </w:pPr>
            <w:r>
              <w:rPr>
                <w:b/>
                <w:sz w:val="22"/>
                <w:szCs w:val="22"/>
              </w:rPr>
              <w:t>SE</w:t>
            </w:r>
          </w:p>
        </w:tc>
        <w:tc>
          <w:tcPr>
            <w:tcW w:w="2386" w:type="dxa"/>
            <w:tcBorders>
              <w:bottom w:val="single" w:sz="4" w:space="0" w:color="000000"/>
              <w:insideH w:val="single" w:sz="4"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ascii="Liberation Serif" w:hAnsi="Liberation Serif"/>
                <w:i/>
                <w:i/>
                <w:iCs/>
                <w:sz w:val="22"/>
                <w:szCs w:val="22"/>
              </w:rPr>
            </w:pPr>
            <w:r>
              <w:rPr>
                <w:b/>
                <w:i/>
                <w:iCs/>
                <w:sz w:val="22"/>
                <w:szCs w:val="22"/>
              </w:rPr>
              <w:t>t</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Dufourea harveyi</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pPr>
            <w:r>
              <w:rPr>
                <w:sz w:val="22"/>
                <w:szCs w:val="22"/>
              </w:rPr>
              <w:t>0.22, 0.18, NA</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pPr>
            <w:r>
              <w:rPr>
                <w:sz w:val="22"/>
                <w:szCs w:val="22"/>
              </w:rPr>
              <w:t>0.32, 0.30, NA</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0.68, 0.59, NA</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 xml:space="preserve">Halictus rubicundus </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0.42, NA, 0.13</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0.46, NA, 0.57</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0.42, NA, 0.22</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 xml:space="preserve">Halictus virgatellus </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-0.01, -0.09, 1.45</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1.12, 0.39, 0.66</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-0.21,-0.68,  2.01</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 xml:space="preserve">Hoplitis fulgida </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0.86, 0.83, NA</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0.63, 0.39, NA</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1.02, 1.68, NA</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 xml:space="preserve">Hoplitis robusta </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0.52, 0.84, 0.5</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0.61, 0.42, 0.9</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0.48, 1.59, 0.41</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Hylaeus annulatus</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0.65, 0.5, NA</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0.38, 0.35, NA</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1.13, 0.92, NA</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 xml:space="preserve">Lasioglossum sedi </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NA, 0.8, -0.14</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NA, 0.51, 0.59</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NA, 1.22, -0.45</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Panurginus cressoniellus</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0.56, 0.29, 0.71</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0.46, 0.36, 0.74</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0.74, 0.31, 0.79</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Panurginus ineptus</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 xml:space="preserve">-0.07, 0.09, 0.19, </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0.47, 0.35, 0.66</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-0.62, -0.24, 0.1</w:t>
            </w:r>
          </w:p>
        </w:tc>
      </w:tr>
      <w:tr>
        <w:trPr/>
        <w:tc>
          <w:tcPr>
            <w:tcW w:w="2526" w:type="dxa"/>
            <w:tcBorders>
              <w:top w:val="single" w:sz="4" w:space="0" w:color="000000"/>
              <w:bottom w:val="single" w:sz="4" w:space="0" w:color="000000"/>
              <w:insideH w:val="single" w:sz="4" w:space="0" w:color="000000"/>
            </w:tcBorders>
            <w:shd w:fill="auto" w:val="clear"/>
          </w:tcPr>
          <w:p>
            <w:pPr>
              <w:pStyle w:val="Normal"/>
              <w:spacing w:lineRule="auto" w:line="240"/>
              <w:rPr>
                <w:rFonts w:ascii="Liberation Serif" w:hAnsi="Liberation Serif"/>
                <w:i/>
                <w:i/>
                <w:iCs/>
                <w:sz w:val="22"/>
                <w:szCs w:val="22"/>
              </w:rPr>
            </w:pPr>
            <w:r>
              <w:rPr>
                <w:i/>
                <w:iCs/>
                <w:sz w:val="22"/>
                <w:szCs w:val="22"/>
              </w:rPr>
              <w:t>Pseudopanurgus bakeri</w:t>
            </w:r>
          </w:p>
          <w:p>
            <w:pPr>
              <w:pStyle w:val="Normal"/>
              <w:spacing w:lineRule="auto" w:line="240"/>
              <w:rPr>
                <w:rFonts w:ascii="Liberation Serif" w:hAnsi="Liberation Serif"/>
                <w:i/>
                <w:i/>
                <w:iCs/>
                <w:sz w:val="22"/>
                <w:szCs w:val="22"/>
              </w:rPr>
            </w:pPr>
            <w:r>
              <w:rPr>
                <w:i/>
                <w:iCs/>
                <w:sz w:val="22"/>
                <w:szCs w:val="22"/>
              </w:rPr>
            </w:r>
          </w:p>
        </w:tc>
        <w:tc>
          <w:tcPr>
            <w:tcW w:w="1887" w:type="dxa"/>
            <w:tcBorders>
              <w:top w:val="single" w:sz="4" w:space="0" w:color="000000"/>
              <w:left w:val="single" w:sz="2"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0.53, 0.09, -0.25</w:t>
            </w:r>
          </w:p>
        </w:tc>
        <w:tc>
          <w:tcPr>
            <w:tcW w:w="3094" w:type="dxa"/>
            <w:tcBorders>
              <w:top w:val="single" w:sz="4" w:space="0" w:color="000000"/>
              <w:left w:val="single" w:sz="2" w:space="0" w:color="000000"/>
              <w:bottom w:val="single" w:sz="4" w:space="0" w:color="000000"/>
              <w:right w:val="single" w:sz="2" w:space="0" w:color="000000"/>
              <w:insideH w:val="single" w:sz="4"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0.39, 0.37, 0.73</w:t>
            </w:r>
          </w:p>
        </w:tc>
        <w:tc>
          <w:tcPr>
            <w:tcW w:w="2386" w:type="dxa"/>
            <w:tcBorders>
              <w:top w:val="single" w:sz="4" w:space="0" w:color="000000"/>
              <w:bottom w:val="single" w:sz="4" w:space="0" w:color="000000"/>
              <w:insideH w:val="single" w:sz="4" w:space="0" w:color="000000"/>
            </w:tcBorders>
            <w:shd w:fill="auto" w:val="clear"/>
          </w:tcPr>
          <w:p>
            <w:pPr>
              <w:pStyle w:val="Normal"/>
              <w:spacing w:lineRule="auto" w:line="240"/>
              <w:jc w:val="center"/>
              <w:rPr>
                <w:rFonts w:ascii="Liberation Serif" w:hAnsi="Liberation Serif"/>
                <w:sz w:val="22"/>
                <w:szCs w:val="22"/>
              </w:rPr>
            </w:pPr>
            <w:r>
              <w:rPr>
                <w:sz w:val="22"/>
                <w:szCs w:val="22"/>
              </w:rPr>
              <w:t xml:space="preserve">0.79, -0.24,-0.52 </w:t>
            </w:r>
          </w:p>
        </w:tc>
      </w:tr>
    </w:tbl>
    <w:p>
      <w:pPr>
        <w:pStyle w:val="Normal"/>
        <w:spacing w:lineRule="auto" w:line="360"/>
        <w:ind w:firstLine="720"/>
        <w:rPr>
          <w:rFonts w:ascii="Liberation Serif" w:hAnsi="Liberation Serif"/>
        </w:rPr>
      </w:pPr>
      <w:r>
        <w:rPr>
          <w:sz w:val="16"/>
          <w:szCs w:val="16"/>
        </w:rPr>
        <w:t xml:space="preserve"> </w:t>
      </w:r>
      <w:r>
        <w:br w:type="page"/>
      </w:r>
    </w:p>
    <w:p>
      <w:pPr>
        <w:pStyle w:val="Normal"/>
        <w:spacing w:lineRule="auto" w:line="360"/>
        <w:ind w:hanging="0"/>
        <w:rPr/>
      </w:pPr>
      <w:r>
        <w:rPr>
          <w:b/>
          <w:bCs/>
        </w:rPr>
        <w:t>Table S5</w:t>
      </w:r>
      <w:r>
        <w:rPr/>
        <w:t>. Coefficients of standardized effect sizes from the full model of bee phenology (Figure 2). The three phenophases (emergence, peak, senescence) are separated by commas. Significant effects at the α=0.05 level are bold, but all effects were determined to be important by the model averaging protocol.</w:t>
      </w:r>
    </w:p>
    <w:p>
      <w:pPr>
        <w:pStyle w:val="Normal"/>
        <w:spacing w:lineRule="auto" w:line="360"/>
        <w:ind w:hanging="0"/>
        <w:rPr>
          <w:rFonts w:ascii="Liberation Serif" w:hAnsi="Liberation Serif"/>
        </w:rPr>
      </w:pPr>
      <w:r>
        <w:rPr/>
      </w:r>
    </w:p>
    <w:tbl>
      <w:tblPr>
        <w:tblW w:w="9894" w:type="dxa"/>
        <w:jc w:val="left"/>
        <w:tblInd w:w="23" w:type="dxa"/>
        <w:tblBorders>
          <w:bottom w:val="single" w:sz="2" w:space="0" w:color="000000"/>
          <w:insideH w:val="single" w:sz="2" w:space="0" w:color="000000"/>
        </w:tblBorders>
        <w:tblCellMar>
          <w:top w:w="0" w:type="dxa"/>
          <w:left w:w="113" w:type="dxa"/>
          <w:bottom w:w="0" w:type="dxa"/>
          <w:right w:w="108" w:type="dxa"/>
        </w:tblCellMar>
        <w:tblLook w:noVBand="1" w:val="04a0" w:noHBand="0" w:lastColumn="0" w:firstColumn="1" w:lastRow="0" w:firstRow="1"/>
      </w:tblPr>
      <w:tblGrid>
        <w:gridCol w:w="2153"/>
        <w:gridCol w:w="2161"/>
        <w:gridCol w:w="1979"/>
        <w:gridCol w:w="1705"/>
        <w:gridCol w:w="1896"/>
      </w:tblGrid>
      <w:tr>
        <w:trPr/>
        <w:tc>
          <w:tcPr>
            <w:tcW w:w="2153" w:type="dxa"/>
            <w:tcBorders>
              <w:bottom w:val="single" w:sz="2" w:space="0" w:color="000000"/>
              <w:insideH w:val="single" w:sz="2" w:space="0" w:color="000000"/>
            </w:tcBorders>
            <w:shd w:fill="auto" w:val="clear"/>
          </w:tcPr>
          <w:p>
            <w:pPr>
              <w:pStyle w:val="Normal"/>
              <w:spacing w:lineRule="auto" w:line="240"/>
              <w:rPr>
                <w:rFonts w:ascii="Liberation Serif" w:hAnsi="Liberation Serif"/>
                <w:b/>
                <w:b/>
                <w:sz w:val="22"/>
                <w:szCs w:val="22"/>
              </w:rPr>
            </w:pPr>
            <w:r>
              <w:rPr>
                <w:b/>
                <w:sz w:val="22"/>
                <w:szCs w:val="22"/>
              </w:rPr>
            </w:r>
          </w:p>
          <w:p>
            <w:pPr>
              <w:pStyle w:val="Normal"/>
              <w:spacing w:lineRule="auto" w:line="240"/>
              <w:rPr>
                <w:rFonts w:ascii="Liberation Serif" w:hAnsi="Liberation Serif"/>
                <w:sz w:val="22"/>
                <w:szCs w:val="22"/>
              </w:rPr>
            </w:pPr>
            <w:r>
              <w:rPr>
                <w:b/>
                <w:sz w:val="22"/>
                <w:szCs w:val="22"/>
              </w:rPr>
              <w:t>Predictor</w:t>
            </w:r>
          </w:p>
        </w:tc>
        <w:tc>
          <w:tcPr>
            <w:tcW w:w="2161" w:type="dxa"/>
            <w:tcBorders>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ascii="Liberation Serif" w:hAnsi="Liberation Serif"/>
                <w:sz w:val="22"/>
                <w:szCs w:val="22"/>
              </w:rPr>
            </w:pPr>
            <w:r>
              <w:rPr>
                <w:b/>
                <w:sz w:val="22"/>
                <w:szCs w:val="22"/>
              </w:rPr>
              <w:t>Slope</w:t>
            </w:r>
          </w:p>
        </w:tc>
        <w:tc>
          <w:tcPr>
            <w:tcW w:w="1979" w:type="dxa"/>
            <w:tcBorders>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ascii="Liberation Serif" w:hAnsi="Liberation Serif"/>
                <w:b/>
                <w:b/>
                <w:sz w:val="22"/>
                <w:szCs w:val="22"/>
              </w:rPr>
            </w:pPr>
            <w:r>
              <w:rPr>
                <w:b/>
                <w:sz w:val="22"/>
                <w:szCs w:val="22"/>
              </w:rPr>
              <w:t>SE</w:t>
            </w:r>
          </w:p>
        </w:tc>
        <w:tc>
          <w:tcPr>
            <w:tcW w:w="1705"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b/>
                <w:b/>
                <w:i/>
                <w:i/>
                <w:sz w:val="22"/>
                <w:szCs w:val="22"/>
              </w:rPr>
            </w:pPr>
            <w:r>
              <w:rPr>
                <w:b/>
                <w:i/>
                <w:sz w:val="22"/>
                <w:szCs w:val="22"/>
              </w:rPr>
            </w:r>
          </w:p>
          <w:p>
            <w:pPr>
              <w:pStyle w:val="Normal"/>
              <w:spacing w:lineRule="auto" w:line="240"/>
              <w:jc w:val="center"/>
              <w:rPr>
                <w:rFonts w:ascii="Liberation Serif" w:hAnsi="Liberation Serif"/>
                <w:sz w:val="22"/>
                <w:szCs w:val="22"/>
              </w:rPr>
            </w:pPr>
            <w:r>
              <w:rPr>
                <w:b/>
                <w:i/>
                <w:sz w:val="22"/>
                <w:szCs w:val="22"/>
              </w:rPr>
              <w:t>z</w:t>
            </w:r>
          </w:p>
        </w:tc>
        <w:tc>
          <w:tcPr>
            <w:tcW w:w="1896" w:type="dxa"/>
            <w:tcBorders>
              <w:bottom w:val="single" w:sz="2" w:space="0" w:color="000000"/>
              <w:insideH w:val="single" w:sz="2" w:space="0" w:color="000000"/>
            </w:tcBorders>
            <w:shd w:fill="auto" w:val="clear"/>
          </w:tcPr>
          <w:p>
            <w:pPr>
              <w:pStyle w:val="Normal"/>
              <w:spacing w:lineRule="auto" w:line="240"/>
              <w:jc w:val="center"/>
              <w:rPr>
                <w:rFonts w:ascii="Liberation Serif" w:hAnsi="Liberation Serif"/>
                <w:b/>
                <w:b/>
                <w:i/>
                <w:i/>
                <w:sz w:val="22"/>
                <w:szCs w:val="22"/>
              </w:rPr>
            </w:pPr>
            <w:r>
              <w:rPr>
                <w:b/>
                <w:i/>
                <w:sz w:val="22"/>
                <w:szCs w:val="22"/>
              </w:rPr>
            </w:r>
          </w:p>
          <w:p>
            <w:pPr>
              <w:pStyle w:val="Normal"/>
              <w:spacing w:lineRule="auto" w:line="240"/>
              <w:jc w:val="center"/>
              <w:rPr>
                <w:rFonts w:ascii="Liberation Serif" w:hAnsi="Liberation Serif"/>
                <w:sz w:val="22"/>
                <w:szCs w:val="22"/>
              </w:rPr>
            </w:pPr>
            <w:r>
              <w:rPr>
                <w:b/>
                <w:i/>
                <w:sz w:val="22"/>
                <w:szCs w:val="22"/>
              </w:rPr>
              <w:t>P</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Snowmelt date</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rFonts w:eastAsia="MS Gothic"/>
                <w:b/>
                <w:bCs/>
                <w:color w:val="000000"/>
                <w:sz w:val="22"/>
                <w:szCs w:val="22"/>
              </w:rPr>
              <w:t>11.52</w:t>
            </w:r>
            <w:r>
              <w:rPr>
                <w:rFonts w:eastAsia="MS Gothic"/>
                <w:color w:val="000000"/>
                <w:sz w:val="22"/>
                <w:szCs w:val="22"/>
              </w:rPr>
              <w:t xml:space="preserve">,  </w:t>
            </w:r>
            <w:r>
              <w:rPr>
                <w:rFonts w:eastAsia="MS Gothic"/>
                <w:b/>
                <w:bCs/>
                <w:color w:val="000000"/>
                <w:sz w:val="22"/>
                <w:szCs w:val="22"/>
              </w:rPr>
              <w:t>12.82</w:t>
            </w:r>
            <w:r>
              <w:rPr>
                <w:rFonts w:eastAsia="MS Gothic"/>
                <w:color w:val="000000"/>
                <w:sz w:val="22"/>
                <w:szCs w:val="22"/>
              </w:rPr>
              <w:t xml:space="preserve">, </w:t>
            </w:r>
            <w:r>
              <w:rPr>
                <w:rFonts w:eastAsia="MS Gothic"/>
                <w:b/>
                <w:bCs/>
                <w:color w:val="000000"/>
                <w:sz w:val="22"/>
                <w:szCs w:val="22"/>
              </w:rPr>
              <w:t xml:space="preserve"> 7.81</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2.68, 2.42, 2.44</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4.28, 5.26,  3.19</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&lt;0.01, &lt;0.01, &lt;0.01</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Summer rainfall</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rFonts w:eastAsia="MS Gothic"/>
                <w:b/>
                <w:bCs/>
                <w:color w:val="000000"/>
                <w:sz w:val="22"/>
                <w:szCs w:val="22"/>
              </w:rPr>
              <w:t>10.04</w:t>
            </w:r>
            <w:r>
              <w:rPr>
                <w:rFonts w:eastAsia="MS Gothic"/>
                <w:color w:val="000000"/>
                <w:sz w:val="22"/>
                <w:szCs w:val="22"/>
              </w:rPr>
              <w:t>, 2.73,  -1.85</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2.12, 2.06, 2.12</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4.72, 1.32,  0.87</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&lt;0.01, 0.19, 0.38</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Maximum temperature</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b/>
                <w:bCs/>
                <w:sz w:val="22"/>
                <w:szCs w:val="22"/>
              </w:rPr>
              <w:t>-7.34</w:t>
            </w:r>
            <w:r>
              <w:rPr>
                <w:sz w:val="22"/>
                <w:szCs w:val="22"/>
              </w:rPr>
              <w:t>, 1.40,  -0.90</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2.41, 2.22, 2.47</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3.04, 0.63,  0.36</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&lt;0.01, 0.53, 0.72</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Elevation</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b/>
                <w:bCs/>
                <w:sz w:val="22"/>
                <w:szCs w:val="22"/>
              </w:rPr>
              <w:t>13.57</w:t>
            </w:r>
            <w:r>
              <w:rPr>
                <w:sz w:val="22"/>
                <w:szCs w:val="22"/>
              </w:rPr>
              <w:t xml:space="preserve">, </w:t>
            </w:r>
            <w:r>
              <w:rPr>
                <w:b/>
                <w:bCs/>
                <w:sz w:val="22"/>
                <w:szCs w:val="22"/>
              </w:rPr>
              <w:t>7.76</w:t>
            </w:r>
            <w:r>
              <w:rPr>
                <w:sz w:val="22"/>
                <w:szCs w:val="22"/>
              </w:rPr>
              <w:t>, -5.92</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3.23, 3.65, 4.05</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4.15, 2.12, 1.46</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&lt;0.01, 0.03, 0.15</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Solar Incidence</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-6.13, -1.68,  4.03</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3.40, 3.27, 4.04</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1.80, 0.56, 1.00</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0.07, 0.57, 0.32</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Body Mass</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2.08, -2.58, -2.79</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3.23, 3.26, 3.57</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0.64,  0.79, 0.78</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0.54, 0.43, 0.43</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Nest Location (below ground)</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b/>
                <w:bCs/>
                <w:sz w:val="22"/>
                <w:szCs w:val="22"/>
              </w:rPr>
              <w:t>11.21</w:t>
            </w:r>
            <w:r>
              <w:rPr>
                <w:sz w:val="22"/>
                <w:szCs w:val="22"/>
              </w:rPr>
              <w:t xml:space="preserve">, -4.57, </w:t>
            </w:r>
            <w:r>
              <w:rPr>
                <w:b/>
                <w:bCs/>
                <w:sz w:val="22"/>
                <w:szCs w:val="22"/>
              </w:rPr>
              <w:t>-9.82</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4.30, 3.84, 4.29</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2.60, 1.19, 2.28</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&lt;0.01, 0.24, 0.02</w:t>
            </w:r>
          </w:p>
        </w:tc>
      </w:tr>
      <w:tr>
        <w:trPr/>
        <w:tc>
          <w:tcPr>
            <w:tcW w:w="2153" w:type="dxa"/>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Overwintering stage (prepupae)</w:t>
            </w:r>
          </w:p>
          <w:p>
            <w:pPr>
              <w:pStyle w:val="Normal"/>
              <w:spacing w:lineRule="auto" w:line="240"/>
              <w:rPr>
                <w:rFonts w:ascii="Liberation Serif" w:hAnsi="Liberation Serif"/>
                <w:sz w:val="22"/>
                <w:szCs w:val="22"/>
              </w:rPr>
            </w:pPr>
            <w:r>
              <w:rPr>
                <w:sz w:val="22"/>
                <w:szCs w:val="22"/>
              </w:rPr>
            </w:r>
          </w:p>
        </w:tc>
        <w:tc>
          <w:tcPr>
            <w:tcW w:w="2161"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 xml:space="preserve">1.91, </w:t>
            </w:r>
            <w:r>
              <w:rPr>
                <w:b/>
                <w:bCs/>
                <w:sz w:val="22"/>
                <w:szCs w:val="22"/>
              </w:rPr>
              <w:t>11.20</w:t>
            </w:r>
            <w:r>
              <w:rPr>
                <w:sz w:val="22"/>
                <w:szCs w:val="22"/>
              </w:rPr>
              <w:t xml:space="preserve">, </w:t>
            </w:r>
            <w:r>
              <w:rPr>
                <w:b/>
                <w:bCs/>
                <w:sz w:val="22"/>
                <w:szCs w:val="22"/>
              </w:rPr>
              <w:t>20.91</w:t>
            </w:r>
          </w:p>
        </w:tc>
        <w:tc>
          <w:tcPr>
            <w:tcW w:w="1979"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3.52, 3.23, 3.59</w:t>
            </w:r>
          </w:p>
        </w:tc>
        <w:tc>
          <w:tcPr>
            <w:tcW w:w="1705"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0.54, 3.45, 5.81</w:t>
            </w:r>
          </w:p>
        </w:tc>
        <w:tc>
          <w:tcPr>
            <w:tcW w:w="1896" w:type="dxa"/>
            <w:tcBorders>
              <w:top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val="false"/>
                <w:b w:val="false"/>
                <w:bCs w:val="false"/>
                <w:sz w:val="22"/>
                <w:szCs w:val="22"/>
              </w:rPr>
            </w:pPr>
            <w:r>
              <w:rPr>
                <w:b w:val="false"/>
                <w:bCs w:val="false"/>
                <w:sz w:val="22"/>
                <w:szCs w:val="22"/>
              </w:rPr>
              <w:t>0.59, &lt;0.01, &lt;0.01</w:t>
            </w:r>
          </w:p>
        </w:tc>
      </w:tr>
    </w:tbl>
    <w:p>
      <w:pPr>
        <w:pStyle w:val="Normal"/>
        <w:rPr/>
      </w:pPr>
      <w:r>
        <w:rPr/>
      </w:r>
      <w:r>
        <w:br w:type="page"/>
      </w:r>
    </w:p>
    <w:p>
      <w:pPr>
        <w:pStyle w:val="Normal"/>
        <w:spacing w:lineRule="auto" w:line="360"/>
        <w:ind w:hanging="0"/>
        <w:rPr/>
      </w:pPr>
      <w:r>
        <w:rPr>
          <w:b/>
          <w:bCs/>
        </w:rPr>
        <w:t>Table S6</w:t>
      </w:r>
      <w:r>
        <w:rPr/>
        <w:t>. Marginal and conditional R</w:t>
      </w:r>
      <w:r>
        <w:rPr>
          <w:vertAlign w:val="superscript"/>
        </w:rPr>
        <w:t>2</w:t>
      </w:r>
      <w:r>
        <w:rPr/>
        <w:t xml:space="preserve"> values for the three phenology top models, as well as the proportion of variance explained by subsetted climate and trait models (Figure 3).</w:t>
      </w:r>
    </w:p>
    <w:p>
      <w:pPr>
        <w:pStyle w:val="Normal"/>
        <w:spacing w:lineRule="auto" w:line="360"/>
        <w:ind w:hanging="0"/>
        <w:rPr>
          <w:rFonts w:ascii="Liberation Serif" w:hAnsi="Liberation Serif"/>
        </w:rPr>
      </w:pPr>
      <w:r>
        <w:rPr/>
      </w:r>
    </w:p>
    <w:tbl>
      <w:tblPr>
        <w:tblW w:w="9636" w:type="dxa"/>
        <w:jc w:val="left"/>
        <w:tblInd w:w="23" w:type="dxa"/>
        <w:tblBorders>
          <w:bottom w:val="single" w:sz="2" w:space="0" w:color="000000"/>
          <w:insideH w:val="single" w:sz="2" w:space="0" w:color="000000"/>
        </w:tblBorders>
        <w:tblCellMar>
          <w:top w:w="0" w:type="dxa"/>
          <w:left w:w="113" w:type="dxa"/>
          <w:bottom w:w="0" w:type="dxa"/>
          <w:right w:w="108" w:type="dxa"/>
        </w:tblCellMar>
        <w:tblLook w:noVBand="1" w:val="04a0" w:noHBand="0" w:lastColumn="0" w:firstColumn="1" w:lastRow="0" w:firstRow="1"/>
      </w:tblPr>
      <w:tblGrid>
        <w:gridCol w:w="1765"/>
        <w:gridCol w:w="1765"/>
        <w:gridCol w:w="1766"/>
        <w:gridCol w:w="1616"/>
        <w:gridCol w:w="2724"/>
      </w:tblGrid>
      <w:tr>
        <w:trPr/>
        <w:tc>
          <w:tcPr>
            <w:tcW w:w="1765" w:type="dxa"/>
            <w:tcBorders>
              <w:bottom w:val="single" w:sz="2" w:space="0" w:color="000000"/>
              <w:insideH w:val="single" w:sz="2" w:space="0" w:color="000000"/>
            </w:tcBorders>
            <w:shd w:fill="auto" w:val="clear"/>
          </w:tcPr>
          <w:p>
            <w:pPr>
              <w:pStyle w:val="Normal"/>
              <w:spacing w:lineRule="auto" w:line="240"/>
              <w:rPr>
                <w:rFonts w:ascii="Liberation Serif" w:hAnsi="Liberation Serif"/>
                <w:b/>
                <w:b/>
                <w:sz w:val="22"/>
                <w:szCs w:val="22"/>
              </w:rPr>
            </w:pPr>
            <w:r>
              <w:rPr>
                <w:b/>
                <w:sz w:val="22"/>
                <w:szCs w:val="22"/>
              </w:rPr>
            </w:r>
          </w:p>
          <w:p>
            <w:pPr>
              <w:pStyle w:val="Normal"/>
              <w:spacing w:lineRule="auto" w:line="240"/>
              <w:rPr>
                <w:rFonts w:ascii="Liberation Serif" w:hAnsi="Liberation Serif"/>
                <w:sz w:val="22"/>
                <w:szCs w:val="22"/>
              </w:rPr>
            </w:pPr>
            <w:r>
              <w:rPr>
                <w:b/>
                <w:sz w:val="22"/>
                <w:szCs w:val="22"/>
              </w:rPr>
              <w:t>Model</w:t>
            </w:r>
          </w:p>
        </w:tc>
        <w:tc>
          <w:tcPr>
            <w:tcW w:w="1765" w:type="dxa"/>
            <w:tcBorders>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b/>
                <w:b/>
                <w:sz w:val="22"/>
                <w:szCs w:val="22"/>
              </w:rPr>
            </w:pPr>
            <w:r>
              <w:rPr>
                <w:b/>
                <w:sz w:val="22"/>
                <w:szCs w:val="22"/>
              </w:rPr>
            </w:r>
          </w:p>
          <w:p>
            <w:pPr>
              <w:pStyle w:val="Normal"/>
              <w:spacing w:lineRule="auto" w:line="240"/>
              <w:rPr>
                <w:rFonts w:ascii="Liberation Serif" w:hAnsi="Liberation Serif"/>
                <w:b/>
                <w:b/>
                <w:sz w:val="22"/>
                <w:szCs w:val="22"/>
              </w:rPr>
            </w:pPr>
            <w:r>
              <w:rPr>
                <w:b/>
                <w:sz w:val="22"/>
                <w:szCs w:val="22"/>
              </w:rPr>
              <w:t>Phenophase</w:t>
            </w:r>
          </w:p>
        </w:tc>
        <w:tc>
          <w:tcPr>
            <w:tcW w:w="1766" w:type="dxa"/>
            <w:tcBorders>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ascii="Liberation Serif" w:hAnsi="Liberation Serif"/>
                <w:sz w:val="22"/>
                <w:szCs w:val="22"/>
              </w:rPr>
            </w:pPr>
            <w:r>
              <w:rPr>
                <w:b/>
                <w:sz w:val="22"/>
                <w:szCs w:val="22"/>
              </w:rPr>
              <w:t>Marginal R</w:t>
            </w:r>
            <w:r>
              <w:rPr>
                <w:b/>
                <w:sz w:val="22"/>
                <w:szCs w:val="22"/>
                <w:vertAlign w:val="superscript"/>
              </w:rPr>
              <w:t>2</w:t>
            </w:r>
          </w:p>
        </w:tc>
        <w:tc>
          <w:tcPr>
            <w:tcW w:w="1616" w:type="dxa"/>
            <w:tcBorders>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b/>
                <w:b/>
                <w:sz w:val="22"/>
                <w:szCs w:val="22"/>
              </w:rPr>
            </w:pPr>
            <w:r>
              <w:rPr>
                <w:b/>
                <w:sz w:val="22"/>
                <w:szCs w:val="22"/>
              </w:rPr>
            </w:r>
          </w:p>
          <w:p>
            <w:pPr>
              <w:pStyle w:val="Normal"/>
              <w:spacing w:lineRule="auto" w:line="240"/>
              <w:jc w:val="center"/>
              <w:rPr>
                <w:rFonts w:ascii="Liberation Serif" w:hAnsi="Liberation Serif"/>
                <w:b/>
                <w:b/>
                <w:sz w:val="22"/>
                <w:szCs w:val="22"/>
              </w:rPr>
            </w:pPr>
            <w:r>
              <w:rPr>
                <w:b/>
                <w:sz w:val="22"/>
                <w:szCs w:val="22"/>
              </w:rPr>
              <w:t>Conditional R</w:t>
            </w:r>
            <w:r>
              <w:rPr>
                <w:b/>
                <w:sz w:val="22"/>
                <w:szCs w:val="22"/>
                <w:vertAlign w:val="superscript"/>
              </w:rPr>
              <w:t>2</w:t>
            </w:r>
          </w:p>
        </w:tc>
        <w:tc>
          <w:tcPr>
            <w:tcW w:w="2724"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i w:val="false"/>
                <w:i w:val="false"/>
                <w:sz w:val="22"/>
                <w:szCs w:val="22"/>
              </w:rPr>
            </w:pPr>
            <w:r>
              <w:rPr>
                <w:b/>
                <w:i w:val="false"/>
                <w:iCs w:val="false"/>
                <w:sz w:val="22"/>
                <w:szCs w:val="22"/>
              </w:rPr>
              <w:t>Proportion of marginal variance explained</w:t>
            </w:r>
          </w:p>
        </w:tc>
      </w:tr>
      <w:tr>
        <w:trPr/>
        <w:tc>
          <w:tcPr>
            <w:tcW w:w="1765" w:type="dxa"/>
            <w:vMerge w:val="restart"/>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Full model</w:t>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Emergence</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rFonts w:eastAsia="MS Gothic"/>
                <w:color w:val="000000"/>
                <w:sz w:val="22"/>
                <w:szCs w:val="22"/>
              </w:rPr>
              <w:t>0.49</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0.86</w:t>
            </w:r>
          </w:p>
        </w:tc>
        <w:tc>
          <w:tcPr>
            <w:tcW w:w="2724" w:type="dxa"/>
            <w:vMerge w:val="restart"/>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r>
          </w:p>
        </w:tc>
      </w:tr>
      <w:tr>
        <w:trPr/>
        <w:tc>
          <w:tcPr>
            <w:tcW w:w="1765" w:type="dxa"/>
            <w:vMerge w:val="continue"/>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Peak</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rFonts w:eastAsia="MS Gothic"/>
                <w:color w:val="000000"/>
                <w:sz w:val="22"/>
                <w:szCs w:val="22"/>
              </w:rPr>
              <w:t>0.40</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 xml:space="preserve"> </w:t>
            </w:r>
            <w:r>
              <w:rPr>
                <w:sz w:val="22"/>
                <w:szCs w:val="22"/>
              </w:rPr>
              <w:t>0.89</w:t>
            </w:r>
          </w:p>
        </w:tc>
        <w:tc>
          <w:tcPr>
            <w:tcW w:w="2724" w:type="dxa"/>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r>
          </w:p>
        </w:tc>
      </w:tr>
      <w:tr>
        <w:trPr/>
        <w:tc>
          <w:tcPr>
            <w:tcW w:w="1765" w:type="dxa"/>
            <w:vMerge w:val="continue"/>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Senescence</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0.45</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0.84</w:t>
            </w:r>
          </w:p>
        </w:tc>
        <w:tc>
          <w:tcPr>
            <w:tcW w:w="2724" w:type="dxa"/>
            <w:vMerge w:val="continue"/>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r>
          </w:p>
        </w:tc>
      </w:tr>
      <w:tr>
        <w:trPr/>
        <w:tc>
          <w:tcPr>
            <w:tcW w:w="1765" w:type="dxa"/>
            <w:vMerge w:val="restart"/>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Climate only</w:t>
            </w:r>
          </w:p>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Emergence</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0.26</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 xml:space="preserve"> </w:t>
            </w:r>
            <w:r>
              <w:rPr>
                <w:sz w:val="22"/>
                <w:szCs w:val="22"/>
              </w:rPr>
              <w:t>0.85</w:t>
            </w:r>
          </w:p>
        </w:tc>
        <w:tc>
          <w:tcPr>
            <w:tcW w:w="27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0.53</w:t>
            </w:r>
          </w:p>
        </w:tc>
      </w:tr>
      <w:tr>
        <w:trPr/>
        <w:tc>
          <w:tcPr>
            <w:tcW w:w="1765" w:type="dxa"/>
            <w:vMerge w:val="continue"/>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Peak</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0.16</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0.88</w:t>
            </w:r>
          </w:p>
        </w:tc>
        <w:tc>
          <w:tcPr>
            <w:tcW w:w="27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0.41</w:t>
            </w:r>
          </w:p>
        </w:tc>
      </w:tr>
      <w:tr>
        <w:trPr/>
        <w:tc>
          <w:tcPr>
            <w:tcW w:w="1765" w:type="dxa"/>
            <w:vMerge w:val="continue"/>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Senescence</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0.07</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0.84</w:t>
            </w:r>
          </w:p>
        </w:tc>
        <w:tc>
          <w:tcPr>
            <w:tcW w:w="27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0.16</w:t>
            </w:r>
          </w:p>
        </w:tc>
      </w:tr>
      <w:tr>
        <w:trPr/>
        <w:tc>
          <w:tcPr>
            <w:tcW w:w="1765" w:type="dxa"/>
            <w:vMerge w:val="restart"/>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Traits only</w:t>
            </w:r>
          </w:p>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Emergence</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0.11</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0.79</w:t>
            </w:r>
          </w:p>
        </w:tc>
        <w:tc>
          <w:tcPr>
            <w:tcW w:w="27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0.22</w:t>
            </w:r>
          </w:p>
        </w:tc>
      </w:tr>
      <w:tr>
        <w:trPr/>
        <w:tc>
          <w:tcPr>
            <w:tcW w:w="1765" w:type="dxa"/>
            <w:vMerge w:val="continue"/>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Peak</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0.22</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0.85</w:t>
            </w:r>
          </w:p>
        </w:tc>
        <w:tc>
          <w:tcPr>
            <w:tcW w:w="27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0.55</w:t>
            </w:r>
          </w:p>
        </w:tc>
      </w:tr>
      <w:tr>
        <w:trPr/>
        <w:tc>
          <w:tcPr>
            <w:tcW w:w="1765" w:type="dxa"/>
            <w:vMerge w:val="continue"/>
            <w:tcBorders>
              <w:top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r>
          </w:p>
        </w:tc>
        <w:tc>
          <w:tcPr>
            <w:tcW w:w="1765"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rPr>
                <w:rFonts w:ascii="Liberation Serif" w:hAnsi="Liberation Serif"/>
                <w:sz w:val="22"/>
                <w:szCs w:val="22"/>
              </w:rPr>
            </w:pPr>
            <w:r>
              <w:rPr>
                <w:sz w:val="22"/>
                <w:szCs w:val="22"/>
              </w:rPr>
              <w:t>Senescence</w:t>
            </w:r>
          </w:p>
          <w:p>
            <w:pPr>
              <w:pStyle w:val="Normal"/>
              <w:spacing w:lineRule="auto" w:line="240"/>
              <w:rPr>
                <w:rFonts w:ascii="Liberation Serif" w:hAnsi="Liberation Serif"/>
                <w:sz w:val="22"/>
                <w:szCs w:val="22"/>
              </w:rPr>
            </w:pPr>
            <w:r>
              <w:rPr>
                <w:sz w:val="22"/>
                <w:szCs w:val="22"/>
              </w:rPr>
            </w:r>
          </w:p>
        </w:tc>
        <w:tc>
          <w:tcPr>
            <w:tcW w:w="176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0.43</w:t>
            </w:r>
          </w:p>
        </w:tc>
        <w:tc>
          <w:tcPr>
            <w:tcW w:w="1616" w:type="dxa"/>
            <w:tcBorders>
              <w:top w:val="single" w:sz="2" w:space="0" w:color="000000"/>
              <w:left w:val="single" w:sz="2" w:space="0" w:color="000000"/>
              <w:bottom w:val="single" w:sz="2" w:space="0" w:color="000000"/>
              <w:insideH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0.82</w:t>
            </w:r>
          </w:p>
        </w:tc>
        <w:tc>
          <w:tcPr>
            <w:tcW w:w="2724"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spacing w:lineRule="auto" w:line="240"/>
              <w:jc w:val="center"/>
              <w:rPr>
                <w:rFonts w:ascii="Liberation Serif" w:hAnsi="Liberation Serif"/>
                <w:sz w:val="22"/>
                <w:szCs w:val="22"/>
              </w:rPr>
            </w:pPr>
            <w:r>
              <w:rPr>
                <w:sz w:val="22"/>
                <w:szCs w:val="22"/>
              </w:rPr>
              <w:t>0.95</w:t>
            </w:r>
          </w:p>
        </w:tc>
      </w:tr>
    </w:tbl>
    <w:p>
      <w:pPr>
        <w:pStyle w:val="Normal"/>
        <w:rPr/>
      </w:pPr>
      <w:r>
        <w:rPr/>
      </w:r>
    </w:p>
    <w:sectPr>
      <w:footerReference w:type="default" r:id="rId8"/>
      <w:type w:val="nextPage"/>
      <w:pgSz w:w="12240" w:h="15840"/>
      <w:pgMar w:left="1134" w:right="1134" w:header="0" w:top="1134" w:footer="1134" w:bottom="1693" w:gutter="0"/>
      <w:lnNumType w:countBy="1" w:restart="newPage" w:distance="283"/>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Times New Roman">
    <w:charset w:val="01"/>
    <w:family w:val="roman"/>
    <w:pitch w:val="variable"/>
  </w:font>
  <w:font w:name="Verdana">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fldChar w:fldCharType="begin"/>
    </w:r>
    <w:r>
      <w:rPr/>
      <w:instrText> PAGE </w:instrText>
    </w:r>
    <w:r>
      <w:rPr/>
      <w:fldChar w:fldCharType="separate"/>
    </w:r>
    <w:r>
      <w:rPr/>
      <w:t>23</w:t>
    </w:r>
    <w:r>
      <w:rPr/>
      <w:fldChar w:fldCharType="end"/>
    </w:r>
  </w:p>
</w:ftr>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Lohit Devanagari"/>
        <w:szCs w:val="24"/>
        <w:lang w:val="en-US" w:eastAsia="zh-CN" w:bidi="hi-IN"/>
      </w:rPr>
    </w:rPrDefault>
    <w:pPrDefault>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overflowPunct w:val="false"/>
      <w:bidi w:val="0"/>
      <w:jc w:val="left"/>
    </w:pPr>
    <w:rPr>
      <w:rFonts w:ascii="Liberation Serif" w:hAnsi="Liberation Serif" w:eastAsia="AR PL SungtiL GB" w:cs="Lohit Devanagari"/>
      <w:color w:val="auto"/>
      <w:kern w:val="0"/>
      <w:sz w:val="24"/>
      <w:szCs w:val="24"/>
      <w:lang w:val="en-US" w:eastAsia="zh-CN" w:bidi="hi-IN"/>
    </w:rPr>
  </w:style>
  <w:style w:type="character" w:styleId="DefaultParagraphFont" w:default="1">
    <w:name w:val="Default Paragraph Font"/>
    <w:uiPriority w:val="1"/>
    <w:semiHidden/>
    <w:unhideWhenUsed/>
    <w:qFormat/>
    <w:rPr/>
  </w:style>
  <w:style w:type="character" w:styleId="Quotation" w:customStyle="1">
    <w:name w:val="Quotation"/>
    <w:qFormat/>
    <w:rPr>
      <w:i/>
      <w:iCs/>
    </w:rPr>
  </w:style>
  <w:style w:type="character" w:styleId="SourceText" w:customStyle="1">
    <w:name w:val="Source Text"/>
    <w:qFormat/>
    <w:rPr>
      <w:rFonts w:ascii="Liberation Mono" w:hAnsi="Liberation Mono" w:eastAsia="AR PL SungtiL GB" w:cs="Liberation Mono"/>
    </w:rPr>
  </w:style>
  <w:style w:type="character" w:styleId="StrongEmphasis" w:customStyle="1">
    <w:name w:val="Strong Emphasis"/>
    <w:qFormat/>
    <w:rPr>
      <w:b/>
      <w:bCs/>
    </w:rPr>
  </w:style>
  <w:style w:type="character" w:styleId="NumberingSymbols" w:customStyle="1">
    <w:name w:val="Numbering Symbols"/>
    <w:qFormat/>
    <w:rPr/>
  </w:style>
  <w:style w:type="character" w:styleId="InternetLink">
    <w:name w:val="Internet Link"/>
    <w:basedOn w:val="DefaultParagraphFont"/>
    <w:uiPriority w:val="99"/>
    <w:unhideWhenUsed/>
    <w:rsid w:val="002e6523"/>
    <w:rPr>
      <w:color w:val="0563C1" w:themeColor="hyperlink"/>
      <w:u w:val="single"/>
    </w:rPr>
  </w:style>
  <w:style w:type="character" w:styleId="ListLabel1" w:customStyle="1">
    <w:name w:val="ListLabel 1"/>
    <w:qFormat/>
    <w:rPr/>
  </w:style>
  <w:style w:type="character" w:styleId="ListLabel2" w:customStyle="1">
    <w:name w:val="ListLabel 2"/>
    <w:qFormat/>
    <w:rPr>
      <w:b w:val="false"/>
      <w:bCs w:val="false"/>
    </w:rPr>
  </w:style>
  <w:style w:type="character" w:styleId="CommentTextChar" w:customStyle="1">
    <w:name w:val="Comment Text Char"/>
    <w:basedOn w:val="DefaultParagraphFont"/>
    <w:link w:val="CommentText"/>
    <w:uiPriority w:val="99"/>
    <w:semiHidden/>
    <w:qFormat/>
    <w:rPr>
      <w:rFonts w:cs="Mangal"/>
      <w:sz w:val="24"/>
      <w:szCs w:val="21"/>
    </w:rPr>
  </w:style>
  <w:style w:type="character" w:styleId="Annotationreference">
    <w:name w:val="annotation reference"/>
    <w:basedOn w:val="DefaultParagraphFont"/>
    <w:uiPriority w:val="99"/>
    <w:semiHidden/>
    <w:unhideWhenUsed/>
    <w:qFormat/>
    <w:rPr>
      <w:sz w:val="18"/>
      <w:szCs w:val="18"/>
    </w:rPr>
  </w:style>
  <w:style w:type="character" w:styleId="BalloonTextChar" w:customStyle="1">
    <w:name w:val="Balloon Text Char"/>
    <w:basedOn w:val="DefaultParagraphFont"/>
    <w:link w:val="BalloonText"/>
    <w:uiPriority w:val="99"/>
    <w:semiHidden/>
    <w:qFormat/>
    <w:rsid w:val="006c2250"/>
    <w:rPr>
      <w:rFonts w:ascii="Times New Roman" w:hAnsi="Times New Roman" w:cs="Mangal"/>
      <w:sz w:val="18"/>
      <w:szCs w:val="16"/>
    </w:rPr>
  </w:style>
  <w:style w:type="character" w:styleId="CommentSubjectChar" w:customStyle="1">
    <w:name w:val="Comment Subject Char"/>
    <w:basedOn w:val="CommentTextChar"/>
    <w:link w:val="CommentSubject"/>
    <w:uiPriority w:val="99"/>
    <w:semiHidden/>
    <w:qFormat/>
    <w:rsid w:val="006c2250"/>
    <w:rPr>
      <w:rFonts w:cs="Mangal"/>
      <w:b/>
      <w:bCs/>
      <w:sz w:val="24"/>
      <w:szCs w:val="18"/>
    </w:rPr>
  </w:style>
  <w:style w:type="character" w:styleId="ListLabel3">
    <w:name w:val="ListLabel 3"/>
    <w:qFormat/>
    <w:rPr/>
  </w:style>
  <w:style w:type="character" w:styleId="ListLabel4">
    <w:name w:val="ListLabel 4"/>
    <w:qFormat/>
    <w:rPr/>
  </w:style>
  <w:style w:type="character" w:styleId="ListLabel5">
    <w:name w:val="ListLabel 5"/>
    <w:qFormat/>
    <w:rPr/>
  </w:style>
  <w:style w:type="character" w:styleId="ListLabel6">
    <w:name w:val="ListLabel 6"/>
    <w:qFormat/>
    <w:rPr/>
  </w:style>
  <w:style w:type="character" w:styleId="ListLabel7">
    <w:name w:val="ListLabel 7"/>
    <w:qFormat/>
    <w:rPr/>
  </w:style>
  <w:style w:type="character" w:styleId="ListLabel8">
    <w:name w:val="ListLabel 8"/>
    <w:qFormat/>
    <w:rPr/>
  </w:style>
  <w:style w:type="character" w:styleId="ListLabel9">
    <w:name w:val="ListLabel 9"/>
    <w:qFormat/>
    <w:rPr/>
  </w:style>
  <w:style w:type="character" w:styleId="LineNumbering">
    <w:name w:val="Line Numbering"/>
    <w:rPr/>
  </w:style>
  <w:style w:type="character" w:styleId="ListLabel10">
    <w:name w:val="ListLabel 10"/>
    <w:qFormat/>
    <w:rPr/>
  </w:style>
  <w:style w:type="character" w:styleId="ListLabel11">
    <w:name w:val="ListLabel 11"/>
    <w:qFormat/>
    <w:rPr/>
  </w:style>
  <w:style w:type="character" w:styleId="Emphasis">
    <w:name w:val="Emphasis"/>
    <w:basedOn w:val="DefaultParagraphFont"/>
    <w:qFormat/>
    <w:rPr>
      <w:i/>
      <w:iCs/>
    </w:rPr>
  </w:style>
  <w:style w:type="character" w:styleId="ListLabel12">
    <w:name w:val="ListLabel 12"/>
    <w:qFormat/>
    <w:rPr>
      <w:rFonts w:ascii="Verdana" w:hAnsi="Verdana"/>
      <w:sz w:val="17"/>
      <w:szCs w:val="17"/>
      <w:shd w:fill="FFFFFF" w:val="clear"/>
    </w:rPr>
  </w:style>
  <w:style w:type="character" w:styleId="ListLabel13">
    <w:name w:val="ListLabel 13"/>
    <w:qFormat/>
    <w:rPr/>
  </w:style>
  <w:style w:type="paragraph" w:styleId="Heading" w:customStyle="1">
    <w:name w:val="Heading"/>
    <w:basedOn w:val="Normal"/>
    <w:next w:val="TextBody"/>
    <w:qFormat/>
    <w:pPr>
      <w:keepNext w:val="true"/>
      <w:spacing w:before="240" w:after="120"/>
    </w:pPr>
    <w:rPr>
      <w:rFonts w:ascii="Liberation Sans" w:hAnsi="Liberation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PreformattedText" w:customStyle="1">
    <w:name w:val="Preformatted Text"/>
    <w:basedOn w:val="Normal"/>
    <w:qFormat/>
    <w:pPr/>
    <w:rPr>
      <w:rFonts w:ascii="Liberation Mono" w:hAnsi="Liberation Mono" w:cs="Liberation Mono"/>
      <w:sz w:val="20"/>
      <w:szCs w:val="20"/>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eader">
    <w:name w:val="Header"/>
    <w:basedOn w:val="Normal"/>
    <w:pPr>
      <w:suppressLineNumbers/>
      <w:tabs>
        <w:tab w:val="center" w:pos="4986" w:leader="none"/>
        <w:tab w:val="right" w:pos="9972" w:leader="none"/>
      </w:tabs>
    </w:pPr>
    <w:rPr/>
  </w:style>
  <w:style w:type="paragraph" w:styleId="Annotationtext">
    <w:name w:val="annotation text"/>
    <w:basedOn w:val="Normal"/>
    <w:link w:val="CommentTextChar"/>
    <w:uiPriority w:val="99"/>
    <w:semiHidden/>
    <w:unhideWhenUsed/>
    <w:qFormat/>
    <w:pPr/>
    <w:rPr>
      <w:rFonts w:cs="Mangal"/>
      <w:szCs w:val="21"/>
    </w:rPr>
  </w:style>
  <w:style w:type="paragraph" w:styleId="BalloonText">
    <w:name w:val="Balloon Text"/>
    <w:basedOn w:val="Normal"/>
    <w:link w:val="BalloonTextChar"/>
    <w:uiPriority w:val="99"/>
    <w:semiHidden/>
    <w:unhideWhenUsed/>
    <w:qFormat/>
    <w:rsid w:val="006c2250"/>
    <w:pPr/>
    <w:rPr>
      <w:rFonts w:ascii="Times New Roman" w:hAnsi="Times New Roman" w:cs="Mangal"/>
      <w:sz w:val="18"/>
      <w:szCs w:val="16"/>
    </w:rPr>
  </w:style>
  <w:style w:type="paragraph" w:styleId="Annotationsubject">
    <w:name w:val="annotation subject"/>
    <w:basedOn w:val="Annotationtext"/>
    <w:link w:val="CommentSubjectChar"/>
    <w:uiPriority w:val="99"/>
    <w:semiHidden/>
    <w:unhideWhenUsed/>
    <w:qFormat/>
    <w:rsid w:val="006c2250"/>
    <w:pPr/>
    <w:rPr>
      <w:b/>
      <w:bCs/>
      <w:sz w:val="20"/>
      <w:szCs w:val="18"/>
    </w:rPr>
  </w:style>
  <w:style w:type="paragraph" w:styleId="Footer">
    <w:name w:val="Footer"/>
    <w:basedOn w:val="Normal"/>
    <w:pPr>
      <w:suppressLineNumbers/>
      <w:tabs>
        <w:tab w:val="center" w:pos="4986" w:leader="none"/>
        <w:tab w:val="right" w:pos="9972"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27234</TotalTime>
  <Application>LibreOffice/6.0.7.3$Linux_X86_64 LibreOffice_project/00m0$Build-3</Application>
  <Pages>25</Pages>
  <Words>6022</Words>
  <Characters>32655</Characters>
  <CharactersWithSpaces>37643</CharactersWithSpaces>
  <Paragraphs>1062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2020-02-03T23:06:00Z</dcterms:created>
  <dc:creator>binouye</dc:creator>
  <dc:description/>
  <dc:language>en-US</dc:language>
  <cp:lastModifiedBy>Michael Stemkovski</cp:lastModifiedBy>
  <dcterms:modified xsi:type="dcterms:W3CDTF">2020-07-06T17:26:17Z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Mendeley Citation Style_1">
    <vt:lpwstr>http://www.zotero.org/styles/apa</vt:lpwstr>
  </property>
  <property fmtid="{D5CDD505-2E9C-101B-9397-08002B2CF9AE}" pid="7" name="Mendeley Document_1">
    <vt:lpwstr>True</vt:lpwstr>
  </property>
  <property fmtid="{D5CDD505-2E9C-101B-9397-08002B2CF9AE}" pid="8" name="Mendeley Unique User Id_1">
    <vt:lpwstr>683f3792-0e93-3a88-a886-2ff289e2eda1</vt:lpwstr>
  </property>
  <property fmtid="{D5CDD505-2E9C-101B-9397-08002B2CF9AE}" pid="9" name="ScaleCrop">
    <vt:bool>0</vt:bool>
  </property>
  <property fmtid="{D5CDD505-2E9C-101B-9397-08002B2CF9AE}" pid="10" name="ShareDoc">
    <vt:bool>0</vt:bool>
  </property>
</Properties>
</file>