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rPr>
          <w:rFonts w:ascii="Times New Roman" w:hAnsi="Times New Roman" w:cs="Times New Roman"/>
          <w:sz w:val="24"/>
          <w:szCs w:val="24"/>
          <w:lang w:val="en-US"/>
        </w:rPr>
      </w:pPr>
      <w:r>
        <w:rPr>
          <w:rFonts w:cs="Times New Roman" w:ascii="Times New Roman" w:hAnsi="Times New Roman"/>
          <w:b/>
          <w:bCs/>
          <w:sz w:val="24"/>
          <w:szCs w:val="24"/>
          <w:lang w:val="en-US"/>
        </w:rPr>
        <w:t>Table S1.</w:t>
      </w:r>
      <w:r>
        <w:rPr>
          <w:rFonts w:cs="Times New Roman" w:ascii="Times New Roman" w:hAnsi="Times New Roman"/>
          <w:sz w:val="24"/>
          <w:szCs w:val="24"/>
          <w:lang w:val="en-US"/>
        </w:rPr>
        <w:t xml:space="preserve"> Meteorological data of the Gorongosa National Park in 2019: weather data from the dry season (May to September), the month of October and the three sampling periods in November: Dry (</w:t>
      </w:r>
      <w:r>
        <w:rPr>
          <w:rFonts w:eastAsia="Times New Roman" w:cs="Times New Roman" w:ascii="Times New Roman" w:hAnsi="Times New Roman"/>
          <w:sz w:val="24"/>
          <w:szCs w:val="24"/>
          <w:lang w:val="en-US" w:eastAsia="pt-PT"/>
        </w:rPr>
        <w:t>October 25</w:t>
      </w:r>
      <w:r>
        <w:rPr>
          <w:rFonts w:eastAsia="Times New Roman" w:cs="Times New Roman" w:ascii="Times New Roman" w:hAnsi="Times New Roman"/>
          <w:sz w:val="24"/>
          <w:szCs w:val="24"/>
          <w:vertAlign w:val="superscript"/>
          <w:lang w:val="en-US" w:eastAsia="pt-PT"/>
        </w:rPr>
        <w:t>th</w:t>
      </w:r>
      <w:r>
        <w:rPr>
          <w:rFonts w:eastAsia="Times New Roman" w:cs="Times New Roman" w:ascii="Times New Roman" w:hAnsi="Times New Roman"/>
          <w:sz w:val="24"/>
          <w:szCs w:val="24"/>
          <w:lang w:val="en-US" w:eastAsia="pt-PT"/>
        </w:rPr>
        <w:t xml:space="preserve"> – November 5</w:t>
      </w:r>
      <w:r>
        <w:rPr>
          <w:rFonts w:eastAsia="Times New Roman" w:cs="Times New Roman" w:ascii="Times New Roman" w:hAnsi="Times New Roman"/>
          <w:sz w:val="24"/>
          <w:szCs w:val="24"/>
          <w:vertAlign w:val="superscript"/>
          <w:lang w:val="en-US" w:eastAsia="pt-PT"/>
        </w:rPr>
        <w:t>th</w:t>
      </w:r>
      <w:r>
        <w:rPr>
          <w:rFonts w:cs="Times New Roman" w:ascii="Times New Roman" w:hAnsi="Times New Roman"/>
          <w:sz w:val="24"/>
          <w:szCs w:val="24"/>
          <w:lang w:val="en-US"/>
        </w:rPr>
        <w:t>), Intermediate (</w:t>
      </w:r>
      <w:r>
        <w:rPr>
          <w:rFonts w:eastAsia="Times New Roman" w:cs="Times New Roman" w:ascii="Times New Roman" w:hAnsi="Times New Roman"/>
          <w:sz w:val="24"/>
          <w:szCs w:val="24"/>
          <w:lang w:val="en-US" w:eastAsia="pt-PT"/>
        </w:rPr>
        <w:t>November 5</w:t>
      </w:r>
      <w:r>
        <w:rPr>
          <w:rFonts w:eastAsia="Times New Roman" w:cs="Times New Roman" w:ascii="Times New Roman" w:hAnsi="Times New Roman"/>
          <w:sz w:val="24"/>
          <w:szCs w:val="24"/>
          <w:vertAlign w:val="superscript"/>
          <w:lang w:val="en-US" w:eastAsia="pt-PT"/>
        </w:rPr>
        <w:t>th</w:t>
      </w:r>
      <w:r>
        <w:rPr>
          <w:rFonts w:eastAsia="Times New Roman" w:cs="Times New Roman" w:ascii="Times New Roman" w:hAnsi="Times New Roman"/>
          <w:sz w:val="24"/>
          <w:szCs w:val="24"/>
          <w:lang w:val="en-US" w:eastAsia="pt-PT"/>
        </w:rPr>
        <w:t>-15</w:t>
      </w:r>
      <w:r>
        <w:rPr>
          <w:rFonts w:eastAsia="Times New Roman" w:cs="Times New Roman" w:ascii="Times New Roman" w:hAnsi="Times New Roman"/>
          <w:sz w:val="24"/>
          <w:szCs w:val="24"/>
          <w:vertAlign w:val="superscript"/>
          <w:lang w:val="en-US" w:eastAsia="pt-PT"/>
        </w:rPr>
        <w:t>th</w:t>
      </w:r>
      <w:r>
        <w:rPr>
          <w:rFonts w:cs="Times New Roman" w:ascii="Times New Roman" w:hAnsi="Times New Roman"/>
          <w:sz w:val="24"/>
          <w:szCs w:val="24"/>
          <w:lang w:val="en-US"/>
        </w:rPr>
        <w:t xml:space="preserve">), and wet sampling period (November </w:t>
      </w:r>
      <w:r>
        <w:rPr>
          <w:rFonts w:eastAsia="Times New Roman" w:cs="Times New Roman" w:ascii="Times New Roman" w:hAnsi="Times New Roman"/>
          <w:sz w:val="24"/>
          <w:szCs w:val="24"/>
          <w:lang w:val="en-US" w:eastAsia="pt-PT"/>
        </w:rPr>
        <w:t>15</w:t>
      </w:r>
      <w:r>
        <w:rPr>
          <w:rFonts w:eastAsia="Times New Roman" w:cs="Times New Roman" w:ascii="Times New Roman" w:hAnsi="Times New Roman"/>
          <w:sz w:val="24"/>
          <w:szCs w:val="24"/>
          <w:vertAlign w:val="superscript"/>
          <w:lang w:val="en-US" w:eastAsia="pt-PT"/>
        </w:rPr>
        <w:t>th</w:t>
      </w:r>
      <w:r>
        <w:rPr>
          <w:rFonts w:eastAsia="Times New Roman" w:cs="Times New Roman" w:ascii="Times New Roman" w:hAnsi="Times New Roman"/>
          <w:sz w:val="24"/>
          <w:szCs w:val="24"/>
          <w:lang w:val="en-US" w:eastAsia="pt-PT"/>
        </w:rPr>
        <w:t>-25</w:t>
      </w:r>
      <w:r>
        <w:rPr>
          <w:rFonts w:eastAsia="Times New Roman" w:cs="Times New Roman" w:ascii="Times New Roman" w:hAnsi="Times New Roman"/>
          <w:sz w:val="24"/>
          <w:szCs w:val="24"/>
          <w:vertAlign w:val="superscript"/>
          <w:lang w:val="en-US" w:eastAsia="pt-PT"/>
        </w:rPr>
        <w:t>th</w:t>
      </w:r>
      <w:r>
        <w:rPr>
          <w:rFonts w:eastAsia="Times New Roman" w:cs="Times New Roman" w:ascii="Times New Roman" w:hAnsi="Times New Roman"/>
          <w:sz w:val="24"/>
          <w:szCs w:val="24"/>
          <w:lang w:val="en-US" w:eastAsia="pt-PT"/>
        </w:rPr>
        <w:t>)</w:t>
      </w:r>
      <w:r>
        <w:rPr>
          <w:rFonts w:cs="Times New Roman" w:ascii="Times New Roman" w:hAnsi="Times New Roman"/>
          <w:sz w:val="24"/>
          <w:szCs w:val="24"/>
          <w:lang w:val="en-US"/>
        </w:rPr>
        <w:t>. Historical weather data collected from the site Visual Crossing (2023). Average values of different weather factors, i.e. temperature data (Max, Min, Mean), relative humidity, precipitation probability, precipitation cover and cloud cover were compared among different periods (Dry season, October, and Dry, Intermediate and Wet sampling periods) with ANOVA - function ‘aov’, followed by pairwised Tukey tests in R,</w:t>
      </w:r>
      <w:r>
        <w:rPr>
          <w:lang w:val="en-US"/>
        </w:rPr>
        <w:t xml:space="preserve"> </w:t>
      </w:r>
      <w:r>
        <w:rPr>
          <w:rFonts w:cs="Times New Roman" w:ascii="Times New Roman" w:hAnsi="Times New Roman"/>
          <w:sz w:val="24"/>
          <w:szCs w:val="24"/>
          <w:lang w:val="en-US"/>
        </w:rPr>
        <w:t>version 4.1.2. Shadowed cells indicate significant between the Dry season and each one of the other periods (light grey: P&lt; 0.01; dark grey: P&lt; 0.001); Letters “A” and “B” indicate the separation of significantly different groups within the sampling period: Dry vs. Intermediate vs. Wet (P&lt; 0.05); bold numbers indicate the highly significant differences of Wet vs. Dry sampling periods (p&lt; 0.001).</w:t>
      </w:r>
    </w:p>
    <w:tbl>
      <w:tblPr>
        <w:tblW w:w="10274"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1374"/>
        <w:gridCol w:w="1603"/>
        <w:gridCol w:w="1700"/>
        <w:gridCol w:w="1276"/>
        <w:gridCol w:w="1364"/>
        <w:gridCol w:w="10"/>
        <w:gridCol w:w="1541"/>
        <w:gridCol w:w="10"/>
        <w:gridCol w:w="1385"/>
        <w:gridCol w:w="9"/>
      </w:tblGrid>
      <w:tr>
        <w:trPr>
          <w:trHeight w:val="552" w:hRule="atLeast"/>
        </w:trPr>
        <w:tc>
          <w:tcPr>
            <w:tcW w:w="1374" w:type="dxa"/>
            <w:tcBorders>
              <w:top w:val="single" w:sz="4" w:space="0" w:color="000000"/>
            </w:tcBorders>
          </w:tcPr>
          <w:p>
            <w:pPr>
              <w:pStyle w:val="Normal"/>
              <w:spacing w:lineRule="auto" w:line="240" w:before="0" w:after="0"/>
              <w:rPr>
                <w:rFonts w:ascii="Times New Roman" w:hAnsi="Times New Roman" w:eastAsia="Times New Roman" w:cs="Times New Roman"/>
                <w:lang w:val="en-US" w:eastAsia="pt-PT"/>
              </w:rPr>
            </w:pPr>
            <w:r>
              <w:rPr>
                <w:rFonts w:eastAsia="Times New Roman" w:cs="Times New Roman" w:ascii="Times New Roman" w:hAnsi="Times New Roman"/>
                <w:lang w:val="en-US" w:eastAsia="pt-PT"/>
              </w:rPr>
            </w:r>
          </w:p>
        </w:tc>
        <w:tc>
          <w:tcPr>
            <w:tcW w:w="1603" w:type="dxa"/>
            <w:tcBorders>
              <w:top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b/>
                <w:bCs/>
                <w:lang w:val="en-US" w:eastAsia="pt-PT"/>
              </w:rPr>
            </w:pPr>
            <w:r>
              <w:rPr>
                <w:rFonts w:eastAsia="Times New Roman" w:cs="Times New Roman" w:ascii="Times New Roman" w:hAnsi="Times New Roman"/>
                <w:b/>
                <w:bCs/>
                <w:lang w:val="en-US" w:eastAsia="pt-PT"/>
              </w:rPr>
            </w:r>
          </w:p>
        </w:tc>
        <w:tc>
          <w:tcPr>
            <w:tcW w:w="2976" w:type="dxa"/>
            <w:gridSpan w:val="2"/>
            <w:tcBorders>
              <w:top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Dry season</w:t>
            </w:r>
          </w:p>
        </w:tc>
        <w:tc>
          <w:tcPr>
            <w:tcW w:w="4310" w:type="dxa"/>
            <w:gridSpan w:val="5"/>
            <w:tcBorders>
              <w:top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Sampling period (November)</w:t>
            </w:r>
          </w:p>
        </w:tc>
        <w:tc>
          <w:tcPr>
            <w:tcW w:w="9" w:type="dxa"/>
            <w:tcBorders/>
          </w:tcPr>
          <w:p>
            <w:pPr>
              <w:pStyle w:val="Normal"/>
              <w:widowControl/>
              <w:bidi w:val="0"/>
              <w:spacing w:lineRule="auto" w:line="259" w:before="0" w:after="160"/>
              <w:jc w:val="left"/>
              <w:rPr/>
            </w:pPr>
            <w:r>
              <w:rPr/>
            </w:r>
          </w:p>
        </w:tc>
      </w:tr>
      <w:tr>
        <w:trPr>
          <w:trHeight w:val="288" w:hRule="atLeast"/>
        </w:trPr>
        <w:tc>
          <w:tcPr>
            <w:tcW w:w="1374" w:type="dxa"/>
            <w:tcBorders>
              <w:bottom w:val="single" w:sz="4" w:space="0" w:color="000000"/>
            </w:tcBorders>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r>
          </w:p>
        </w:tc>
        <w:tc>
          <w:tcPr>
            <w:tcW w:w="1603"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r>
          </w:p>
        </w:tc>
        <w:tc>
          <w:tcPr>
            <w:tcW w:w="1700" w:type="dxa"/>
            <w:tcBorders>
              <w:bottom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May-September</w:t>
            </w:r>
          </w:p>
        </w:tc>
        <w:tc>
          <w:tcPr>
            <w:tcW w:w="1276" w:type="dxa"/>
            <w:tcBorders>
              <w:bottom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October</w:t>
            </w:r>
          </w:p>
        </w:tc>
        <w:tc>
          <w:tcPr>
            <w:tcW w:w="1364" w:type="dxa"/>
            <w:tcBorders>
              <w:bottom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Dry</w:t>
            </w:r>
          </w:p>
        </w:tc>
        <w:tc>
          <w:tcPr>
            <w:tcW w:w="1551" w:type="dxa"/>
            <w:gridSpan w:val="2"/>
            <w:tcBorders>
              <w:bottom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Intermediate</w:t>
            </w:r>
          </w:p>
        </w:tc>
        <w:tc>
          <w:tcPr>
            <w:tcW w:w="1395" w:type="dxa"/>
            <w:gridSpan w:val="2"/>
            <w:tcBorders>
              <w:bottom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 xml:space="preserve">Wet </w:t>
            </w:r>
          </w:p>
        </w:tc>
        <w:tc>
          <w:tcPr>
            <w:tcW w:w="9" w:type="dxa"/>
            <w:tcBorders/>
          </w:tcPr>
          <w:p>
            <w:pPr>
              <w:pStyle w:val="Normal"/>
              <w:widowControl/>
              <w:bidi w:val="0"/>
              <w:spacing w:lineRule="auto" w:line="259" w:before="0" w:after="160"/>
              <w:jc w:val="left"/>
              <w:rPr/>
            </w:pPr>
            <w:r>
              <w:rPr/>
            </w:r>
          </w:p>
        </w:tc>
      </w:tr>
      <w:tr>
        <w:trPr>
          <w:trHeight w:val="288" w:hRule="atLeast"/>
        </w:trPr>
        <w:tc>
          <w:tcPr>
            <w:tcW w:w="1374" w:type="dxa"/>
            <w:tcBorders>
              <w:top w:val="single" w:sz="4" w:space="0" w:color="000000"/>
            </w:tcBorders>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Temperature</w:t>
            </w:r>
          </w:p>
        </w:tc>
        <w:tc>
          <w:tcPr>
            <w:tcW w:w="1603" w:type="dxa"/>
            <w:tcBorders>
              <w:top w:val="single" w:sz="4" w:space="0" w:color="000000"/>
            </w:tcBorders>
            <w:shd w:color="auto" w:fill="auto" w:val="clear"/>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Max (ºC)</w:t>
            </w:r>
          </w:p>
        </w:tc>
        <w:tc>
          <w:tcPr>
            <w:tcW w:w="1700" w:type="dxa"/>
            <w:tcBorders>
              <w:top w:val="single" w:sz="4" w:space="0" w:color="000000"/>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28.7 (3.3)</w:t>
            </w:r>
          </w:p>
        </w:tc>
        <w:tc>
          <w:tcPr>
            <w:tcW w:w="1276" w:type="dxa"/>
            <w:tcBorders>
              <w:top w:val="single" w:sz="4" w:space="0" w:color="000000"/>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33.6 (4)</w:t>
            </w:r>
          </w:p>
        </w:tc>
        <w:tc>
          <w:tcPr>
            <w:tcW w:w="1364" w:type="dxa"/>
            <w:tcBorders>
              <w:top w:val="single" w:sz="4" w:space="0" w:color="000000"/>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37.9 (2.3)A</w:t>
            </w:r>
          </w:p>
        </w:tc>
        <w:tc>
          <w:tcPr>
            <w:tcW w:w="1551" w:type="dxa"/>
            <w:gridSpan w:val="2"/>
            <w:tcBorders>
              <w:top w:val="single" w:sz="4" w:space="0" w:color="000000"/>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36.2 (2.2)A</w:t>
            </w:r>
          </w:p>
        </w:tc>
        <w:tc>
          <w:tcPr>
            <w:tcW w:w="1395" w:type="dxa"/>
            <w:gridSpan w:val="2"/>
            <w:tcBorders>
              <w:top w:val="single" w:sz="4" w:space="0" w:color="000000"/>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32.1 (1.8)B</w:t>
            </w:r>
          </w:p>
        </w:tc>
        <w:tc>
          <w:tcPr>
            <w:tcW w:w="9" w:type="dxa"/>
            <w:tcBorders/>
          </w:tcPr>
          <w:p>
            <w:pPr>
              <w:pStyle w:val="Normal"/>
              <w:widowControl/>
              <w:bidi w:val="0"/>
              <w:spacing w:lineRule="auto" w:line="259" w:before="0" w:after="160"/>
              <w:jc w:val="left"/>
              <w:rPr/>
            </w:pPr>
            <w:r>
              <w:rPr/>
            </w:r>
          </w:p>
        </w:tc>
      </w:tr>
      <w:tr>
        <w:trPr>
          <w:trHeight w:val="288" w:hRule="atLeast"/>
        </w:trPr>
        <w:tc>
          <w:tcPr>
            <w:tcW w:w="1374" w:type="dxa"/>
            <w:tcBorders/>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r>
          </w:p>
        </w:tc>
        <w:tc>
          <w:tcPr>
            <w:tcW w:w="1603" w:type="dxa"/>
            <w:tcBorders/>
            <w:shd w:color="auto" w:fill="auto" w:val="clear"/>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Min (ºC)</w:t>
            </w:r>
          </w:p>
        </w:tc>
        <w:tc>
          <w:tcPr>
            <w:tcW w:w="1700" w:type="dxa"/>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14 (2.5)</w:t>
            </w:r>
          </w:p>
        </w:tc>
        <w:tc>
          <w:tcPr>
            <w:tcW w:w="1276" w:type="dxa"/>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19.7 (2.2)</w:t>
            </w:r>
          </w:p>
        </w:tc>
        <w:tc>
          <w:tcPr>
            <w:tcW w:w="1364" w:type="dxa"/>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22.4 (1.5)A</w:t>
            </w:r>
          </w:p>
        </w:tc>
        <w:tc>
          <w:tcPr>
            <w:tcW w:w="1551" w:type="dxa"/>
            <w:gridSpan w:val="2"/>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23.1 (1.7)A</w:t>
            </w:r>
          </w:p>
        </w:tc>
        <w:tc>
          <w:tcPr>
            <w:tcW w:w="1395" w:type="dxa"/>
            <w:gridSpan w:val="2"/>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21.9 (1.1)A</w:t>
            </w:r>
          </w:p>
        </w:tc>
        <w:tc>
          <w:tcPr>
            <w:tcW w:w="9" w:type="dxa"/>
            <w:tcBorders/>
          </w:tcPr>
          <w:p>
            <w:pPr>
              <w:pStyle w:val="Normal"/>
              <w:widowControl/>
              <w:bidi w:val="0"/>
              <w:spacing w:lineRule="auto" w:line="259" w:before="0" w:after="160"/>
              <w:jc w:val="left"/>
              <w:rPr/>
            </w:pPr>
            <w:r>
              <w:rPr/>
            </w:r>
          </w:p>
        </w:tc>
      </w:tr>
      <w:tr>
        <w:trPr>
          <w:trHeight w:val="288" w:hRule="atLeast"/>
        </w:trPr>
        <w:tc>
          <w:tcPr>
            <w:tcW w:w="1374" w:type="dxa"/>
            <w:tcBorders/>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r>
          </w:p>
        </w:tc>
        <w:tc>
          <w:tcPr>
            <w:tcW w:w="1603" w:type="dxa"/>
            <w:tcBorders/>
            <w:shd w:color="auto" w:fill="auto" w:val="clear"/>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Mean (ºC)</w:t>
            </w:r>
          </w:p>
        </w:tc>
        <w:tc>
          <w:tcPr>
            <w:tcW w:w="1700" w:type="dxa"/>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20.6 (2.8)</w:t>
            </w:r>
          </w:p>
        </w:tc>
        <w:tc>
          <w:tcPr>
            <w:tcW w:w="1276" w:type="dxa"/>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26.2 (2.8)</w:t>
            </w:r>
          </w:p>
        </w:tc>
        <w:tc>
          <w:tcPr>
            <w:tcW w:w="1364" w:type="dxa"/>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29.8 (1.6)A</w:t>
            </w:r>
          </w:p>
        </w:tc>
        <w:tc>
          <w:tcPr>
            <w:tcW w:w="1551" w:type="dxa"/>
            <w:gridSpan w:val="2"/>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29.4 (1.4)AB</w:t>
            </w:r>
          </w:p>
        </w:tc>
        <w:tc>
          <w:tcPr>
            <w:tcW w:w="1395" w:type="dxa"/>
            <w:gridSpan w:val="2"/>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26.6 (1.3)B</w:t>
            </w:r>
          </w:p>
        </w:tc>
        <w:tc>
          <w:tcPr>
            <w:tcW w:w="9" w:type="dxa"/>
            <w:tcBorders/>
          </w:tcPr>
          <w:p>
            <w:pPr>
              <w:pStyle w:val="Normal"/>
              <w:widowControl/>
              <w:bidi w:val="0"/>
              <w:spacing w:lineRule="auto" w:line="259" w:before="0" w:after="160"/>
              <w:jc w:val="left"/>
              <w:rPr/>
            </w:pPr>
            <w:r>
              <w:rPr/>
            </w:r>
          </w:p>
        </w:tc>
      </w:tr>
      <w:tr>
        <w:trPr>
          <w:trHeight w:val="288" w:hRule="atLeast"/>
        </w:trPr>
        <w:tc>
          <w:tcPr>
            <w:tcW w:w="2977" w:type="dxa"/>
            <w:gridSpan w:val="2"/>
            <w:tcBorders/>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Relative humidity (%)</w:t>
            </w:r>
          </w:p>
        </w:tc>
        <w:tc>
          <w:tcPr>
            <w:tcW w:w="1700" w:type="dxa"/>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52.8 (12.5)</w:t>
            </w:r>
          </w:p>
        </w:tc>
        <w:tc>
          <w:tcPr>
            <w:tcW w:w="1276" w:type="dxa"/>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50.7 (12.5)</w:t>
            </w:r>
          </w:p>
        </w:tc>
        <w:tc>
          <w:tcPr>
            <w:tcW w:w="1374" w:type="dxa"/>
            <w:gridSpan w:val="2"/>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33.2 (9.1)A</w:t>
            </w:r>
          </w:p>
        </w:tc>
        <w:tc>
          <w:tcPr>
            <w:tcW w:w="1551" w:type="dxa"/>
            <w:gridSpan w:val="2"/>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45.5 (7.3)A</w:t>
            </w:r>
          </w:p>
        </w:tc>
        <w:tc>
          <w:tcPr>
            <w:tcW w:w="1394" w:type="dxa"/>
            <w:gridSpan w:val="2"/>
            <w:tcBorders/>
            <w:shd w:color="auto" w:fill="D9D9D9" w:themeFill="background1" w:themeFillShade="d9" w:val="clear"/>
            <w:vAlign w:val="center"/>
          </w:tcPr>
          <w:p>
            <w:pPr>
              <w:pStyle w:val="Normal"/>
              <w:spacing w:lineRule="auto" w:line="240" w:before="0" w:after="0"/>
              <w:jc w:val="right"/>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65.2 (1.1)B</w:t>
            </w:r>
          </w:p>
        </w:tc>
      </w:tr>
      <w:tr>
        <w:trPr>
          <w:trHeight w:val="288" w:hRule="atLeast"/>
        </w:trPr>
        <w:tc>
          <w:tcPr>
            <w:tcW w:w="1374" w:type="dxa"/>
            <w:tcBorders/>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Precipitation</w:t>
            </w:r>
          </w:p>
        </w:tc>
        <w:tc>
          <w:tcPr>
            <w:tcW w:w="1603" w:type="dxa"/>
            <w:tcBorders/>
            <w:shd w:color="auto" w:fill="auto" w:val="clear"/>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Probability (%)</w:t>
            </w:r>
          </w:p>
        </w:tc>
        <w:tc>
          <w:tcPr>
            <w:tcW w:w="1700" w:type="dxa"/>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10.5 (30.7)</w:t>
            </w:r>
          </w:p>
        </w:tc>
        <w:tc>
          <w:tcPr>
            <w:tcW w:w="1276" w:type="dxa"/>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20.8 (41.5)</w:t>
            </w:r>
          </w:p>
        </w:tc>
        <w:tc>
          <w:tcPr>
            <w:tcW w:w="1364" w:type="dxa"/>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0</w:t>
            </w:r>
          </w:p>
        </w:tc>
        <w:tc>
          <w:tcPr>
            <w:tcW w:w="1551" w:type="dxa"/>
            <w:gridSpan w:val="2"/>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40 (51.6)A</w:t>
            </w:r>
          </w:p>
        </w:tc>
        <w:tc>
          <w:tcPr>
            <w:tcW w:w="1395" w:type="dxa"/>
            <w:gridSpan w:val="2"/>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86.7 (35.2)B</w:t>
            </w:r>
          </w:p>
        </w:tc>
        <w:tc>
          <w:tcPr>
            <w:tcW w:w="9" w:type="dxa"/>
            <w:tcBorders/>
          </w:tcPr>
          <w:p>
            <w:pPr>
              <w:pStyle w:val="Normal"/>
              <w:widowControl/>
              <w:bidi w:val="0"/>
              <w:spacing w:lineRule="auto" w:line="259" w:before="0" w:after="160"/>
              <w:jc w:val="left"/>
              <w:rPr/>
            </w:pPr>
            <w:r>
              <w:rPr/>
            </w:r>
          </w:p>
        </w:tc>
      </w:tr>
      <w:tr>
        <w:trPr>
          <w:trHeight w:val="288" w:hRule="atLeast"/>
        </w:trPr>
        <w:tc>
          <w:tcPr>
            <w:tcW w:w="1374" w:type="dxa"/>
            <w:tcBorders/>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r>
          </w:p>
        </w:tc>
        <w:tc>
          <w:tcPr>
            <w:tcW w:w="1603" w:type="dxa"/>
            <w:tcBorders/>
            <w:shd w:color="auto" w:fill="auto" w:val="clear"/>
            <w:vAlign w:val="center"/>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Cover (%)</w:t>
            </w:r>
          </w:p>
        </w:tc>
        <w:tc>
          <w:tcPr>
            <w:tcW w:w="1700" w:type="dxa"/>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2.1 (8.2)</w:t>
            </w:r>
          </w:p>
        </w:tc>
        <w:tc>
          <w:tcPr>
            <w:tcW w:w="1276" w:type="dxa"/>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6.1 (16.6)</w:t>
            </w:r>
          </w:p>
        </w:tc>
        <w:tc>
          <w:tcPr>
            <w:tcW w:w="1364" w:type="dxa"/>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0</w:t>
            </w:r>
          </w:p>
        </w:tc>
        <w:tc>
          <w:tcPr>
            <w:tcW w:w="1551" w:type="dxa"/>
            <w:gridSpan w:val="2"/>
            <w:tcBorders/>
            <w:shd w:color="auto" w:fill="D9D9D9" w:themeFill="background1" w:themeFillShade="d9"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15.4 (25.2)A</w:t>
            </w:r>
          </w:p>
        </w:tc>
        <w:tc>
          <w:tcPr>
            <w:tcW w:w="1395" w:type="dxa"/>
            <w:gridSpan w:val="2"/>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46.4 (31.5)B</w:t>
            </w:r>
          </w:p>
        </w:tc>
        <w:tc>
          <w:tcPr>
            <w:tcW w:w="9" w:type="dxa"/>
            <w:tcBorders/>
          </w:tcPr>
          <w:p>
            <w:pPr>
              <w:pStyle w:val="Normal"/>
              <w:widowControl/>
              <w:bidi w:val="0"/>
              <w:spacing w:lineRule="auto" w:line="259" w:before="0" w:after="160"/>
              <w:jc w:val="left"/>
              <w:rPr/>
            </w:pPr>
            <w:r>
              <w:rPr/>
            </w:r>
          </w:p>
        </w:tc>
      </w:tr>
      <w:tr>
        <w:trPr>
          <w:trHeight w:val="288" w:hRule="atLeast"/>
        </w:trPr>
        <w:tc>
          <w:tcPr>
            <w:tcW w:w="2977" w:type="dxa"/>
            <w:gridSpan w:val="2"/>
            <w:tcBorders>
              <w:bottom w:val="single" w:sz="4" w:space="0" w:color="000000"/>
            </w:tcBorders>
          </w:tcPr>
          <w:p>
            <w:pPr>
              <w:pStyle w:val="Normal"/>
              <w:spacing w:lineRule="auto" w:line="240" w:before="0" w:after="0"/>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Cloud cover (%)</w:t>
            </w:r>
          </w:p>
        </w:tc>
        <w:tc>
          <w:tcPr>
            <w:tcW w:w="1700" w:type="dxa"/>
            <w:tcBorders>
              <w:bottom w:val="single" w:sz="4" w:space="0" w:color="000000"/>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21.9 (19.9)</w:t>
            </w:r>
          </w:p>
        </w:tc>
        <w:tc>
          <w:tcPr>
            <w:tcW w:w="1276" w:type="dxa"/>
            <w:tcBorders>
              <w:bottom w:val="single" w:sz="4" w:space="0" w:color="000000"/>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32.7 (28)</w:t>
            </w:r>
          </w:p>
        </w:tc>
        <w:tc>
          <w:tcPr>
            <w:tcW w:w="1374" w:type="dxa"/>
            <w:gridSpan w:val="2"/>
            <w:tcBorders>
              <w:bottom w:val="single" w:sz="4" w:space="0" w:color="000000"/>
            </w:tcBorders>
            <w:shd w:color="auto" w:fill="auto"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28.4 (23.6)A</w:t>
            </w:r>
          </w:p>
        </w:tc>
        <w:tc>
          <w:tcPr>
            <w:tcW w:w="1551" w:type="dxa"/>
            <w:gridSpan w:val="2"/>
            <w:tcBorders>
              <w:bottom w:val="single" w:sz="4" w:space="0" w:color="000000"/>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color w:val="000000"/>
                <w:lang w:eastAsia="pt-PT"/>
              </w:rPr>
            </w:pPr>
            <w:r>
              <w:rPr>
                <w:rFonts w:eastAsia="Times New Roman" w:cs="Times New Roman" w:ascii="Times New Roman" w:hAnsi="Times New Roman"/>
                <w:color w:val="000000"/>
                <w:lang w:eastAsia="pt-PT"/>
              </w:rPr>
              <w:t>58.8 (25.2)B</w:t>
            </w:r>
          </w:p>
        </w:tc>
        <w:tc>
          <w:tcPr>
            <w:tcW w:w="1394" w:type="dxa"/>
            <w:gridSpan w:val="2"/>
            <w:tcBorders>
              <w:bottom w:val="single" w:sz="4" w:space="0" w:color="000000"/>
            </w:tcBorders>
            <w:shd w:color="auto" w:fill="BFBFBF" w:themeFill="background1" w:themeFillShade="bf" w:val="clear"/>
            <w:vAlign w:val="center"/>
          </w:tcPr>
          <w:p>
            <w:pPr>
              <w:pStyle w:val="Normal"/>
              <w:spacing w:lineRule="auto" w:line="240" w:before="0" w:after="0"/>
              <w:jc w:val="right"/>
              <w:rPr>
                <w:rFonts w:ascii="Times New Roman" w:hAnsi="Times New Roman" w:eastAsia="Times New Roman" w:cs="Times New Roman"/>
                <w:b/>
                <w:bCs/>
                <w:color w:val="000000"/>
                <w:lang w:eastAsia="pt-PT"/>
              </w:rPr>
            </w:pPr>
            <w:r>
              <w:rPr>
                <w:rFonts w:eastAsia="Times New Roman" w:cs="Times New Roman" w:ascii="Times New Roman" w:hAnsi="Times New Roman"/>
                <w:b/>
                <w:bCs/>
                <w:color w:val="000000"/>
                <w:lang w:eastAsia="pt-PT"/>
              </w:rPr>
              <w:t>79.8 (10.6)B</w:t>
            </w:r>
          </w:p>
        </w:tc>
      </w:tr>
    </w:tbl>
    <w:p>
      <w:pPr>
        <w:pStyle w:val="Normal"/>
        <w:spacing w:lineRule="auto" w:line="480"/>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48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48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48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4"/>
          <w:szCs w:val="24"/>
          <w:lang w:val="en-US"/>
        </w:rPr>
        <w:t>Table S2.</w:t>
      </w:r>
      <w:r>
        <w:rPr>
          <w:rFonts w:cs="Times New Roman" w:ascii="Times New Roman" w:hAnsi="Times New Roman"/>
          <w:sz w:val="24"/>
          <w:szCs w:val="24"/>
          <w:lang w:val="en-US"/>
        </w:rPr>
        <w:t xml:space="preserve"> List of Caraboidea beetles (Cicindelidae, Carabidae) and their respective morphological traits regarding wing development (fully developed wings - macropterous, or apterous/brachypterous) and body size (cm). Data collected from literature specific of each species (Serrano et al., 2023) and/or confirmed/extracted from the actual specimens.</w:t>
      </w:r>
    </w:p>
    <w:tbl>
      <w:tblPr>
        <w:tblW w:w="874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10"/>
        <w:gridCol w:w="2362"/>
        <w:gridCol w:w="2269"/>
      </w:tblGrid>
      <w:tr>
        <w:trPr>
          <w:trHeight w:val="288" w:hRule="atLeast"/>
        </w:trPr>
        <w:tc>
          <w:tcPr>
            <w:tcW w:w="4110"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Species</w:t>
            </w:r>
          </w:p>
        </w:tc>
        <w:tc>
          <w:tcPr>
            <w:tcW w:w="2362"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 xml:space="preserve">Wings fully developed </w:t>
            </w:r>
          </w:p>
        </w:tc>
        <w:tc>
          <w:tcPr>
            <w:tcW w:w="2269"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Medium length (cm)</w:t>
            </w:r>
          </w:p>
        </w:tc>
      </w:tr>
      <w:tr>
        <w:trPr>
          <w:trHeight w:val="288" w:hRule="atLeast"/>
        </w:trPr>
        <w:tc>
          <w:tcPr>
            <w:tcW w:w="4110"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Abacetus cursor</w:t>
            </w:r>
          </w:p>
        </w:tc>
        <w:tc>
          <w:tcPr>
            <w:tcW w:w="2362"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top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Abacetus denticollis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9.25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Abacetus discolor</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7</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Abacetus nigrinus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10</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Abacetus percoides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10.75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Abacetus perturbator</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5.75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Abacetus pseudomashunus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14</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Anaulacus madagascariensis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6.5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Anthia alternata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40.5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Anthia burchelli petersi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46.5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Anthia circumscripta circumscripta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44.5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Anthia fornasinii fornasinii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40.5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Anthia omoplata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38</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Apotomus annulaticornis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3.5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Apristus latipennis latipennis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3.5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Brachinus distans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10</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Brachinus laetus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8</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Brachinus leprieuri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4</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Calosoma planicolle</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35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conformis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13</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cosciniophorus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11.75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cylindricollis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14</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discopictus nuncius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14.75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dusaultii diagraphus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16.5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fulvicollis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11.25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kirki kirki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lugens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18.75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notabilis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12</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paenulatus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8</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peringueyi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15.5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zanzibaricus giganteus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29</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Cimbionotum schueppelii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4</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Crepidogaster langenhani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10.75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Crepidogaster longelineata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4.65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Crepidogaster protuberata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9.75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Cymindoidea regularis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8.5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Cypholoba alveolata ranzanii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28</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Cypholoba graphipteroides bilunata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Cypholoba rutata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22.5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Cypholoba semisuturata vassei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22.5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Distichus bisquadripunctatus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11.5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Distichus picicornis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9.5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Dromica dolosa latepolita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9.9</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Eccoptoptera mutilloides mutilloides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15.5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Elaphropus aethiopicus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Elaphropus haemorrhoidalis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Elliptica compressicornis compressicornis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17</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Galerita angustipennis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22.5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Graphipterus horni staudingeri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12</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Graphipterus lineelus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11.5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Graphipterus tristis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12</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Manticora latipennis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52.5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Megacephala asperata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24.5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Melaenus elegans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9</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Melanchiton lucidulus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10.5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Mesolestes sp.</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Mesolestes machadoi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2.65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Mesolestes nigrocephalus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2.65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Metagonum insolitum</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10.75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Microlestes flavipes micromys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2.65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Microlestes zambezianus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2.75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Omostropus mandibularis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8.5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Parophonus tomentosus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Paussus cultratus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Paussus pseudoklugi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Pentaplatarthrus gestroi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8</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Perigona schmitzi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2.85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Pheropsophus dregei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17</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Pheropsophus insignis insignis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15.5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Pheropsophus mashunus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14.5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Pheropsophus stenopterus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19</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Planetes quadricollis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11</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Platytarus tesselatus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6.5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Prothymidia angusticollis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9</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Scarites polyphemus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26</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Scarites tenebricosus molossus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30</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Siagona caffra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22</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Siagona levasseuri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Siagona partita</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9</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Singilis africaorientalis kenyacus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4</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Siopelus lucens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9</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Styphlomerus neavei neavei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10.5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Systolocranius goryi</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20</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Tachys iridipennis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2.7</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Tefflus carinatus carinatus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35</w:t>
            </w:r>
          </w:p>
        </w:tc>
      </w:tr>
      <w:tr>
        <w:trPr>
          <w:trHeight w:val="288" w:hRule="atLeast"/>
        </w:trPr>
        <w:tc>
          <w:tcPr>
            <w:tcW w:w="4110"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Tetragonoderus immaculatus</w:t>
            </w:r>
          </w:p>
        </w:tc>
        <w:tc>
          <w:tcPr>
            <w:tcW w:w="2362" w:type="dxa"/>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Yes</w:t>
            </w:r>
          </w:p>
        </w:tc>
        <w:tc>
          <w:tcPr>
            <w:tcW w:w="2269"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5</w:t>
            </w:r>
          </w:p>
        </w:tc>
      </w:tr>
      <w:tr>
        <w:trPr>
          <w:trHeight w:val="288" w:hRule="atLeast"/>
        </w:trPr>
        <w:tc>
          <w:tcPr>
            <w:tcW w:w="4110"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Triaenogenius carinulatus carinulatus</w:t>
            </w:r>
          </w:p>
        </w:tc>
        <w:tc>
          <w:tcPr>
            <w:tcW w:w="2362"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No</w:t>
            </w:r>
          </w:p>
        </w:tc>
        <w:tc>
          <w:tcPr>
            <w:tcW w:w="2269" w:type="dxa"/>
            <w:tcBorders>
              <w:bottom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20</w:t>
            </w:r>
          </w:p>
        </w:tc>
      </w:tr>
    </w:tbl>
    <w:p>
      <w:pPr>
        <w:pStyle w:val="Normal"/>
        <w:spacing w:lineRule="auto" w:line="360"/>
        <w:rPr>
          <w:rFonts w:ascii="Times New Roman" w:hAnsi="Times New Roman" w:cs="Times New Roman"/>
          <w:sz w:val="24"/>
          <w:szCs w:val="24"/>
          <w:lang w:val="en-US"/>
        </w:rPr>
      </w:pPr>
      <w:r>
        <w:rPr>
          <w:rFonts w:cs="Times New Roman" w:ascii="Times New Roman" w:hAnsi="Times New Roman"/>
          <w:b/>
          <w:bCs/>
          <w:sz w:val="24"/>
          <w:szCs w:val="24"/>
          <w:lang w:val="en-US"/>
        </w:rPr>
        <w:t>Table S3.</w:t>
      </w:r>
      <w:r>
        <w:rPr>
          <w:rFonts w:cs="Times New Roman" w:ascii="Times New Roman" w:hAnsi="Times New Roman"/>
          <w:sz w:val="24"/>
          <w:szCs w:val="24"/>
          <w:lang w:val="en-US"/>
        </w:rPr>
        <w:t xml:space="preserve"> Summary of GLM analysis with the fixed effects of wing development (species with not fully developed wings – apterous/brachypterous - used as reference) on Caraboidea body size (response variable).</w:t>
      </w:r>
    </w:p>
    <w:tbl>
      <w:tblPr>
        <w:tblW w:w="8484" w:type="dxa"/>
        <w:jc w:val="left"/>
        <w:tblInd w:w="0" w:type="dxa"/>
        <w:tblLayout w:type="fixed"/>
        <w:tblCellMar>
          <w:top w:w="0" w:type="dxa"/>
          <w:left w:w="70" w:type="dxa"/>
          <w:bottom w:w="0" w:type="dxa"/>
          <w:right w:w="70" w:type="dxa"/>
        </w:tblCellMar>
        <w:tblLook w:val="04a0" w:noHBand="0" w:noVBand="1" w:firstColumn="1" w:lastRow="0" w:lastColumn="0" w:firstRow="1"/>
      </w:tblPr>
      <w:tblGrid>
        <w:gridCol w:w="1134"/>
        <w:gridCol w:w="1843"/>
        <w:gridCol w:w="970"/>
        <w:gridCol w:w="1134"/>
        <w:gridCol w:w="851"/>
        <w:gridCol w:w="850"/>
        <w:gridCol w:w="851"/>
        <w:gridCol w:w="850"/>
      </w:tblGrid>
      <w:tr>
        <w:trPr>
          <w:trHeight w:val="288" w:hRule="atLeast"/>
        </w:trPr>
        <w:tc>
          <w:tcPr>
            <w:tcW w:w="1134"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cs="Times New Roman"/>
                <w:b/>
                <w:bCs/>
                <w:lang w:val="en-US"/>
              </w:rPr>
            </w:pPr>
            <w:r>
              <w:rPr>
                <w:rFonts w:cs="Times New Roman" w:ascii="Times New Roman" w:hAnsi="Times New Roman"/>
                <w:b/>
                <w:bCs/>
                <w:lang w:val="en-US"/>
              </w:rPr>
              <w:t>Response</w:t>
            </w:r>
          </w:p>
        </w:tc>
        <w:tc>
          <w:tcPr>
            <w:tcW w:w="1843"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cs="Times New Roman"/>
                <w:b/>
                <w:bCs/>
                <w:lang w:val="en-US"/>
              </w:rPr>
            </w:pPr>
            <w:r>
              <w:rPr>
                <w:rFonts w:cs="Times New Roman" w:ascii="Times New Roman" w:hAnsi="Times New Roman"/>
                <w:b/>
                <w:bCs/>
                <w:lang w:val="en-US"/>
              </w:rPr>
              <w:t>Fixed effects</w:t>
            </w:r>
          </w:p>
        </w:tc>
        <w:tc>
          <w:tcPr>
            <w:tcW w:w="970"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cs="Times New Roman"/>
                <w:b/>
                <w:bCs/>
                <w:lang w:val="en-US"/>
              </w:rPr>
            </w:pPr>
            <w:r>
              <w:rPr>
                <w:rFonts w:cs="Times New Roman" w:ascii="Times New Roman" w:hAnsi="Times New Roman"/>
                <w:b/>
                <w:bCs/>
                <w:lang w:val="en-US"/>
              </w:rPr>
              <w:t>Estimate</w:t>
            </w:r>
          </w:p>
        </w:tc>
        <w:tc>
          <w:tcPr>
            <w:tcW w:w="1134"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cs="Times New Roman"/>
                <w:b/>
                <w:bCs/>
                <w:lang w:val="en-US"/>
              </w:rPr>
            </w:pPr>
            <w:r>
              <w:rPr>
                <w:rFonts w:cs="Times New Roman" w:ascii="Times New Roman" w:hAnsi="Times New Roman"/>
                <w:b/>
                <w:bCs/>
                <w:lang w:val="en-US"/>
              </w:rPr>
              <w:t>Std. Error</w:t>
            </w:r>
          </w:p>
        </w:tc>
        <w:tc>
          <w:tcPr>
            <w:tcW w:w="851"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cs="Times New Roman"/>
                <w:b/>
                <w:bCs/>
                <w:lang w:val="en-US"/>
              </w:rPr>
            </w:pPr>
            <w:r>
              <w:rPr>
                <w:rFonts w:cs="Times New Roman" w:ascii="Times New Roman" w:hAnsi="Times New Roman"/>
                <w:b/>
                <w:bCs/>
                <w:lang w:val="en-US"/>
              </w:rPr>
              <w:t>t value</w:t>
            </w:r>
          </w:p>
        </w:tc>
        <w:tc>
          <w:tcPr>
            <w:tcW w:w="850"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cs="Times New Roman"/>
                <w:b/>
                <w:bCs/>
                <w:lang w:val="en-US"/>
              </w:rPr>
            </w:pPr>
            <w:r>
              <w:rPr>
                <w:rFonts w:cs="Times New Roman" w:ascii="Times New Roman" w:hAnsi="Times New Roman"/>
                <w:b/>
                <w:bCs/>
                <w:lang w:val="en-US"/>
              </w:rPr>
              <w:t>P value</w:t>
            </w:r>
          </w:p>
        </w:tc>
        <w:tc>
          <w:tcPr>
            <w:tcW w:w="851"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cs="Times New Roman"/>
                <w:b/>
                <w:bCs/>
                <w:lang w:val="en-US"/>
              </w:rPr>
            </w:pPr>
            <w:r>
              <w:rPr>
                <w:rFonts w:cs="Times New Roman" w:ascii="Times New Roman" w:hAnsi="Times New Roman"/>
                <w:b/>
                <w:bCs/>
                <w:lang w:val="en-US"/>
              </w:rPr>
              <w:t>F</w:t>
            </w:r>
            <w:r>
              <w:rPr>
                <w:rFonts w:cs="Times New Roman" w:ascii="Times New Roman" w:hAnsi="Times New Roman"/>
                <w:b/>
                <w:bCs/>
                <w:vertAlign w:val="subscript"/>
                <w:lang w:val="en-US"/>
              </w:rPr>
              <w:t>(1,188)</w:t>
            </w:r>
          </w:p>
        </w:tc>
        <w:tc>
          <w:tcPr>
            <w:tcW w:w="850"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cs="Times New Roman"/>
                <w:b/>
                <w:bCs/>
                <w:lang w:val="en-US"/>
              </w:rPr>
            </w:pPr>
            <w:r>
              <w:rPr>
                <w:rFonts w:cs="Times New Roman" w:ascii="Times New Roman" w:hAnsi="Times New Roman"/>
                <w:b/>
                <w:bCs/>
                <w:lang w:val="en-US"/>
              </w:rPr>
              <w:t>P value</w:t>
            </w:r>
          </w:p>
        </w:tc>
      </w:tr>
      <w:tr>
        <w:trPr>
          <w:trHeight w:val="288" w:hRule="atLeast"/>
        </w:trPr>
        <w:tc>
          <w:tcPr>
            <w:tcW w:w="1134"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cs="Times New Roman"/>
                <w:lang w:val="en-US"/>
              </w:rPr>
            </w:pPr>
            <w:r>
              <w:rPr>
                <w:rFonts w:cs="Times New Roman" w:ascii="Times New Roman" w:hAnsi="Times New Roman"/>
                <w:lang w:val="en-US"/>
              </w:rPr>
              <w:t>Body size</w:t>
            </w:r>
          </w:p>
        </w:tc>
        <w:tc>
          <w:tcPr>
            <w:tcW w:w="1843" w:type="dxa"/>
            <w:tcBorders>
              <w:top w:val="single" w:sz="4" w:space="0" w:color="000000"/>
              <w:bottom w:val="single" w:sz="4" w:space="0" w:color="000000"/>
            </w:tcBorders>
            <w:shd w:color="auto" w:fill="auto" w:val="clear"/>
            <w:vAlign w:val="bottom"/>
          </w:tcPr>
          <w:p>
            <w:pPr>
              <w:pStyle w:val="Normal"/>
              <w:spacing w:lineRule="auto" w:line="240" w:before="0" w:after="0"/>
              <w:rPr>
                <w:rFonts w:ascii="Times New Roman" w:hAnsi="Times New Roman" w:cs="Times New Roman"/>
                <w:lang w:val="en-US"/>
              </w:rPr>
            </w:pPr>
            <w:r>
              <w:rPr>
                <w:rFonts w:cs="Times New Roman" w:ascii="Times New Roman" w:hAnsi="Times New Roman"/>
                <w:lang w:val="en-US"/>
              </w:rPr>
              <w:t>Macropterous spp.</w:t>
            </w:r>
          </w:p>
        </w:tc>
        <w:tc>
          <w:tcPr>
            <w:tcW w:w="970" w:type="dxa"/>
            <w:tcBorders>
              <w:top w:val="single" w:sz="4" w:space="0" w:color="000000"/>
              <w:bottom w:val="single" w:sz="4" w:space="0" w:color="000000"/>
            </w:tcBorders>
            <w:shd w:color="auto" w:fill="auto" w:val="clear"/>
            <w:vAlign w:val="bottom"/>
          </w:tcPr>
          <w:p>
            <w:pPr>
              <w:pStyle w:val="Normal"/>
              <w:spacing w:lineRule="auto" w:line="240" w:before="0" w:after="0"/>
              <w:jc w:val="right"/>
              <w:rPr>
                <w:rFonts w:ascii="Times New Roman" w:hAnsi="Times New Roman" w:cs="Times New Roman"/>
                <w:lang w:val="en-US"/>
              </w:rPr>
            </w:pPr>
            <w:r>
              <w:rPr>
                <w:rFonts w:cs="Times New Roman" w:ascii="Times New Roman" w:hAnsi="Times New Roman"/>
                <w:lang w:val="en-US"/>
              </w:rPr>
              <w:t>-8.43</w:t>
            </w:r>
          </w:p>
        </w:tc>
        <w:tc>
          <w:tcPr>
            <w:tcW w:w="1134" w:type="dxa"/>
            <w:tcBorders>
              <w:top w:val="single" w:sz="4" w:space="0" w:color="000000"/>
              <w:bottom w:val="single" w:sz="4" w:space="0" w:color="000000"/>
            </w:tcBorders>
            <w:shd w:color="auto" w:fill="auto" w:val="clear"/>
            <w:vAlign w:val="bottom"/>
          </w:tcPr>
          <w:p>
            <w:pPr>
              <w:pStyle w:val="Normal"/>
              <w:spacing w:lineRule="auto" w:line="240" w:before="0" w:after="0"/>
              <w:jc w:val="right"/>
              <w:rPr>
                <w:rFonts w:ascii="Times New Roman" w:hAnsi="Times New Roman" w:cs="Times New Roman"/>
                <w:lang w:val="en-US"/>
              </w:rPr>
            </w:pPr>
            <w:r>
              <w:rPr>
                <w:rFonts w:cs="Times New Roman" w:ascii="Times New Roman" w:hAnsi="Times New Roman"/>
                <w:lang w:val="en-US"/>
              </w:rPr>
              <w:t>0.97</w:t>
            </w:r>
          </w:p>
        </w:tc>
        <w:tc>
          <w:tcPr>
            <w:tcW w:w="851" w:type="dxa"/>
            <w:tcBorders>
              <w:top w:val="single" w:sz="4" w:space="0" w:color="000000"/>
              <w:bottom w:val="single" w:sz="4" w:space="0" w:color="000000"/>
            </w:tcBorders>
            <w:shd w:color="auto" w:fill="auto" w:val="clear"/>
            <w:vAlign w:val="bottom"/>
          </w:tcPr>
          <w:p>
            <w:pPr>
              <w:pStyle w:val="Normal"/>
              <w:spacing w:lineRule="auto" w:line="240" w:before="0" w:after="0"/>
              <w:jc w:val="right"/>
              <w:rPr>
                <w:rFonts w:ascii="Times New Roman" w:hAnsi="Times New Roman" w:cs="Times New Roman"/>
                <w:lang w:val="en-US"/>
              </w:rPr>
            </w:pPr>
            <w:r>
              <w:rPr>
                <w:rFonts w:cs="Times New Roman" w:ascii="Times New Roman" w:hAnsi="Times New Roman"/>
                <w:lang w:val="en-US"/>
              </w:rPr>
              <w:t>-8.67</w:t>
            </w:r>
          </w:p>
        </w:tc>
        <w:tc>
          <w:tcPr>
            <w:tcW w:w="850" w:type="dxa"/>
            <w:tcBorders>
              <w:top w:val="single" w:sz="4" w:space="0" w:color="000000"/>
              <w:bottom w:val="single" w:sz="4" w:space="0" w:color="000000"/>
            </w:tcBorders>
            <w:shd w:color="auto" w:fill="auto" w:val="clear"/>
            <w:vAlign w:val="bottom"/>
          </w:tcPr>
          <w:p>
            <w:pPr>
              <w:pStyle w:val="Normal"/>
              <w:spacing w:lineRule="auto" w:line="240" w:before="0" w:after="0"/>
              <w:jc w:val="right"/>
              <w:rPr>
                <w:rFonts w:ascii="Times New Roman" w:hAnsi="Times New Roman" w:cs="Times New Roman"/>
                <w:lang w:val="en-US"/>
              </w:rPr>
            </w:pPr>
            <w:r>
              <w:rPr>
                <w:rFonts w:cs="Times New Roman" w:ascii="Times New Roman" w:hAnsi="Times New Roman"/>
                <w:lang w:val="en-US"/>
              </w:rPr>
              <w:t>&lt; 0.001</w:t>
            </w:r>
          </w:p>
        </w:tc>
        <w:tc>
          <w:tcPr>
            <w:tcW w:w="851" w:type="dxa"/>
            <w:tcBorders>
              <w:top w:val="single" w:sz="4" w:space="0" w:color="000000"/>
              <w:bottom w:val="single" w:sz="4" w:space="0" w:color="000000"/>
            </w:tcBorders>
            <w:shd w:color="auto" w:fill="auto" w:val="clear"/>
            <w:vAlign w:val="bottom"/>
          </w:tcPr>
          <w:p>
            <w:pPr>
              <w:pStyle w:val="Normal"/>
              <w:spacing w:lineRule="auto" w:line="240" w:before="0" w:after="0"/>
              <w:jc w:val="right"/>
              <w:rPr>
                <w:rFonts w:ascii="Times New Roman" w:hAnsi="Times New Roman" w:cs="Times New Roman"/>
                <w:lang w:val="en-US"/>
              </w:rPr>
            </w:pPr>
            <w:r>
              <w:rPr>
                <w:rFonts w:cs="Times New Roman" w:ascii="Times New Roman" w:hAnsi="Times New Roman"/>
                <w:lang w:val="en-US"/>
              </w:rPr>
              <w:t>105.9</w:t>
            </w:r>
          </w:p>
        </w:tc>
        <w:tc>
          <w:tcPr>
            <w:tcW w:w="850" w:type="dxa"/>
            <w:tcBorders>
              <w:top w:val="single" w:sz="4" w:space="0" w:color="000000"/>
              <w:bottom w:val="single" w:sz="4" w:space="0" w:color="000000"/>
            </w:tcBorders>
            <w:shd w:color="auto" w:fill="auto" w:val="clear"/>
            <w:vAlign w:val="bottom"/>
          </w:tcPr>
          <w:p>
            <w:pPr>
              <w:pStyle w:val="Normal"/>
              <w:spacing w:lineRule="auto" w:line="240" w:before="0" w:after="0"/>
              <w:jc w:val="right"/>
              <w:rPr>
                <w:rFonts w:ascii="Times New Roman" w:hAnsi="Times New Roman" w:cs="Times New Roman"/>
                <w:lang w:val="en-US"/>
              </w:rPr>
            </w:pPr>
            <w:r>
              <w:rPr>
                <w:rFonts w:cs="Times New Roman" w:ascii="Times New Roman" w:hAnsi="Times New Roman"/>
                <w:lang w:val="en-US"/>
              </w:rPr>
              <w:t>&lt; 0.001</w:t>
            </w:r>
          </w:p>
        </w:tc>
      </w:tr>
    </w:tbl>
    <w:p>
      <w:pPr>
        <w:pStyle w:val="Normal"/>
        <w:spacing w:lineRule="auto" w:line="48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480"/>
        <w:rPr>
          <w:rFonts w:ascii="Times New Roman" w:hAnsi="Times New Roman" w:cs="Times New Roman"/>
          <w:sz w:val="24"/>
          <w:szCs w:val="24"/>
          <w:lang w:val="en-US"/>
        </w:rPr>
      </w:pPr>
      <w:r>
        <w:rPr>
          <w:rFonts w:cs="Times New Roman" w:ascii="Times New Roman" w:hAnsi="Times New Roman"/>
          <w:b/>
          <w:bCs/>
          <w:sz w:val="24"/>
          <w:szCs w:val="24"/>
          <w:lang w:val="en-US"/>
        </w:rPr>
        <w:t>Table S4.</w:t>
      </w:r>
      <w:r>
        <w:rPr>
          <w:rFonts w:cs="Times New Roman" w:ascii="Times New Roman" w:hAnsi="Times New Roman"/>
          <w:sz w:val="24"/>
          <w:szCs w:val="24"/>
          <w:lang w:val="en-US"/>
        </w:rPr>
        <w:t xml:space="preserve"> Tiger- and ground-beetle community found in grassland habitats in the intermediate and wet sampling periods, that were either exclusive species of grassland habitats in the dry period (light grey), or exclusive forest species in the dry period that appeared in grasslands in the intermediate-wet period (dark grey).</w:t>
      </w:r>
    </w:p>
    <w:tbl>
      <w:tblPr>
        <w:tblW w:w="97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44"/>
        <w:gridCol w:w="1275"/>
        <w:gridCol w:w="1561"/>
        <w:gridCol w:w="1983"/>
        <w:gridCol w:w="1417"/>
      </w:tblGrid>
      <w:tr>
        <w:trPr>
          <w:trHeight w:val="288" w:hRule="atLeast"/>
        </w:trPr>
        <w:tc>
          <w:tcPr>
            <w:tcW w:w="3544"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Species</w:t>
            </w:r>
          </w:p>
        </w:tc>
        <w:tc>
          <w:tcPr>
            <w:tcW w:w="2836" w:type="dxa"/>
            <w:gridSpan w:val="2"/>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Grassland habitats</w:t>
            </w:r>
          </w:p>
        </w:tc>
        <w:tc>
          <w:tcPr>
            <w:tcW w:w="3400" w:type="dxa"/>
            <w:gridSpan w:val="2"/>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Forested habitats</w:t>
            </w:r>
          </w:p>
        </w:tc>
      </w:tr>
      <w:tr>
        <w:trPr>
          <w:trHeight w:val="288" w:hRule="atLeast"/>
        </w:trPr>
        <w:tc>
          <w:tcPr>
            <w:tcW w:w="3544"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sz w:val="20"/>
                <w:szCs w:val="20"/>
                <w:lang w:val="en-US"/>
              </w:rPr>
            </w:pPr>
            <w:r>
              <w:rPr>
                <w:rFonts w:eastAsia="Times New Roman" w:cs="Times New Roman" w:ascii="Times New Roman" w:hAnsi="Times New Roman"/>
                <w:b/>
                <w:bCs/>
                <w:sz w:val="20"/>
                <w:szCs w:val="20"/>
                <w:lang w:val="en-US"/>
              </w:rPr>
            </w:r>
          </w:p>
        </w:tc>
        <w:tc>
          <w:tcPr>
            <w:tcW w:w="1275"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Dry period</w:t>
            </w:r>
          </w:p>
        </w:tc>
        <w:tc>
          <w:tcPr>
            <w:tcW w:w="1561"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Interm-Wet</w:t>
            </w:r>
          </w:p>
        </w:tc>
        <w:tc>
          <w:tcPr>
            <w:tcW w:w="1983"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Dry period</w:t>
            </w:r>
          </w:p>
        </w:tc>
        <w:tc>
          <w:tcPr>
            <w:tcW w:w="1417"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Interm-Wet</w:t>
            </w:r>
          </w:p>
        </w:tc>
      </w:tr>
      <w:tr>
        <w:trPr>
          <w:trHeight w:val="288" w:hRule="atLeast"/>
        </w:trPr>
        <w:tc>
          <w:tcPr>
            <w:tcW w:w="3544" w:type="dxa"/>
            <w:tcBorders>
              <w:top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Brachinus distans</w:t>
            </w:r>
          </w:p>
        </w:tc>
        <w:tc>
          <w:tcPr>
            <w:tcW w:w="1275" w:type="dxa"/>
            <w:tcBorders>
              <w:top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c>
          <w:tcPr>
            <w:tcW w:w="1561" w:type="dxa"/>
            <w:tcBorders>
              <w:top w:val="single" w:sz="4" w:space="0" w:color="000000"/>
            </w:tcBorders>
            <w:shd w:color="auto" w:fill="BFBFBF" w:themeFill="background1" w:themeFillShade="bf"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4</w:t>
            </w:r>
          </w:p>
        </w:tc>
        <w:tc>
          <w:tcPr>
            <w:tcW w:w="1983" w:type="dxa"/>
            <w:tcBorders>
              <w:top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417" w:type="dxa"/>
            <w:tcBorders>
              <w:top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Brachinus laetus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c>
          <w:tcPr>
            <w:tcW w:w="1561" w:type="dxa"/>
            <w:tcBorders/>
            <w:shd w:color="auto" w:fill="BFBFBF" w:themeFill="background1" w:themeFillShade="bf"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Brachinus leprieuri</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BFBFBF" w:themeFill="background1" w:themeFillShade="bf"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Scarites polyphemus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c>
          <w:tcPr>
            <w:tcW w:w="1561" w:type="dxa"/>
            <w:tcBorders/>
            <w:shd w:color="auto" w:fill="BFBFBF" w:themeFill="background1" w:themeFillShade="bf"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10</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Cimbionotum schueppelii</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BFBFBF" w:themeFill="background1" w:themeFillShade="bf"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Apotomus sp.2</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BFBFBF" w:themeFill="background1" w:themeFillShade="bf"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Tachys (Paratachys) sp.1</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BFBFBF" w:themeFill="background1" w:themeFillShade="bf"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2</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Abacetus cursor</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BFBFBF" w:themeFill="background1" w:themeFillShade="bf"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2</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Melanchiton lucidulus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BFBFBF" w:themeFill="background1" w:themeFillShade="bf"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paenulatus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BFBFBF" w:themeFill="background1" w:themeFillShade="bf"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Distichus bisquadripunctatus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A6A6A6" w:themeFill="background1" w:themeFillShade="a6"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Elaphropus aethiopicus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A6A6A6" w:themeFill="background1" w:themeFillShade="a6"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13</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conformis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A6A6A6" w:themeFill="background1" w:themeFillShade="a6"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3</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3</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peringueyi</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A6A6A6" w:themeFill="background1" w:themeFillShade="a6"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5</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5</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zanzibaricus giganteus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A6A6A6" w:themeFill="background1" w:themeFillShade="a6"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notabilis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A6A6A6" w:themeFill="background1" w:themeFillShade="a6"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7</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2</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15</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Chlaenius lugens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A6A6A6" w:themeFill="background1" w:themeFillShade="a6"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4</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w:t>
            </w:r>
          </w:p>
        </w:tc>
      </w:tr>
      <w:tr>
        <w:trPr>
          <w:trHeight w:val="288" w:hRule="atLeast"/>
        </w:trPr>
        <w:tc>
          <w:tcPr>
            <w:tcW w:w="3544" w:type="dxa"/>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Graphipterus tristis</w:t>
            </w:r>
          </w:p>
        </w:tc>
        <w:tc>
          <w:tcPr>
            <w:tcW w:w="1275"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shd w:color="auto" w:fill="A6A6A6" w:themeFill="background1" w:themeFillShade="a6"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1</w:t>
            </w:r>
          </w:p>
        </w:tc>
        <w:tc>
          <w:tcPr>
            <w:tcW w:w="1983"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19</w:t>
            </w:r>
          </w:p>
        </w:tc>
        <w:tc>
          <w:tcPr>
            <w:tcW w:w="1417" w:type="dxa"/>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4</w:t>
            </w:r>
          </w:p>
        </w:tc>
      </w:tr>
      <w:tr>
        <w:trPr>
          <w:trHeight w:val="288" w:hRule="atLeast"/>
        </w:trPr>
        <w:tc>
          <w:tcPr>
            <w:tcW w:w="3544" w:type="dxa"/>
            <w:tcBorders>
              <w:bottom w:val="single" w:sz="4" w:space="0" w:color="000000"/>
            </w:tcBorders>
            <w:shd w:color="auto" w:fill="auto" w:val="clear"/>
            <w:vAlign w:val="bottom"/>
          </w:tcPr>
          <w:p>
            <w:pPr>
              <w:pStyle w:val="Normal"/>
              <w:spacing w:lineRule="auto" w:line="240" w:before="0" w:after="0"/>
              <w:rPr>
                <w:rFonts w:ascii="Times New Roman" w:hAnsi="Times New Roman" w:eastAsia="Times New Roman" w:cs="Times New Roman"/>
                <w:i/>
                <w:i/>
                <w:iCs/>
                <w:color w:val="000000"/>
                <w:lang w:val="en-US"/>
              </w:rPr>
            </w:pPr>
            <w:r>
              <w:rPr>
                <w:rFonts w:eastAsia="Times New Roman" w:cs="Times New Roman" w:ascii="Times New Roman" w:hAnsi="Times New Roman"/>
                <w:i/>
                <w:iCs/>
                <w:color w:val="000000"/>
                <w:lang w:val="en-US"/>
              </w:rPr>
              <w:t>Anthia alternata</w:t>
            </w:r>
          </w:p>
        </w:tc>
        <w:tc>
          <w:tcPr>
            <w:tcW w:w="1275" w:type="dxa"/>
            <w:tcBorders>
              <w:bottom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0</w:t>
            </w:r>
          </w:p>
        </w:tc>
        <w:tc>
          <w:tcPr>
            <w:tcW w:w="1561" w:type="dxa"/>
            <w:tcBorders>
              <w:bottom w:val="single" w:sz="4" w:space="0" w:color="000000"/>
            </w:tcBorders>
            <w:shd w:color="auto" w:fill="A6A6A6" w:themeFill="background1" w:themeFillShade="a6" w:val="clear"/>
            <w:vAlign w:val="bottom"/>
          </w:tcPr>
          <w:p>
            <w:pPr>
              <w:pStyle w:val="Normal"/>
              <w:spacing w:lineRule="auto" w:line="240" w:before="0" w:after="0"/>
              <w:jc w:val="right"/>
              <w:rPr>
                <w:rFonts w:ascii="Times New Roman" w:hAnsi="Times New Roman" w:eastAsia="Times New Roman" w:cs="Times New Roman"/>
                <w:b/>
                <w:bCs/>
                <w:color w:val="000000"/>
                <w:lang w:val="en-US"/>
              </w:rPr>
            </w:pPr>
            <w:r>
              <w:rPr>
                <w:rFonts w:eastAsia="Times New Roman" w:cs="Times New Roman" w:ascii="Times New Roman" w:hAnsi="Times New Roman"/>
                <w:b/>
                <w:bCs/>
                <w:color w:val="000000"/>
                <w:lang w:val="en-US"/>
              </w:rPr>
              <w:t>3</w:t>
            </w:r>
          </w:p>
        </w:tc>
        <w:tc>
          <w:tcPr>
            <w:tcW w:w="1983" w:type="dxa"/>
            <w:tcBorders>
              <w:bottom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12</w:t>
            </w:r>
          </w:p>
        </w:tc>
        <w:tc>
          <w:tcPr>
            <w:tcW w:w="1417" w:type="dxa"/>
            <w:tcBorders>
              <w:bottom w:val="single" w:sz="4" w:space="0" w:color="000000"/>
            </w:tcBorders>
            <w:shd w:color="auto" w:fill="auto" w:val="clear"/>
            <w:vAlign w:val="bottom"/>
          </w:tcPr>
          <w:p>
            <w:pPr>
              <w:pStyle w:val="Normal"/>
              <w:spacing w:lineRule="auto" w:line="240" w:before="0" w:after="0"/>
              <w:jc w:val="right"/>
              <w:rPr>
                <w:rFonts w:ascii="Times New Roman" w:hAnsi="Times New Roman" w:eastAsia="Times New Roman" w:cs="Times New Roman"/>
                <w:color w:val="000000"/>
                <w:lang w:val="en-US"/>
              </w:rPr>
            </w:pPr>
            <w:r>
              <w:rPr>
                <w:rFonts w:eastAsia="Times New Roman" w:cs="Times New Roman" w:ascii="Times New Roman" w:hAnsi="Times New Roman"/>
                <w:color w:val="000000"/>
                <w:lang w:val="en-US"/>
              </w:rPr>
              <w:t>8</w:t>
            </w:r>
          </w:p>
        </w:tc>
      </w:tr>
    </w:tbl>
    <w:p>
      <w:pPr>
        <w:pStyle w:val="Normal"/>
        <w:rPr/>
      </w:pPr>
      <w:r>
        <w:rPr/>
      </w:r>
    </w:p>
    <w:p>
      <w:pPr>
        <w:pStyle w:val="Normal"/>
        <w:spacing w:lineRule="auto" w:line="36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360"/>
        <w:rPr>
          <w:rFonts w:ascii="Times New Roman" w:hAnsi="Times New Roman" w:cs="Times New Roman"/>
          <w:b/>
          <w:bCs/>
          <w:sz w:val="24"/>
          <w:szCs w:val="24"/>
          <w:lang w:val="en-US"/>
        </w:rPr>
      </w:pPr>
      <w:r>
        <w:rPr>
          <w:rFonts w:cs="Times New Roman" w:ascii="Times New Roman" w:hAnsi="Times New Roman"/>
          <w:b/>
          <w:bCs/>
          <w:sz w:val="24"/>
          <w:szCs w:val="24"/>
          <w:lang w:val="en-US"/>
        </w:rPr>
        <w:t>References:</w:t>
      </w:r>
    </w:p>
    <w:p>
      <w:pPr>
        <w:pStyle w:val="Normal"/>
        <w:spacing w:lineRule="auto" w:line="480"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480" w:before="0" w:after="0"/>
        <w:rPr>
          <w:rFonts w:ascii="Times New Roman" w:hAnsi="Times New Roman" w:cs="Times New Roman"/>
          <w:sz w:val="24"/>
          <w:szCs w:val="24"/>
          <w:lang w:val="en-US"/>
        </w:rPr>
      </w:pPr>
      <w:r>
        <w:rPr>
          <w:rFonts w:cs="Times New Roman" w:ascii="Times New Roman" w:hAnsi="Times New Roman"/>
          <w:sz w:val="24"/>
          <w:szCs w:val="24"/>
          <w:lang w:val="en-US"/>
        </w:rPr>
        <w:t>Serrano ARM, Baptista M, Carvalho R, Boieiro M, Mendes S, Bartz M, Timóteo S, Azevedo-Pereira HMVS, Aguiar CAS, Alves da Silva A, Alves J, Briones MJ, Sousa JP, Martins da Silva P (2023) Inventory of tiger- and ground-beetles (Coleoptera Caraboidea: Cicindelidae, Carabidae) in two sampling seasons of the Gorongosa National Park.</w:t>
      </w:r>
      <w:r>
        <w:rPr>
          <w:lang w:val="en-US"/>
        </w:rPr>
        <w:t xml:space="preserve"> </w:t>
      </w:r>
      <w:r>
        <w:rPr>
          <w:rFonts w:cs="Times New Roman" w:ascii="Times New Roman" w:hAnsi="Times New Roman"/>
          <w:sz w:val="24"/>
          <w:szCs w:val="24"/>
          <w:lang w:val="en-US"/>
        </w:rPr>
        <w:t>Biodivers Data J (in press)</w:t>
      </w:r>
    </w:p>
    <w:p>
      <w:pPr>
        <w:pStyle w:val="Normal"/>
        <w:spacing w:lineRule="auto" w:line="480"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480"/>
        <w:rPr>
          <w:rFonts w:ascii="Times New Roman" w:hAnsi="Times New Roman" w:cs="Times New Roman"/>
          <w:sz w:val="24"/>
          <w:szCs w:val="24"/>
          <w:lang w:val="en-US"/>
        </w:rPr>
      </w:pPr>
      <w:r>
        <w:rPr>
          <w:rFonts w:cs="Times New Roman" w:ascii="Times New Roman" w:hAnsi="Times New Roman"/>
          <w:sz w:val="24"/>
          <w:szCs w:val="24"/>
          <w:lang w:val="en-US"/>
        </w:rPr>
        <w:t xml:space="preserve">Visual Crossing (2023) Weather Data &amp; API - Global Forecast &amp; History Data. Retrieved from </w:t>
      </w:r>
      <w:hyperlink r:id="rId2">
        <w:r>
          <w:rPr>
            <w:rStyle w:val="Hyperlink"/>
            <w:rFonts w:cs="Times New Roman" w:ascii="Times New Roman" w:hAnsi="Times New Roman"/>
            <w:sz w:val="24"/>
            <w:szCs w:val="24"/>
            <w:lang w:val="en-US"/>
          </w:rPr>
          <w:t>https://www.visualcrossing.com/</w:t>
        </w:r>
      </w:hyperlink>
    </w:p>
    <w:p>
      <w:pPr>
        <w:pStyle w:val="Normal"/>
        <w:spacing w:lineRule="auto" w:line="480"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360"/>
        <w:rPr>
          <w:rFonts w:ascii="Times New Roman" w:hAnsi="Times New Roman" w:cs="Times New Roman"/>
          <w:b/>
          <w:bCs/>
          <w:sz w:val="24"/>
          <w:szCs w:val="24"/>
        </w:rPr>
      </w:pPr>
      <w:r>
        <w:rPr>
          <w:rFonts w:cs="Times New Roman" w:ascii="Times New Roman" w:hAnsi="Times New Roman"/>
          <w:b/>
          <w:bCs/>
          <w:sz w:val="24"/>
          <w:szCs w:val="24"/>
        </w:rPr>
      </w:r>
    </w:p>
    <w:p>
      <w:pPr>
        <w:pStyle w:val="Normal"/>
        <w:widowControl/>
        <w:bidi w:val="0"/>
        <w:spacing w:lineRule="auto" w:line="259" w:before="0" w:after="160"/>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pt-P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pt-PT"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e1729c"/>
    <w:rPr>
      <w:color w:themeColor="hyperlink" w:val="0563C1"/>
      <w:u w:val="single"/>
    </w:rPr>
  </w:style>
  <w:style w:type="character" w:styleId="UnresolvedMention">
    <w:name w:val="Unresolved Mention"/>
    <w:basedOn w:val="DefaultParagraphFont"/>
    <w:uiPriority w:val="99"/>
    <w:semiHidden/>
    <w:unhideWhenUsed/>
    <w:qFormat/>
    <w:rsid w:val="00e1729c"/>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visualcrossing.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28819-F1CB-4BF7-887A-CAFAEB1D1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Application>LibreOffice/24.2.7.2$Linux_X86_64 LibreOffice_project/420$Build-2</Application>
  <AppVersion>15.0000</AppVersion>
  <Pages>6</Pages>
  <Words>987</Words>
  <Characters>5643</Characters>
  <CharactersWithSpaces>6194</CharactersWithSpaces>
  <Paragraphs>440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2023-07-30T23:36:00Z</dcterms:created>
  <dc:creator>Sofia Isabel Vieira Gabriel</dc:creator>
  <dc:description/>
  <dc:language>en-US</dc:language>
  <cp:lastModifiedBy>Sofia Isabel Vieira Gabriel</cp:lastModifiedBy>
  <dcterms:modified xsi:type="dcterms:W3CDTF">2023-07-31T18:52:00Z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file>