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Cartas Duplicadas</w:t>
      </w:r>
    </w:p>
    <w:p>
      <w:r>
        <w:t>Data da Análise: 19/12/Y 14:49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Setor</w:t>
            </w:r>
          </w:p>
        </w:tc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Arquivos</w:t>
            </w:r>
          </w:p>
        </w:tc>
      </w:tr>
      <w:tr>
        <w:tc>
          <w:tcPr>
            <w:tcW w:type="dxa" w:w="2160"/>
          </w:tcPr>
          <w:p>
            <w:r>
              <w:t>KM</w:t>
            </w:r>
          </w:p>
        </w:tc>
        <w:tc>
          <w:tcPr>
            <w:tcW w:type="dxa" w:w="2160"/>
          </w:tcPr>
          <w:p>
            <w:r>
              <w:t>25100201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AF-FDM-25100201_CPEU KM 307+479 ao 312+317</w:t>
            </w:r>
          </w:p>
        </w:tc>
      </w:tr>
      <w:tr>
        <w:tc>
          <w:tcPr>
            <w:tcW w:type="dxa" w:w="2160"/>
          </w:tcPr>
          <w:p>
            <w:r>
              <w:t>GF</w:t>
            </w:r>
          </w:p>
        </w:tc>
        <w:tc>
          <w:tcPr>
            <w:tcW w:type="dxa" w:w="2160"/>
          </w:tcPr>
          <w:p>
            <w:r>
              <w:t>25100701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AF-GF-25100701-Verba de Fiscalização.pdf</w:t>
            </w:r>
          </w:p>
        </w:tc>
      </w:tr>
      <w:tr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25100702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AF-GO-25100702_Aferição dos parâmetros operacionais</w:t>
            </w:r>
          </w:p>
        </w:tc>
      </w:tr>
      <w:tr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25100703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AF-GO-25100703_Dados Operacionais</w:t>
            </w:r>
          </w:p>
        </w:tc>
      </w:tr>
      <w:tr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25100704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AF-GO-25100704 Metodologia de isentos</w:t>
            </w:r>
          </w:p>
        </w:tc>
      </w:tr>
      <w:tr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25100705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AF-GO-25100705 Dados de Tráfego Real</w:t>
            </w:r>
          </w:p>
        </w:tc>
      </w:tr>
      <w:tr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25100902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AF-GO-25100902 Campanhas.pdf</w:t>
            </w:r>
          </w:p>
        </w:tc>
      </w:tr>
      <w:tr>
        <w:tc>
          <w:tcPr>
            <w:tcW w:type="dxa" w:w="2160"/>
          </w:tcPr>
          <w:p>
            <w:r>
              <w:t>GT</w:t>
            </w:r>
          </w:p>
        </w:tc>
        <w:tc>
          <w:tcPr>
            <w:tcW w:type="dxa" w:w="2160"/>
          </w:tcPr>
          <w:p>
            <w:r>
              <w:t>25100202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AF-GT-25100202_Relatório Mensal das Principais Obras</w:t>
            </w:r>
          </w:p>
        </w:tc>
      </w:tr>
      <w:tr>
        <w:tc>
          <w:tcPr>
            <w:tcW w:type="dxa" w:w="2160"/>
          </w:tcPr>
          <w:p>
            <w:r>
              <w:t>GT</w:t>
            </w:r>
          </w:p>
        </w:tc>
        <w:tc>
          <w:tcPr>
            <w:tcW w:type="dxa" w:w="2160"/>
          </w:tcPr>
          <w:p>
            <w:r>
              <w:t>25101601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AF-GT-25101601_GEFOP_RETOFF</w:t>
            </w:r>
          </w:p>
        </w:tc>
      </w:tr>
      <w:tr>
        <w:tc>
          <w:tcPr>
            <w:tcW w:type="dxa" w:w="2160"/>
          </w:tcPr>
          <w:p>
            <w:r>
              <w:t>GT</w:t>
            </w:r>
          </w:p>
        </w:tc>
        <w:tc>
          <w:tcPr>
            <w:tcW w:type="dxa" w:w="2160"/>
          </w:tcPr>
          <w:p>
            <w:r>
              <w:t>25102001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AF-GT-25102001_COROD_Programação mensal</w:t>
            </w:r>
          </w:p>
        </w:tc>
      </w:tr>
      <w:tr>
        <w:tc>
          <w:tcPr>
            <w:tcW w:type="dxa" w:w="2160"/>
          </w:tcPr>
          <w:p>
            <w:r>
              <w:t>GT</w:t>
            </w:r>
          </w:p>
        </w:tc>
        <w:tc>
          <w:tcPr>
            <w:tcW w:type="dxa" w:w="2160"/>
          </w:tcPr>
          <w:p>
            <w:r>
              <w:t>25102002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AF-GT-25102002_COROD_Revisão Programação mensal</w:t>
            </w:r>
          </w:p>
        </w:tc>
      </w:tr>
      <w:tr>
        <w:tc>
          <w:tcPr>
            <w:tcW w:type="dxa" w:w="2160"/>
          </w:tcPr>
          <w:p>
            <w:r>
              <w:t>GT</w:t>
            </w:r>
          </w:p>
        </w:tc>
        <w:tc>
          <w:tcPr>
            <w:tcW w:type="dxa" w:w="2160"/>
          </w:tcPr>
          <w:p>
            <w:r>
              <w:t>25102901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AF-GT-25102901_SUROD_Dispositivo redução de velocidade</w:t>
            </w:r>
          </w:p>
        </w:tc>
      </w:tr>
      <w:tr>
        <w:tc>
          <w:tcPr>
            <w:tcW w:type="dxa" w:w="2160"/>
          </w:tcPr>
          <w:p>
            <w:r>
              <w:t>DS</w:t>
            </w:r>
          </w:p>
        </w:tc>
        <w:tc>
          <w:tcPr>
            <w:tcW w:type="dxa" w:w="2160"/>
          </w:tcPr>
          <w:p>
            <w:r>
              <w:t>25103101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AF_DS_25103101_SUROD_Mapa de Bens</w:t>
            </w:r>
          </w:p>
        </w:tc>
      </w:tr>
      <w:tr>
        <w:tc>
          <w:tcPr>
            <w:tcW w:type="dxa" w:w="2160"/>
          </w:tcPr>
          <w:p>
            <w:r>
              <w:t>GF</w:t>
            </w:r>
          </w:p>
        </w:tc>
        <w:tc>
          <w:tcPr>
            <w:tcW w:type="dxa" w:w="2160"/>
          </w:tcPr>
          <w:p>
            <w:r>
              <w:t>25101601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AF_GF_25101601_Evolução do Investimento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