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28"/>
          <w:szCs w:val="28"/>
        </w:rPr>
        <w:t xml:space="preserve">MANUAL DE ATUAÇÃO EM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DATA GOVERNANCE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0E7C7B"/>
          <w:sz w:val="26"/>
          <w:szCs w:val="26"/>
        </w:rPr>
        <w:t xml:space="preserve">Framework de Diagnóstico, Estruturação e Catálogo de Soluções
para Empresas de Varejo de Médio Porte</w:t>
      </w:r>
    </w:p>
    <w:p>
      <w:pPr>
        <w:spacing w:after="60" w:before="18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v0.2 — Documento de Trabalho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Baseado em experiência prática de consultoria em dados no varejo,
cruzada com DAMA-DMBOK, DGI, DCAM e NIST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Sumário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1 — Introdução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3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2 — Fundamentos: Por que Governança de Dados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5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3 — Diagnóstico Organizacional (Fase 0)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8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4 — Estrutura de Governança (Fase 1)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10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5 — Arquitetura e Camadas de Dados (Fases 2 e 3)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11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6 — Data Quality Framework (Fase 4)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13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7 — Cultura e Change Management (Fase 5)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14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8 — Catálogo de Soluções (Fase 6)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15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9 — Parceiros Tecnológicos (Fase 7)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18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10 — Rumo ao Webapp de Governança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19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Capítulo 11 — Roadmap de Implementação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21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Anexo A — Agentes de IA Aplicados a Soluções Específicas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22</w:t>
      </w:r>
    </w:p>
    <w:p>
      <w:pPr>
        <w:tabs>
          <w:tab w:val="right" w:pos="9350" w:leader="dot"/>
        </w:tabs>
        <w:spacing w:after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Anexo B — Glossário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23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1 — Introdução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1.1 Objetivo do manual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Este manual consolida, em um único protocolo, a experiência prática adquirida em um projeto de consultoria em dados dentro de uma empresa de varejo de médio porte, cruzada com frameworks de mercado consolidados (DAMA-DMBOK, DGI, DCAM e NIST). O objetivo não é copiar um framework acadêmico, mas construir um método de atuação replicável: como diagnosticar, estruturar e evoluir a maturidade de dados de uma operação — e, a partir disso, montar um catálogo de soluções específicas (Pricing, aging de estoque, visibilidade de estoque, ROI de campanhas, negociações comerciais) que se repetem entre áreas e entre empresas com o mesmo porte e os mesmos gargalos estruturais.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Empresas médias de varejo compartilham um padrão de dor: dados espalhados em sistemas diferentes (ERP, e-commerce, WMS, CRM, planilhas), sem dono formal, sem chave de cruzamento validada, e sem cultura de dados consolidada. Este documento assume esse cenário como ponto de partida realista — não o cenário ideal de uma big tech com Chief Data Officer e equipe de 50 pessoas.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1.2 Escopo e público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 manual serve como guia de atuação para quem chega numa operação — como consultor, analista de dados ou gestor recém-contratado — e precisa estruturar governança de dados do zero, com recursos limitados. Ele cobre desde o diagnóstico inicial até a construção de um catálogo de soluções reaproveitáveis entre áreas.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1.3 Como usar este documento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Este manual foi desenhado para ser usado em paralelo com uma ferramenta de apoio (webapp) que consolide, de forma estruturada, o que hoje está descrito em texto: áreas de negócio, fontes de dados, credenciais, avaliações de maturidade, owners/stewards, camadas de dados e entregáveis. O Capítulo 10 detalha o modelo de dados proposto para essa ferramenta — cada seção deste documento corresponde a uma entidade ou processo que pode virar uma tela do sistema.</w:t>
      </w:r>
    </w:p>
    <w:tbl>
      <w:tblPr>
        <w:tblW w:type="pct" w:w="100%"/>
        <w:tblBorders>
          <w:top w:val="single" w:color="C08A2E" w:sz="4"/>
          <w:left w:val="single" w:color="C08A2E" w:sz="4"/>
          <w:bottom w:val="single" w:color="C08A2E" w:sz="4"/>
          <w:right w:val="single" w:color="C08A2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6A1F"/>
                <w:sz w:val="21"/>
                <w:szCs w:val="21"/>
              </w:rPr>
              <w:t xml:space="preserve">⚑ Apontamento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A3D1F"/>
                <w:sz w:val="20"/>
                <w:szCs w:val="20"/>
              </w:rPr>
              <w:t xml:space="preserve">Trate este manual como um documento vivo. A cada novo cliente/operação, o Capítulo 3 (diagnóstico) e o Capítulo 8 (catálogo) devem ser preenchidos com os dados reais levantados — o resto do framework tende a se manter estável entre operações do mesmo porte e setor.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1.4 Visão geral do protocolo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 protocolo completo está organizado em sete fases, detalhadas capítulo a capítulo ao longo deste manual. As três primeiras constroem a fundação (o que existe, quem decide, onde mora o dado); as duas seguintes tratam da execução técnica; a quinta garante adoção; as duas últimas escalam o protocolo em soluções e parceiros reaproveitáveis.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Figura 1.1 — Visão geral das sete fases do protocolo de Data Governance.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2 — Fundamentos: Por que Governança de Dados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2.1 Data Governance vs. Data Management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É comum confundir os dois termos. Data Management é o conjunto de práticas operacionais para lidar com dados: ingestão, armazenamento, transformação, integração. Data Governance é a camada de decisão sobre essas práticas: quem decide o quê, com que autoridade, sob quais regras e com que nível de qualidade exigido. A DAMA-DMBOK trata governança como o núcleo que sustenta e conecta todas as demais disciplinas de gestão de dados — arquitetura, modelagem, segurança, integração, qualidade, dados mestres e BI. Sem governança, cada disciplina evolui isolada e cria mais um silo.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2.2 Os quatro pilares centrais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Para efeito prático deste protocolo, a governança de dados é organizada em quatro pilares que aparecem, sob nomes diferentes, em praticamente todos os frameworks consolidados: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Figura 2.1 — Os quatro pilares da governança de dados e a camada de metadados que os sustenta.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Data Quality — acuracidade, consistência e completude do dado ao longo do tempo.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Security &amp; Privacy — controle de acesso, criptografia, aderência à LGPD e demais exigências regulatórias.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Data Stewardship — responsabilidade e papéis explícitos sobre cada domínio de dado.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Policies &amp; Standards — premissas documentadas, definições de negócio e fluxos de trabalho formalizados.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Esses quatro pilares só se sustentam se houver uma camada de Metadata Management ativa: informação sobre o dado (schema, tipo, fluxo) e também sobre o negócio (relevância, contexto de uso, qualidade, versão, histórico). É o metadado bem estruturado que transforma uma base de dados em um Data Catalog — o ativo que garante escalabilidade da governança ao longo da vida útil do dado.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2.3 Frameworks de referência comparados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Quatro referências formam a base conceitual deste protocolo. Nenhuma delas é usada "pronta" — cada uma contribui com um ângulo diferente do problema: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Figura 2.2 — Ênfase relativa de cada framework por dimensão (escala qualitativa de comparação).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DAMA-DMBOK (Data Management Body of Knowledge)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Mantido pela DAMA International, é a referência mais abrangente: organiza a gestão de dados em 11 áreas de conhecimento (Governança, Arquitetura, Modelagem, Armazenamento e Operações, Segurança, Integração e Interoperabilidade, Gestão de Conteúdo e Documentos, Dados de Referência e Mestres, Data Warehousing e BI, Metadados, Qualidade de Dados), com governança no centro conectando todas as demais. É o ponto de partida para vocabulário comum e para garantir que nenhuma dimensão relevante fique de fora do diagnóstico.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DGI (Data Governance Institute)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Framework focado em direitos de decisão e accountability: quem tem autoridade para decidir sobre qual dado, e como essa decisão é comunicada e aplicada. É a referência mais útil na hora de desenhar a matriz de papéis (Capítulo 4) — Owner, Steward, Council — porque força a pergunta "quem decide isso, de fato?" antes de qualquer ferramenta ou processo.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DCAM (Data Management Capability Assessment Model, EDM Council)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Modelo de avaliação de maturidade. Em vez de prescrever uma estrutura única, oferece critérios para medir o quão madura está a gestão de dados de uma organização, domínio a domínio. É a base conceitual do modelo de maturidade de pipeline usado no Capítulo 5 deste manual — a lógica de evoluir por níveis, sem pular etapas, vem diretamente dessa abordagem de assessment incremental.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NIST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Reforça cinco componentes operacionais: papéis e responsabilidades, categorias de governança, modelo de implementação, comunicação do programa e capacidades operacionais centrais. É a referência mais forte em compliance e risco — relevante sobretudo no desenho da Fase 1 (hierarquia de acesso e proteção de dados sensíveis) e na aderência à LGPD.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2.4 Por que adaptar, e não copiar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Esses frameworks foram desenhados, em grande parte, pensando em organizações grandes, com equipes dedicadas de dados e orçamento de tecnologia relevante. Empresas médias de varejo não têm esse contexto: o time de dados costuma ser uma ou duas pessoas, muitas vezes terceirizadas via consultoria, e a prioridade do negócio é a operação do dia a dia, não a governança em si. Este manual assume esse contexto como restrição de design, não como exceção — cada fase do protocolo (Capítulo 3 em diante) foi desenhada para gerar valor visível rapidamente, mesmo em estágio de maturidade zero, e para evoluir de forma incremental.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3 — Diagnóstico Organizacional (Fase 0)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 diagnóstico é a fase mais crítica do protocolo — e a mais frequentemente pulada. É comum a tentação de "ir direto para o dashboard". Na prática, sem diagnóstico, o risco é consolidar métricas erradas de forma bonita — o que é pior do que não ter métrica nenhuma, porque gera confiança falsa na tomada de decisão.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3.1 Metodologia de assessment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 diagnóstico é conduzido por área de negócio (não por sistema), porque é a área que sente a dor e que vai validar se a solução funciona. Para cada área, o assessment levanta cinco dimensões, que correspondem diretamente às entidades do modelo de dados proposto no Capítulo 10: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Área de negócio — qual é, qual sua prioridade relativa para o negócio.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Fontes de dado — quais sistemas, planilhas e APIs alimentam essa área hoje.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Credenciais e acesso — nível de dificuldade técnica para extrair o dado (API disponível? autenticação complexa? depende de terceiro?).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Maturidade atual — em que estágio está a pipeline de cada fonte (ver modelo de maturidade, Capítulo 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Owners informais — quem hoje, na prática, é procurado quando algo dá errado com aquele dado (mesmo sem o cargo formal).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3.2 Apontamento crítico: a dificuldade técnica de acesso não é detalhe</w:t>
      </w:r>
    </w:p>
    <w:tbl>
      <w:tblPr>
        <w:tblW w:type="pct" w:w="100%"/>
        <w:tblBorders>
          <w:top w:val="single" w:color="C08A2E" w:sz="4"/>
          <w:left w:val="single" w:color="C08A2E" w:sz="4"/>
          <w:bottom w:val="single" w:color="C08A2E" w:sz="4"/>
          <w:right w:val="single" w:color="C08A2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6A1F"/>
                <w:sz w:val="21"/>
                <w:szCs w:val="21"/>
              </w:rPr>
              <w:t xml:space="preserve">⚑ Apontamento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A3D1F"/>
                <w:sz w:val="20"/>
                <w:szCs w:val="20"/>
              </w:rPr>
              <w:t xml:space="preserve">Na experiência de campo, puxar dados via API exigiu identificar e validar credenciais que, em muitos casos, ninguém na empresa sabia mais onde estavam. Esse esforço — que parece "trabalho de TI", não de governança — precisa ser registrado explicitamente no diagnóstico. Subestimar esse ponto é uma das causas mais comuns de atraso em projetos de dados: o gargalo não costuma ser analítico, é de acesso.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3.3 Identificação da chave mestra de cruzamento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Antes de qualquer consolidação, é necessário identificar a chave que permite cruzar dados entre sistemas diferentes. No caso do varejo, essa chave costuma ser o SKU — mas o problema raramente é o SKU em si, e sim a ausência de uma tabela de-para única entre nomenclaturas divergentes por sistema.</w:t>
      </w:r>
    </w:p>
    <w:tbl>
      <w:tblPr>
        <w:tblW w:type="pct" w:w="100%"/>
        <w:tblBorders>
          <w:top w:val="single" w:color="C08A2E" w:sz="4"/>
          <w:left w:val="single" w:color="C08A2E" w:sz="4"/>
          <w:bottom w:val="single" w:color="C08A2E" w:sz="4"/>
          <w:right w:val="single" w:color="C08A2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6A1F"/>
                <w:sz w:val="21"/>
                <w:szCs w:val="21"/>
              </w:rPr>
              <w:t xml:space="preserve">⚑ Caso aplicado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A3D1F"/>
                <w:sz w:val="20"/>
                <w:szCs w:val="20"/>
              </w:rPr>
              <w:t xml:space="preserve">Na experiência de campo (caso BRAE), o cruzamento de dados entre áreas só se tornou possível depois de identificar a tabela DIM: um cadastro central contendo código de-para de SKU, código de entrada/saída, linha de produto e volumetria. Esse levantamento consumiu tempo considerável e exigiu integração direta com outras áreas — deve ser tratado como entregável formal do diagnóstico, não como pré-requisito implícito.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3.4 Silos: identificar antes de eliminar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Um silo de dados não é, em si, um erro de alguém — é o resultado natural de áreas que cresceram resolvendo problemas locais com as ferramentas que tinham à mão. O diagnóstico deve mapear os silos existentes sem julgamento, documentando: o que cada silo contém, quem o mantém, e o que se perde por ele não conversar com o resto. Só depois desse mapeamento faz sentido desenhar a fonte única (Capítulo 5).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3.5 Padrão encontrado por área (referência de campo)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Principal gargalo</w:t>
            </w:r>
          </w:p>
        </w:tc>
        <w:tc>
          <w:tcPr>
            <w:tcW w:type="dxa" w:w="2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Fontes envolvidas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RGM / E-commerce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Sem visão diária consolidada de venda/desconto/kit; ROI de campanha exige 3 donos diferentes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VTEX, Google Ads, Insider, SAC, planilhas de preço</w:t>
            </w:r>
          </w:p>
        </w:tc>
      </w:tr>
      <w:tr>
        <w:tc>
          <w:tcPr>
            <w:tcW w:type="dxa" w:w="24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Logística</w:t>
            </w:r>
          </w:p>
        </w:tc>
        <w:tc>
          <w:tcPr>
            <w:tcW w:type="dxa" w:w="4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Visibilidade de estoque; custo de frete/transportador; gate de PCP não automatizado</w:t>
            </w:r>
          </w:p>
        </w:tc>
        <w:tc>
          <w:tcPr>
            <w:tcW w:type="dxa" w:w="27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WMS, SAP, operador logístico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Comercial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Notas bloqueadas por ruptura de 1 SKU entre vários; diário de faturamento gigante em Excel sem owner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SAP, planilhas de faturamento, carteira comercial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4 — Estrutura de Governança (Fase 1)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4.1 Papéis e matriz de responsabilidade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Seguindo a lógica do DGI, a primeira pergunta de governança não é técnica — é "quem decide?". Três papéis cobrem a maior parte dos casos em empresa média: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35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4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23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típico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Owner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Autoridade de negócio sobre o domínio; aprova premissas, prioriza demandas, responde por decisões sobre o dado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Gerente da área</w:t>
            </w:r>
          </w:p>
        </w:tc>
      </w:tr>
      <w:tr>
        <w:tc>
          <w:tcPr>
            <w:tcW w:type="dxa" w:w="21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Steward</w:t>
            </w:r>
          </w:p>
        </w:tc>
        <w:tc>
          <w:tcPr>
            <w:tcW w:type="dxa" w:w="49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Execução: ingestão, consolidação, primeira validação de qualidade, ponto focal técnico do dia a dia</w:t>
            </w:r>
          </w:p>
        </w:tc>
        <w:tc>
          <w:tcPr>
            <w:tcW w:type="dxa" w:w="23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Analista sênior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User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Consome o dado consolidado para decisão, sem responsabilidade de manutenção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Times operacionais</w:t>
            </w:r>
          </w:p>
        </w:tc>
      </w:tr>
    </w:tbl>
    <w:tbl>
      <w:tblPr>
        <w:tblW w:type="pct" w:w="100%"/>
        <w:tblBorders>
          <w:top w:val="single" w:color="C08A2E" w:sz="4"/>
          <w:left w:val="single" w:color="C08A2E" w:sz="4"/>
          <w:bottom w:val="single" w:color="C08A2E" w:sz="4"/>
          <w:right w:val="single" w:color="C08A2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6A1F"/>
                <w:sz w:val="21"/>
                <w:szCs w:val="21"/>
              </w:rPr>
              <w:t xml:space="preserve">⚑ Apontamento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A3D1F"/>
                <w:sz w:val="20"/>
                <w:szCs w:val="20"/>
              </w:rPr>
              <w:t xml:space="preserve">É comum a governança emperrar não pela falta de steward, mas pela falta de owner. Um steward sem um owner que valide premissas de negócio produz dado tecnicamente correto, mas sem legitimidade — ninguém confia nele para decidir. Definir o owner é, na prática, o passo que mais trava projetos de dados em empresas médias.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4.2 Hierarquia de acesso e classificação de sensibilidade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Cada fonte de dado deve ser classificada quanto à sensibilidade (dado público interno, dado comercial restrito, dado pessoal sob LGPD) e a hierarquia de acesso deve refletir essa classificação, não a estrutura hierárquica da empresa. Dados de negociação comercial por cliente, por exemplo, exigem controle de acesso mais rígido do que um dashboard de faturamento agregado, mesmo que ambos "pertençam" à mesma área.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Mapear, por fonte, se há dado pessoal sensível (CPF, dados de cliente) sujeito à LGPD.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Definir criptografia e controle de acesso proporcionais ao risco, não uniformes para tudo.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Documentar quem tem acesso a cada camada (bronze/prata/ouro) — nem todo usuário precisa ver o dado bruto.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4.3 Documentação mínima viável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Governança não precisa começar com um manual de 80 páginas de políticas. O mínimo viável, por domínio de dado, é uma tabela simples e sempre atualizada, com: nome do domínio, owner, steward, fontes, última validação de qualidade, nível de sensibilidade e local de armazenamento. Esse é, literalmente, o dado que alimenta o modelo do Capítulo 10.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5 — Arquitetura e Camadas de Dados (Fases 2 e 3)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5.1 Metadata Management e Data Catalog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Um dado sem metadado é um número sem contexto. A prática recomendada é registrar, para cada fonte consolidada: definição de negócio (o que esse campo realmente significa, na linguagem da área), relevância, contexto de uso, qualidade conhecida, versão e histórico de mudanças. Isso é o que permite, meses depois, alguém novo entender por que um KPI é calculado daquela forma — sem essa camada, o conhecimento fica preso na cabeça de quem construiu a planilha original.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5.2 Modelo de maturidade de pipeline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recomendação prática, testada em campo, é evoluir por níveis — nunca pular direto para automação completa sem antes validar manualmente que as premissas dos dados fazem sentido: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Figura 5.1 — Modelo de maturidade de pipeline em 5 níveis.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Nível 1 — Exploratório: script Python pontual para validar a qualidade e as premissas do dado bruto.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Nível 2 — Rotina com owner: mesmo processo, agora com responsável formal pela ingestão periódica.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Nível 3 — Camada ouro: dado consolidado em banco (ex.: PostgreSQL) alimentando BI (ex.: Power BI).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Nível 4 — Automação: webapp ou backend automatizado substitui o processo manual, quando o volume de decisão justificar o investimento.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Nível 5 — Agentic: camada de linguagem natural sobre o dado, com dicionário de requisições pré-definido para reduzir erro de interpretação (ver Anexo A).</w:t>
      </w:r>
    </w:p>
    <w:tbl>
      <w:tblPr>
        <w:tblW w:type="pct" w:w="100%"/>
        <w:tblBorders>
          <w:top w:val="single" w:color="C08A2E" w:sz="4"/>
          <w:left w:val="single" w:color="C08A2E" w:sz="4"/>
          <w:bottom w:val="single" w:color="C08A2E" w:sz="4"/>
          <w:right w:val="single" w:color="C08A2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6A1F"/>
                <w:sz w:val="21"/>
                <w:szCs w:val="21"/>
              </w:rPr>
              <w:t xml:space="preserve">⚑ Apontamento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A3D1F"/>
                <w:sz w:val="20"/>
                <w:szCs w:val="20"/>
              </w:rPr>
              <w:t xml:space="preserve">Um erro comum é tentar construir logo de início um webapp com backend automatizado. Na prática, na fase inicial de uma governança, um script que devolve o dado consolidado numa planilha, com um responsável humano identificado, entrega mais confiabilidade do que uma automação prematura sem processo de validação por trás.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5.3 Arquitetura em camadas (bronze / prata / ouro)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arquitetura recomendada organiza o dado em três camadas de transformação progressiva, um padrão conhecido no mercado como medallion architecture: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Figura 5.2 — Arquitetura de dados em camadas, das fontes brutas ao consumo final.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Bronze — ingestão bruta, dado exatamente como veio da fonte, sem transformação.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Prata — consolidação com chave comum (ex.: SKU/DIM), limpeza e deduplicação.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Ouro — modelo de negócio: KPIs e métricas prontos para consumo por BI, webapp ou camada de agentes.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5.4 Fonte única de verdade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 objetivo da camada prata é eliminar a pergunta "qual planilha está certa?". Isso exige não apenas consolidação técnica, mas hierarquia clara de quem pode alterar a fonte única — sem isso, o time volta a criar cópias paralelas "para conferir", recriando o silo que a governança tentou eliminar.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6 — Data Quality Framework (Fase 4)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6.1 Dimensões de qualidade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Antes de consolidar qualquer KPI, é necessário ranquear a acuracidade e a consistência de cada fonte — ou seja, deixar explícitas as premissas por trás de cada dado. Consolidar um indicador bonito a partir de uma premissa errada é o risco mais comum e mais caro dessa fase.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Acuracidade — o dado reflete corretamente a realidade operacional?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Consistência — o mesmo conceito é calculado da mesma forma em todas as fontes que o usam?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Completude — existem lacunas (dias, SKUs, lojas) sem dado, e isso está sinalizado, não escondido?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6.2 KPIs de monitoramento contínuo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Data Quality não é um projeto com fim — é uma rotina. Alguns KPIs de monitoramento validados em campo: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Dias sem venda por SKU (sinal de ruptura ou problema de cadastro).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Variações inesperadas dia a dia acima de um limite (alerta automático, não revisão manual constante).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Divergência entre fontes que deveriam bater (ex.: faturamento no e-commerce vs. faturamento no SAP).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Cada um desses KPIs precisa de um responsável (steward) que investigue e remedie o desvio — um alerta sem dono é apenas ruído.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7 — Cultura e Change Management (Fase 5)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7.1 Por que a maioria dos programas de governança falha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causa mais comum de fracasso não é técnica. É a equipe não enxergar valor no que está sendo construído. Quando a comunicação não é efetiva, o time não adota a rotina — e ninguém gosta de mais burocracia sem retorno visível. Isso vale tanto para o analista que vai atualizar o dado diariamente quanto para o gerente que precisa validar as premissas.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7.2 Estratégia de adoção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Mostrar valor antes de exigir rotina — um primeiro entregável rápido (mesmo simples) constrói confiança para pedir disciplina depois.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Patrocínio top-down explícito: a governança precisa ser visivelmente endossada pela liderança da área, não apenas pelo time de dados.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Rotina leve: processos que parecem "mais uma camada de aprovação" tendem a ser abandonados assim que a pressão do dia a dia aumenta.</w:t>
      </w:r>
    </w:p>
    <w:tbl>
      <w:tblPr>
        <w:tblW w:type="pct" w:w="100%"/>
        <w:tblBorders>
          <w:top w:val="single" w:color="C08A2E" w:sz="4"/>
          <w:left w:val="single" w:color="C08A2E" w:sz="4"/>
          <w:bottom w:val="single" w:color="C08A2E" w:sz="4"/>
          <w:right w:val="single" w:color="C08A2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6A1F"/>
                <w:sz w:val="21"/>
                <w:szCs w:val="21"/>
              </w:rPr>
              <w:t xml:space="preserve">⚑ Apontamento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A3D1F"/>
                <w:sz w:val="20"/>
                <w:szCs w:val="20"/>
              </w:rPr>
              <w:t xml:space="preserve">Cultura de dados não é o último item da lista — é o fator que decide se todo o resto (Capítulos 3 a 6) sobrevive além do primeiro mês. Vale tratar a Fase 5 como transversal, presente desde a primeira conversa de diagnóstico, não como uma etapa final de "comunicação do projeto".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8 — Catálogo de Soluções (Fase 6)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8.1 Template padrão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Cada item do catálogo documenta um problema recorrente — não uma entrega única — para que possa ser reaplicado em outra área ou outra empresa com o mesmo tipo de dor. O template tem seis blocos: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61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Problema recorrente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Descrição do gargalo, validado contra referência de mercado quando aplicável</w:t>
            </w:r>
          </w:p>
        </w:tc>
      </w:tr>
      <w:tr>
        <w:tc>
          <w:tcPr>
            <w:tcW w:type="dxa" w:w="3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Fontes de dados envolvidas</w:t>
            </w:r>
          </w:p>
        </w:tc>
        <w:tc>
          <w:tcPr>
            <w:tcW w:type="dxa" w:w="61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Sistema, o que fornece, dificuldade típica de acesso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Chave de cruzamento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Campo que conecta as fontes (ex.: SKU)</w:t>
            </w:r>
          </w:p>
        </w:tc>
      </w:tr>
      <w:tr>
        <w:tc>
          <w:tcPr>
            <w:tcW w:type="dxa" w:w="3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Owner / Steward típico</w:t>
            </w:r>
          </w:p>
        </w:tc>
        <w:tc>
          <w:tcPr>
            <w:tcW w:type="dxa" w:w="61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Papel de negócio e papel técnico esperados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Maturidade da pipeline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Nível 1–5 (Capítulo 5) recomendado para esse tipo de solução</w:t>
            </w:r>
          </w:p>
        </w:tc>
      </w:tr>
      <w:tr>
        <w:tc>
          <w:tcPr>
            <w:tcW w:type="dxa" w:w="3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Produto final</w:t>
            </w:r>
          </w:p>
        </w:tc>
        <w:tc>
          <w:tcPr>
            <w:tcW w:type="dxa" w:w="61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Entregável: planilha, BI, webapp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8.2 Caso aplicado — Pricing / RGM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Primeiro item desenvolvido do catálogo, usado aqui como exemplo completo do nível de detalhe esperado para os próximos.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Problema recorrente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Falta de visão diária consolidada de performance comercial no e-commerce: variação de vendas, faturamento, quantidade, desconto e kits não eram acompanhados de forma estruturada, o que impedia observar tendência histórica por SKU, projetar cobertura de estoque ou identificar dias sem venda a tempo de agir. Um segundo problema, mais difícil, é o cálculo de ROI de campanhas — exige cruzar custo de mídia (Google Ads/Insider), custo de produto (FP&amp;A) e performance de venda (VTEX), três donos de dado diferentes.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Essa estrutura corresponde aos três pilares clássicos de Revenue Growth Management (RGM) usados como benchmark de mercado: pricing, portfolio/mix e trade investment/promoções — os três dependem da mesma fundação de dados limpa.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Fontes de dados envolvidas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50"/>
        <w:gridCol w:w="36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5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fornece</w:t>
            </w:r>
          </w:p>
        </w:tc>
        <w:tc>
          <w:tcPr>
            <w:tcW w:type="dxa" w:w="3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Dificuldade típica de acesso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VTEX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Vendas, preço, desconto, kits, estoque por SKU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disponível; requer credenciais e mapeamento de endpoints</w:t>
            </w:r>
          </w:p>
        </w:tc>
      </w:tr>
      <w:tr>
        <w:tc>
          <w:tcPr>
            <w:tcW w:type="dxa" w:w="2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Google Ads</w:t>
            </w:r>
          </w:p>
        </w:tc>
        <w:tc>
          <w:tcPr>
            <w:tcW w:type="dxa" w:w="35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 de mídia por campanha</w:t>
            </w:r>
          </w:p>
        </w:tc>
        <w:tc>
          <w:tcPr>
            <w:tcW w:type="dxa" w:w="3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com OAuth; granularidade por produto varia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Insider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Automação de marketing, eventos, campanhas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disponível; integração costuma exigir apoio do fornecedor</w:t>
            </w:r>
          </w:p>
        </w:tc>
      </w:tr>
      <w:tr>
        <w:tc>
          <w:tcPr>
            <w:tcW w:type="dxa" w:w="2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SAC / Zendesk</w:t>
            </w:r>
          </w:p>
        </w:tc>
        <w:tc>
          <w:tcPr>
            <w:tcW w:type="dxa" w:w="35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Volume e categoria de atendimento</w:t>
            </w:r>
          </w:p>
        </w:tc>
        <w:tc>
          <w:tcPr>
            <w:tcW w:type="dxa" w:w="3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disponível; dado qualitativo, exige categorização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Planilhas de preço/gasto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Preço praticado, histórico de alteração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Sem API; depende de rotina manual</w:t>
            </w:r>
          </w:p>
        </w:tc>
      </w:tr>
      <w:tr>
        <w:tc>
          <w:tcPr>
            <w:tcW w:type="dxa" w:w="2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FP&amp;A</w:t>
            </w:r>
          </w:p>
        </w:tc>
        <w:tc>
          <w:tcPr>
            <w:tcW w:type="dxa" w:w="35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 unitário por SKU</w:t>
            </w:r>
          </w:p>
        </w:tc>
        <w:tc>
          <w:tcPr>
            <w:tcW w:type="dxa" w:w="3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Planilha interna; acesso restrito</w:t>
            </w:r>
          </w:p>
        </w:tc>
      </w:tr>
    </w:tbl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Chave de cruzamento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SKU, via a tabela mestra de-para (equivalente à DIM). Validar essa chave entre VTEX, FP&amp;A e planilhas de preço é pré-requisito, não etapa paralela — sem isso, qualquer cálculo de ROI ou margem fica sujeito a erro silencioso.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Owner / Steward típico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Data Owner: gerência de RGM / E-commerce.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Data Steward: analista sênior da área.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Data Steward de apoio (FP&amp;A): mantém o custo de produto atualizado — costuma ser o gargalo de governança porque o dado "mora" fora da área que mais precisa dele.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Maturidade da pipeline recomendada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Nível 1 (script exploratório) → Nível 2 (rotina com steward, saída em planilha) → Nível 3 (camada ouro em SQL + Power BI) → Nível 4 futuro (cálculo de ROI automatizado com alerta de dias sem venda e projeção de cobertura).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KPIs propostos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Faturamento, quantidade e desconto médio diários por SKU/kit.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Cobertura projetada de estoque (30 / 60 dias).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Dias sem venda por SKU e faturamento estimado perdido por ruptura.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ROI de campanha (custo mídia + custo produto vs. receita gerada).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Produto final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Dashboard de alto nível (Power BI) para visibilidade da área, com trilha de evolução para webapp caso o volume de decisões justifique automação adicional.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8.3 Próximos itens do roadmap do catálogo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5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1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Pricing / RGM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RGM / E-commerce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Desenvolvido (referência, seção 8.2)</w:t>
            </w:r>
          </w:p>
        </w:tc>
      </w:tr>
      <w:tr>
        <w:tc>
          <w:tcPr>
            <w:tcW w:type="dxa" w:w="3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Visibilidade de estoque / Aging</w:t>
            </w:r>
          </w:p>
        </w:tc>
        <w:tc>
          <w:tcPr>
            <w:tcW w:type="dxa" w:w="30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Logística</w:t>
            </w:r>
          </w:p>
        </w:tc>
        <w:tc>
          <w:tcPr>
            <w:tcW w:type="dxa" w:w="31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Próximo — priorizado pelo usuário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Negociações comerciais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Comercial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3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Gate de PCP</w:t>
            </w:r>
          </w:p>
        </w:tc>
        <w:tc>
          <w:tcPr>
            <w:tcW w:type="dxa" w:w="30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Logística / Produção</w:t>
            </w:r>
          </w:p>
        </w:tc>
        <w:tc>
          <w:tcPr>
            <w:tcW w:type="dxa" w:w="31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Backlog — alto esforço, alto ganho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Diário de faturamento consolidado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Comercial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Backlog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9 — Parceiros Tecnológicos (Fase 7)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9.1 Critérios de avaliação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Nem toda ferramenta com API é, na prática, fácil de integrar. Os critérios usados para priorizar parceiros tecnológicos em um projeto de governança de dados em empresa média: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Disponibilidade e documentação da API — existe endpoint claro para o dado que a área precisa?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Esforço de autenticação — credenciais simples (chave de API) versus fluxos complexos (OAuth com múltiplos escopos).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Granularidade do dado retornado — é possível obter o dado no nível de SKU/campanha/dia, ou só agregados?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Suporte do fornecedor — existe time técnico disponível para dúvidas de integração?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9.2 Mapeamento de parceiros validados em campo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5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Parceiro</w:t>
            </w:r>
          </w:p>
        </w:tc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Domínio</w:t>
            </w:r>
          </w:p>
        </w:tc>
        <w:tc>
          <w:tcPr>
            <w:tcW w:type="dxa" w:w="42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VTEX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E-commerce</w:t>
            </w:r>
          </w:p>
        </w:tc>
        <w:tc>
          <w:tcPr>
            <w:tcW w:type="dxa" w:w="4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robusta, boa documentação, dado no nível de SKU/pedido</w:t>
            </w:r>
          </w:p>
        </w:tc>
      </w:tr>
      <w:tr>
        <w:tc>
          <w:tcPr>
            <w:tcW w:type="dxa" w:w="2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Zendesk</w:t>
            </w:r>
          </w:p>
        </w:tc>
        <w:tc>
          <w:tcPr>
            <w:tcW w:type="dxa" w:w="29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Atendimento (SAC)</w:t>
            </w:r>
          </w:p>
        </w:tc>
        <w:tc>
          <w:tcPr>
            <w:tcW w:type="dxa" w:w="42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disponível; dado exige categorização para virar métrica de negócio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Insider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Automação de marketing</w:t>
            </w:r>
          </w:p>
        </w:tc>
        <w:tc>
          <w:tcPr>
            <w:tcW w:type="dxa" w:w="4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disponível; integração inicial costuma exigir apoio do fornecedor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Este mapeamento deve crescer a cada novo cliente/projeto — é um dos ativos mais reaproveitáveis do protocolo, porque o esforço de integração de um parceiro tende a se repetir entre empresas do mesmo setor.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10 — Rumo ao Webapp de Governança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10.1 Por que estruturar isso como dado, e não como documento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Este manual, em sua forma atual, é texto — o que já resolve o problema de método e referência. Mas o diagnóstico (Capítulo 3), a estrutura de governança (Capítulo 4) e o catálogo (Capítulo 8) são, na prática, dados estruturados: cada área tem fontes, cada fonte tem credenciais e uma avaliação de maturidade, cada domínio tem owner e steward, cada solução do catálogo tem um conjunto de entregáveis. Transformar isso em um webapp permite: comparar maturidade entre áreas de forma visual, dar manutenção viva ao inventário de fontes e credenciais (que hoje se perde em documentos estáticos), e reutilizar o mesmo modelo entre diferentes clientes/projetos.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10.2 Modelo de dados proposto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Figura 10.1 — Modelo de entidades proposto para o webapp de governança.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 modelo espelha diretamente a estrutura deste manual: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Área de Negócio — id, nome, prioridade, owner responsável (Capítulo 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Fonte de Dados — vinculada a uma área; tipo de acesso (API/manual) (Capítulo 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Credencial — vinculada a uma fonte; tipo, status, responsável pelo acesso (Capítulo 3.2).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Pessoa / Papel — Owner, Steward ou User, vinculado a uma área ou solução (Capítulo 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Avaliação de Maturidade — nível de 1 a 5 por fonte, com data (Capítulo 5.2).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Camada de Dados — bronze/prata/ouro por fonte, com local de armazenamento (Capítulo 5.3).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Solução do Catálogo — nome, fontes envolvidas, chave de cruzamento (Capítulo 8).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Entregável — tipo (BI/webapp/planilha), status, URL, vinculado a uma solução (Capítulo 8).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10.3 MVP sugerido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Para validar o modelo sem grande investimento inicial, o MVP recomendado cobre três telas: (1) cadastro e listagem de Áreas e Fontes com status de credencial e maturidade — resolve a dor mais imediata de "perder" esse levantamento em documentos; (2) matriz de Owners/Stewards por área, para tornar visível quem responde por cada domínio; (3) catálogo de soluções com filtro por área e status, reaproveitando o template do Capítulo 8.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Capítulo 11 — Roadmap de Implementação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11.1 Cronograma sugerido em ondas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50"/>
        <w:gridCol w:w="34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Onda</w:t>
            </w:r>
          </w:p>
        </w:tc>
        <w:tc>
          <w:tcPr>
            <w:tcW w:type="dxa" w:w="33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Entregável esperado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Onda 1 (semanas 1–3)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Diagnóstico (Fase 0) na área prioritária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Mapa de fontes, silos, chave mestra validada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Onda 2 (semanas 3–5)</w:t>
            </w:r>
          </w:p>
        </w:tc>
        <w:tc>
          <w:tcPr>
            <w:tcW w:type="dxa" w:w="33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Fundamentos de governança (Fase 1)</w:t>
            </w:r>
          </w:p>
        </w:tc>
        <w:tc>
          <w:tcPr>
            <w:tcW w:type="dxa" w:w="34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Owners/stewards definidos, hierarquia de acesso documentada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Onda 3 (semanas 5–9)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Pipeline nível 1–3 (Fases 2–3)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Camada ouro consolidada + primeiro dashboard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Onda 4 (contínua)</w:t>
            </w:r>
          </w:p>
        </w:tc>
        <w:tc>
          <w:tcPr>
            <w:tcW w:type="dxa" w:w="33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quality + cultura (Fases 4–5)</w:t>
            </w:r>
          </w:p>
        </w:tc>
        <w:tc>
          <w:tcPr>
            <w:tcW w:type="dxa" w:w="34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Rotina de monitoramento + adoção pelo time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Onda 5 (paralela)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Catálogo de soluções (Fase 6)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Segundo e terceiro item do catálogo documentados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11.2 Critérios de sucesso por fase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Diagnóstico: todas as fontes da área prioritária mapeadas, com dificuldade de acesso registrada.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Governança: 100% dos domínios críticos com owner e steward nomeados (mesmo que informalmente no início).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Pipeline: dado consolidado atualizado com rotina definida, sem depender de uma única pessoa "lembrar" de rodar o script.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Cultura: uso espontâneo do dashboard pelo time da área, sem necessidade de cobrança constante.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Anexo A — Agentes de IA Aplicados a Soluções Específicas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Esta seção não faz parte do escopo central da governança de dados — é uma referência de apoio para quando uma solução específica do catálogo (Capítulo 8) evoluir para o Nível 5 de maturidade (Capítulo 5.2), com uso de agentes de IA. Síntese baseada no artigo "Building Effective Agents", da Anthropic.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A.1 Ideia central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As implementações mais bem-sucedidas de agentes não usam frameworks complexos nem abstrações elaboradas — usam padrões simples e componíveis. A recomendação prática é começar com a solução mais simples possível e só adicionar complexidade (múltiplos agentes, loops autônomos, orquestração dinâmica) quando ela comprovadamente melhorar o resultado. Complexidade adicionada cedo demais tende a piorar a confiabilidade, não melhorar.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A.2 Workflows vs. Agents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Workflows são sistemas em que os passos de execução são definidos por código, com o modelo entrando em pontos previsíveis. Agents são sistemas em que o próprio modelo decide dinamicamente os passos seguintes. Workflows favorecem previsibilidade para tarefas bem definidas; agents são preferíveis quando flexibilidade é necessária, ao custo de menor previsibilidade e maior dificuldade de auditoria. A recomendação é começar simples (workflow) e evoluir para agente só se a natureza do problema exigir.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A.3 Cinco padrões de workflow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61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Prompt Chaining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Tarefa se decompõe em passos sequenciais fixos e conhecidos</w:t>
            </w:r>
          </w:p>
        </w:tc>
      </w:tr>
      <w:tr>
        <w:tc>
          <w:tcPr>
            <w:tcW w:type="dxa" w:w="3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Routing</w:t>
            </w:r>
          </w:p>
        </w:tc>
        <w:tc>
          <w:tcPr>
            <w:tcW w:type="dxa" w:w="61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Existem categorias de entrada distintas, cada uma com tratamento diferente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Parallelization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Subtarefas independentes se beneficiam de rodar em paralelo, ou múltiplas tentativas aumentam confiança</w:t>
            </w:r>
          </w:p>
        </w:tc>
      </w:tr>
      <w:tr>
        <w:tc>
          <w:tcPr>
            <w:tcW w:type="dxa" w:w="32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Orchestrator-Workers</w:t>
            </w:r>
          </w:p>
        </w:tc>
        <w:tc>
          <w:tcPr>
            <w:tcW w:type="dxa" w:w="61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As subtarefas não são previsíveis antes de ver a entrada específica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Evaluator-Optimizer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Existe critério de qualidade claro e refinamento iterativo agrega valor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E7C7B"/>
        </w:rPr>
        <w:t xml:space="preserve">A.4 Aplicação prática no catálogo de soluções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Para uma solução como a de Pricing/RGM (Capítulo 8.2), um agente aplicado à camada ouro poderia responder perguntas em linguagem natural ("qual SKU teve maior queda de faturamento essa semana?") traduzindo-as em consultas ao banco. A recomendação do framework é iniciar com um dicionário pré-definido de requisições possíveis — um padrão de Routing — antes de evoluir para um agente mais aberto, e sempre exigir que o agente busque "ground truth" no ambiente (resultado real da consulta) a cada passo, em vez de responder apenas com base no que o modelo acha que deveria ser o resultado.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2A4A"/>
        </w:rPr>
        <w:t xml:space="preserve">Anexo B — Glossário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Owner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Autoridade de negócio responsável por um domínio de dado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Steward</w:t>
            </w:r>
          </w:p>
        </w:tc>
        <w:tc>
          <w:tcPr>
            <w:tcW w:type="dxa" w:w="67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Responsável técnico pela execução (ingestão, consolidação, qualidade) de um domínio de dado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Silo de dados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Fonte de dado isolada, sem integração com o restante da organização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Chave de cruzamento</w:t>
            </w:r>
          </w:p>
        </w:tc>
        <w:tc>
          <w:tcPr>
            <w:tcW w:type="dxa" w:w="67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Campo comum que permite relacionar dados de fontes diferentes (ex.: SKU)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Camada bronze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Dado bruto, como veio da fonte, sem transformação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Camada prata</w:t>
            </w:r>
          </w:p>
        </w:tc>
        <w:tc>
          <w:tcPr>
            <w:tcW w:type="dxa" w:w="67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Dado consolidado, padronizado, com chave de cruzamento aplicada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Camada ouro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Dado modelado para consumo de negócio (KPIs, métricas)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DAMA-DMBOK</w:t>
            </w:r>
          </w:p>
        </w:tc>
        <w:tc>
          <w:tcPr>
            <w:tcW w:type="dxa" w:w="67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Framework de referência em gestão de dados, mantido pela DAMA International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DGI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Governance Institute — framework focado em papéis e direitos de decisão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DCAM</w:t>
            </w:r>
          </w:p>
        </w:tc>
        <w:tc>
          <w:tcPr>
            <w:tcW w:type="dxa" w:w="67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Management Capability Assessment Model — modelo de maturidade do EDM Council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RGM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Revenue Growth Management — disciplina de pricing, mix e trade investment</w:t>
            </w:r>
          </w:p>
        </w:tc>
      </w:tr>
      <w:tr>
        <w:tc>
          <w:tcPr>
            <w:tcW w:type="dxa" w:w="260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LGPD</w:t>
            </w:r>
          </w:p>
        </w:tc>
        <w:tc>
          <w:tcPr>
            <w:tcW w:type="dxa" w:w="6750"/>
            <w:shd w:fill="F2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Lei Geral de Proteção de Dados — legislação brasileira de privacidade de dados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Página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de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Manual de Atuação em Data Governance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71eefc75d53da44d9474bde9f808d5fc333cfd.png"/><Relationship Id="rId10" Type="http://schemas.openxmlformats.org/officeDocument/2006/relationships/image" Target="media/d83f636e146023cbc7a1fa3854988280600fc563.png"/><Relationship Id="rId11" Type="http://schemas.openxmlformats.org/officeDocument/2006/relationships/image" Target="media/7789de99245ff9e1f76f0cef0bdb28de8fbb9710.png"/><Relationship Id="rId12" Type="http://schemas.openxmlformats.org/officeDocument/2006/relationships/image" Target="media/53500bf8c88a2809598de3486a15bbd0dc98501c.png"/><Relationship Id="rId13" Type="http://schemas.openxmlformats.org/officeDocument/2006/relationships/image" Target="media/d231501781845c21e73c59fd3bd624c513408e2f.png"/><Relationship Id="rId14" Type="http://schemas.openxmlformats.org/officeDocument/2006/relationships/image" Target="media/dda721ade58d045d2890999b3828bf10b26c9b9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2026-09-04T13:18:34.257Z</dcterms:created>
  <dcterms:modified xsi:type="dcterms:W3CDTF">2026-09-04T13:18:34.257Z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