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  <w:t>Revolucionando a medicina: O impacto da Inteligência Artificial e Chatbots na Saúde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Leonardo Gazola Medeiros</w:t>
      </w:r>
      <w:r>
        <w:rPr>
          <w:i/>
          <w:vertAlign w:val="superscript"/>
        </w:rPr>
        <w:t xml:space="preserve"> 1</w:t>
      </w:r>
      <w:r>
        <w:rPr>
          <w:i/>
        </w:rPr>
        <w:t>, Alícea Paula de Lima Rocha</w:t>
      </w:r>
      <w:r>
        <w:rPr>
          <w:i/>
          <w:vertAlign w:val="superscript"/>
        </w:rPr>
        <w:t>2</w:t>
      </w:r>
      <w:r>
        <w:rPr>
          <w:i/>
        </w:rPr>
        <w:t>, Pedro Henrique Davi Goncalves</w:t>
      </w:r>
      <w:r>
        <w:rPr>
          <w:i/>
          <w:vertAlign w:val="superscript"/>
        </w:rPr>
        <w:t>3</w:t>
      </w:r>
      <w:r>
        <w:rPr>
          <w:i/>
        </w:rPr>
        <w:t>, Giuliano Araujo Bertoti</w:t>
      </w:r>
      <w:r>
        <w:rPr>
          <w:i/>
          <w:vertAlign w:val="superscript"/>
        </w:rPr>
        <w:t>4</w:t>
      </w:r>
    </w:p>
    <w:p>
      <w:pPr>
        <w:pStyle w:val="Normal"/>
        <w:jc w:val="center"/>
        <w:rPr>
          <w:i/>
          <w:i/>
        </w:rPr>
      </w:pPr>
      <w:r>
        <w:rPr>
          <w:i/>
        </w:rPr>
        <w:t>Faculdade de Tecnologia do Estado de São Paulo</w:t>
      </w:r>
    </w:p>
    <w:p>
      <w:pPr>
        <w:pStyle w:val="Normal"/>
        <w:jc w:val="center"/>
        <w:rPr>
          <w:i/>
          <w:i/>
        </w:rPr>
      </w:pPr>
      <w:r>
        <w:rPr>
          <w:i/>
        </w:rPr>
        <w:t>FATEC São José dos Campos – Prof. Jessen Vidal</w:t>
      </w:r>
    </w:p>
    <w:p>
      <w:pPr>
        <w:sectPr>
          <w:type w:val="nextPage"/>
          <w:pgSz w:w="11906" w:h="16838"/>
          <w:pgMar w:left="1134" w:right="1134" w:header="0" w:top="1134" w:footer="0" w:bottom="1418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jc w:val="center"/>
        <w:rPr>
          <w:i/>
          <w:i/>
          <w:sz w:val="16"/>
        </w:rPr>
      </w:pPr>
      <w:r>
        <w:rPr>
          <w:i/>
          <w:sz w:val="16"/>
        </w:rPr>
      </w:r>
    </w:p>
    <w:p>
      <w:pPr>
        <w:sectPr>
          <w:type w:val="continuous"/>
          <w:pgSz w:w="11906" w:h="16838"/>
          <w:pgMar w:left="1134" w:right="1134" w:header="0" w:top="1134" w:footer="0" w:bottom="1418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jc w:val="center"/>
        <w:rPr>
          <w:b/>
          <w:b/>
          <w:i/>
          <w:i/>
          <w:sz w:val="24"/>
        </w:rPr>
      </w:pPr>
      <w:r>
        <w:rPr>
          <w:b/>
          <w:i/>
          <w:sz w:val="24"/>
        </w:rPr>
        <w:t>1. Introdução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 o avanço do uso de chatbots e o contínuo desenvolvimento da inteligência artificial, a área da saúde tem se beneficiado de constantes inovações. Um exemplo notável é o "Watson for Oncology", um sistema desenvolvido pela IBM, que ilustra como as inteligências artificiais (IA) têm sido aplicadas na medicina.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 w:eastAsia="en-US"/>
        </w:rPr>
        <w:t>No entanto, muitos desses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sistema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não apenas realiza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triagem, mas também utiliza algoritmos de inteligência, como o BioGPT e o PubMedBERT, para o reconhecimento de doenças e diversos problemas médicos. Além disso, ele é capaz de fornecer soluções e tratamentos viáveis. A precisão e acurácia desses algoritmos têm se tornado cada vez mais relevantes à medida que as inteligências artificiais continuam a evoluir (Renqian Luo, 2023).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>
          <w:color w:val="000000"/>
        </w:rPr>
        <w:t xml:space="preserve">    </w:t>
      </w:r>
      <w:r>
        <w:rPr>
          <w:color w:val="000000"/>
        </w:rPr>
        <w:t>Poderiam chatbots se igualare</w:t>
      </w:r>
      <w:r>
        <w:rPr/>
        <w:t>m, ou até mesmo superarem a precisão de um médico profissionalizado?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</w:r>
    </w:p>
    <w:p>
      <w:pPr>
        <w:pStyle w:val="Corpodotextorecuado"/>
        <w:jc w:val="center"/>
        <w:rPr>
          <w:rFonts w:ascii="Times New Roman" w:hAnsi="Times New Roman"/>
          <w:b/>
          <w:b/>
          <w:i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2. Uso da Inteligência Artificial na Medicina.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  <w:t xml:space="preserve">   </w:t>
      </w:r>
      <w:r>
        <w:rPr/>
        <w:t>A utilização de tecnologia de inteligência artificial na área da saúde tem sido amplamente pesquisada, com a criação de chatbots especializados e treinados em conhecimentos médicos capazes de reconhecer e diagnosticar doenças com precisão. Por exemplo, o chatbot BioGPT obteve uma taxa de acerto de até 78% nas questões do dataset PubMedQA (Renqian Luo, 2023).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  <w:t xml:space="preserve">   </w:t>
      </w:r>
      <w:r>
        <w:rPr/>
        <w:t>Além disso, um estudo comparou as respostas fornecidas pelo chatbot ChatGPT com as de médicos profissionais, e descobriu que, das 195 questões perguntadas, 78% das 585 avaliações de candidatos mostraram-se favoráveis às respostas geradas pelo chatbot (John Ayers, 2023). É interessante notar que as respostas geradas pelo chatbot foram consideradas mais empáticas do que as dos médicos, com uma taxa de 9,5 vezes mais escolha como a resposta mais empática.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  <w:t xml:space="preserve">   </w:t>
      </w:r>
      <w:r>
        <w:rPr/>
        <w:t xml:space="preserve">Outro estudo da Universidade da Pensilvânia investigou o possível impacto desses chatbots de inteligência artificial no mercado de trabalho, e os resultados indicaram que cerca de 19% dos empregos terão pelo menos metade de suas atividades sujeitas a Grandes Modelos de Linguagem (Tyna Eloundou, 2023). 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  <w:t xml:space="preserve">   </w:t>
      </w:r>
      <w:r>
        <w:rPr/>
        <w:t>Com a tecnologia de inteligência artificial, a necessidade de médicos para tarefas específicas pode ser reduzida, levando a uma mudança em seu papel e habilidades necessárias.</w:t>
      </w:r>
    </w:p>
    <w:p>
      <w:pPr>
        <w:pStyle w:val="Normal"/>
        <w:jc w:val="both"/>
        <w:rPr>
          <w:b/>
          <w:b/>
          <w:i/>
          <w:i/>
          <w:sz w:val="16"/>
        </w:rPr>
      </w:pPr>
      <w:r>
        <w:rPr/>
      </w:r>
    </w:p>
    <w:p>
      <w:pPr>
        <w:pStyle w:val="Corpodotextorecuado"/>
        <w:jc w:val="center"/>
        <w:rPr>
          <w:rFonts w:ascii="Times New Roman" w:hAnsi="Times New Roman"/>
          <w:b/>
          <w:b/>
          <w:i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3. Ilustrações</w:t>
      </w:r>
    </w:p>
    <w:p>
      <w:pPr>
        <w:pStyle w:val="Corpodotextorecuado"/>
        <w:jc w:val="center"/>
        <w:rPr>
          <w:rFonts w:ascii="Times New Roman" w:hAnsi="Times New Roman"/>
          <w:lang w:val="pt-BR"/>
        </w:rPr>
      </w:pPr>
      <w:r>
        <w:rPr/>
        <w:drawing>
          <wp:inline distT="0" distB="0" distL="0" distR="0">
            <wp:extent cx="2657475" cy="182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recuado"/>
        <w:jc w:val="center"/>
        <w:rPr>
          <w:rFonts w:ascii="Times New Roman" w:hAnsi="Times New Roman"/>
          <w:sz w:val="16"/>
          <w:lang w:val="pt-BR"/>
        </w:rPr>
      </w:pPr>
      <w:r>
        <w:rPr>
          <w:rFonts w:ascii="Times New Roman" w:hAnsi="Times New Roman"/>
          <w:sz w:val="16"/>
          <w:lang w:val="pt-BR"/>
        </w:rPr>
        <w:t>Figura 1 – </w:t>
      </w:r>
      <w:r>
        <w:rPr>
          <w:rFonts w:ascii="Times New Roman" w:hAnsi="Times New Roman"/>
          <w:sz w:val="16"/>
        </w:rPr>
        <w:t>Resultados de modelos de Inteligencia Artificial para respostas de doenças no banco de dados PubMed</w:t>
      </w:r>
      <w:r>
        <w:rPr>
          <w:rFonts w:ascii="Times New Roman" w:hAnsi="Times New Roman"/>
          <w:sz w:val="16"/>
          <w:lang w:val="pt-BR"/>
        </w:rPr>
        <w:t>.</w:t>
      </w:r>
    </w:p>
    <w:p>
      <w:pPr>
        <w:pStyle w:val="Corpodotextorecuado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Corpodotextorecuado"/>
        <w:jc w:val="center"/>
        <w:rPr>
          <w:rFonts w:ascii="Times New Roman" w:hAnsi="Times New Roman"/>
          <w:b/>
          <w:b/>
          <w:i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4. Conclusões</w:t>
      </w:r>
    </w:p>
    <w:p>
      <w:pPr>
        <w:pStyle w:val="Corpodotextorecuado"/>
        <w:ind w:firstLine="284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É inegável a crescente capacidade dos chatbots atuarem no campo dos diagnósticos médicos, demonstrando em alguns casos maior acurácia em seus diagnósticos do que médicos especializados. No entanto, é importante ressaltar a necessidade da presença de um profissional especializado para a avaliação das respostas geradas pelo chatbot, uma vez que erros de resposta ainda ocorrem com certa frequência. A tecnologia de inteligência artificial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ainda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deve ser utilizada como uma ferramenta para auxiliar os médicos a tomarem decisões melhores e mais informadas. Os médicos devem se adaptar às mudanças e utilizar a tecnologia de forma eficaz para se tornarem mais valiosos no sistema de saúde.</w:t>
      </w:r>
    </w:p>
    <w:p>
      <w:pPr>
        <w:pStyle w:val="Corpodotextorecuad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Corpodotextorecuado"/>
        <w:jc w:val="center"/>
        <w:rPr>
          <w:rFonts w:ascii="Times New Roman" w:hAnsi="Times New Roman"/>
          <w:b/>
          <w:b/>
          <w:i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5. Referências</w:t>
      </w:r>
    </w:p>
    <w:p>
      <w:pPr>
        <w:pStyle w:val="BodyTextIndent2"/>
        <w:rPr>
          <w:b/>
          <w:b/>
          <w:i/>
          <w:i/>
          <w:sz w:val="16"/>
        </w:rPr>
      </w:pPr>
      <w:r>
        <w:rPr>
          <w:lang w:val="pt-BR"/>
        </w:rPr>
        <w:t xml:space="preserve"> </w:t>
      </w:r>
      <w:r>
        <w:rPr>
          <w:lang w:val="pt-BR"/>
        </w:rPr>
        <w:t xml:space="preserve">[1] Renqian Luo et. al., </w:t>
      </w:r>
      <w:r>
        <w:rPr/>
        <w:t>BioGPT: Generative Pre-trained Transformer for Biomedical Text Generation and Mining. Microsoft Research AI4Science (2023).</w:t>
      </w:r>
    </w:p>
    <w:p>
      <w:pPr>
        <w:pStyle w:val="BodyTextIndent2"/>
        <w:rPr>
          <w:lang w:val="pt-BR"/>
        </w:rPr>
      </w:pPr>
      <w:r>
        <w:rPr>
          <w:lang w:val="pt-BR"/>
        </w:rPr>
        <w:t>[2] Zeineb Safi et. al., Technical Aspects of Developing Chatbots for Medical Applications: Scooping Review. Journal of Medical Internet Research.(2020).</w:t>
      </w:r>
    </w:p>
    <w:p>
      <w:pPr>
        <w:pStyle w:val="BodyTextIndent2"/>
        <w:rPr>
          <w:rStyle w:val="Metacitation"/>
          <w:color w:val="333333"/>
        </w:rPr>
      </w:pPr>
      <w:r>
        <w:rPr/>
        <w:t>[3] John W. Ayers et. al., Comparing Physician and Artificial Intelligence Chatbot Responses to Patient Questions</w:t>
      </w:r>
      <w:r>
        <w:rPr>
          <w:color w:val="000000"/>
        </w:rPr>
        <w:t xml:space="preserve"> Posted to a Public Social Media Forum.(2023)</w:t>
      </w:r>
      <w:r>
        <w:rPr>
          <w:i/>
          <w:iCs/>
          <w:color w:val="000000"/>
        </w:rPr>
        <w:t xml:space="preserve"> </w:t>
      </w:r>
      <w:r>
        <w:rPr>
          <w:rStyle w:val="Metacitationjournalname"/>
          <w:i/>
          <w:iCs/>
          <w:color w:val="000000"/>
        </w:rPr>
        <w:t>JAMA Intern Med. </w:t>
      </w:r>
      <w:r>
        <w:rPr>
          <w:rStyle w:val="Metacitation"/>
          <w:color w:val="000000"/>
        </w:rPr>
        <w:t>Published online April 28, 2023 Disponível em: doi:10.1001/jamainternmed.2023.1838</w:t>
      </w:r>
    </w:p>
    <w:p>
      <w:pPr>
        <w:pStyle w:val="BodyTextIndent2"/>
        <w:rPr>
          <w:lang w:val="pt-BR"/>
        </w:rPr>
      </w:pPr>
      <w:r>
        <w:rPr>
          <w:color w:val="000000"/>
          <w:lang w:val="pt-BR"/>
        </w:rPr>
        <w:t xml:space="preserve">[4] </w:t>
      </w:r>
      <w:r>
        <w:rPr>
          <w:color w:val="000000"/>
        </w:rPr>
        <w:t xml:space="preserve">Tyna Eloundou et. al. GPTs are GPTs: An Early Look at the Labor Market Impact Potential of Large Language Models. (2023). Disponível em: </w:t>
      </w:r>
      <w:hyperlink r:id="rId4">
        <w:r>
          <w:rPr>
            <w:rStyle w:val="LinkdaInternet"/>
            <w:color w:val="000000"/>
          </w:rPr>
          <w:t>https://arxiv.org/pdf/2303.10130.pdf</w:t>
        </w:r>
      </w:hyperlink>
    </w:p>
    <w:p>
      <w:pPr>
        <w:pStyle w:val="BodyTextIndent2"/>
        <w:rPr/>
      </w:pPr>
      <w:r>
        <w:rPr>
          <w:rFonts w:ascii="Times New Roman" w:hAnsi="Times New Roman"/>
          <w:color w:val="000000"/>
          <w:sz w:val="20"/>
          <w:szCs w:val="20"/>
          <w:lang w:val="pt-BR"/>
        </w:rPr>
        <w:t xml:space="preserve">[5]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/>
        </w:rPr>
        <w:t>IBM. “Watson for Oncology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/>
        </w:rPr>
        <w:t xml:space="preserve">” (2022). Disponivel em: </w:t>
      </w:r>
      <w:hyperlink r:id="rId5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pt-BR"/>
          </w:rPr>
          <w:t>https://www.ibm.com/watson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/>
        </w:rPr>
        <w:t xml:space="preserve">. </w:t>
      </w:r>
    </w:p>
    <w:sectPr>
      <w:type w:val="continuous"/>
      <w:pgSz w:w="11906" w:h="16838"/>
      <w:pgMar w:left="1134" w:right="1134" w:header="0" w:top="1134" w:footer="0" w:bottom="1418" w:gutter="0"/>
      <w:cols w:num="2" w:space="566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default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6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0f534c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Ttulo7">
    <w:name w:val="Heading 7"/>
    <w:basedOn w:val="Normal"/>
    <w:next w:val="Normal"/>
    <w:qFormat/>
    <w:pPr>
      <w:keepNext w:val="true"/>
      <w:jc w:val="center"/>
      <w:outlineLvl w:val="6"/>
    </w:pPr>
    <w:rPr>
      <w:rFonts w:ascii="Arial" w:hAnsi="Arial"/>
      <w:b/>
      <w:lang w:val="en-US" w:eastAsia="ja-JP"/>
    </w:rPr>
  </w:style>
  <w:style w:type="character" w:styleId="DefaultParagraphFont" w:default="1">
    <w:name w:val="Default Paragraph Font"/>
    <w:semiHidden/>
    <w:qFormat/>
    <w:rPr/>
  </w:style>
  <w:style w:type="character" w:styleId="LinkdaInternet">
    <w:name w:val="Link da Internet"/>
    <w:uiPriority w:val="99"/>
    <w:unhideWhenUsed/>
    <w:rsid w:val="000f534c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0f534c"/>
    <w:rPr>
      <w:rFonts w:ascii="Calibri Light" w:hAnsi="Calibri Light" w:eastAsia="Times New Roman" w:cs="Times New Roman"/>
      <w:b/>
      <w:bCs/>
      <w:kern w:val="2"/>
      <w:sz w:val="32"/>
      <w:szCs w:val="32"/>
      <w:lang w:eastAsia="en-US"/>
    </w:rPr>
  </w:style>
  <w:style w:type="character" w:styleId="Metacitationjournalname" w:customStyle="1">
    <w:name w:val="meta-citation-journal-name"/>
    <w:qFormat/>
    <w:rsid w:val="000f534c"/>
    <w:rPr/>
  </w:style>
  <w:style w:type="character" w:styleId="Metacitation" w:customStyle="1">
    <w:name w:val="meta-citation"/>
    <w:qFormat/>
    <w:rsid w:val="000f534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480"/>
      <w:jc w:val="both"/>
    </w:pPr>
    <w:rPr>
      <w:rFonts w:ascii="Arial" w:hAnsi="Arial"/>
      <w:sz w:val="24"/>
      <w:lang w:val="en-US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otextorecuado">
    <w:name w:val="Body Text Indent"/>
    <w:basedOn w:val="Normal"/>
    <w:pPr/>
    <w:rPr>
      <w:rFonts w:ascii="Arial" w:hAnsi="Arial"/>
      <w:lang w:val="en-US"/>
    </w:rPr>
  </w:style>
  <w:style w:type="paragraph" w:styleId="BodyTextIndent2">
    <w:name w:val="Body Text Indent 2"/>
    <w:basedOn w:val="Normal"/>
    <w:qFormat/>
    <w:pPr>
      <w:ind w:left="284" w:hanging="284"/>
      <w:jc w:val="both"/>
    </w:pPr>
    <w:rPr>
      <w:lang w:val="en-US" w:eastAsia="ja-JP"/>
    </w:rPr>
  </w:style>
  <w:style w:type="paragraph" w:styleId="Ttulododocumento">
    <w:name w:val="Title"/>
    <w:basedOn w:val="Normal"/>
    <w:qFormat/>
    <w:pPr>
      <w:jc w:val="center"/>
    </w:pPr>
    <w:rPr>
      <w:b/>
      <w:caps/>
      <w:sz w:val="32"/>
      <w:lang w:val="en-US" w:eastAsia="ja-JP"/>
    </w:rPr>
  </w:style>
  <w:style w:type="paragraph" w:styleId="BodyTextIndent3">
    <w:name w:val="Body Text Indent 3"/>
    <w:basedOn w:val="Normal"/>
    <w:qFormat/>
    <w:pPr>
      <w:ind w:left="284" w:hanging="284"/>
      <w:jc w:val="both"/>
    </w:pPr>
    <w:rPr>
      <w:sz w:val="16"/>
      <w:lang w:val="en-US" w:eastAsia="ja-JP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DocumentMap">
    <w:name w:val="Document Map"/>
    <w:basedOn w:val="Normal"/>
    <w:semiHidden/>
    <w:qFormat/>
    <w:rsid w:val="00241177"/>
    <w:pPr>
      <w:shd w:val="clear" w:color="auto" w:fill="000080"/>
    </w:pPr>
    <w:rPr>
      <w:rFonts w:ascii="Tahoma" w:hAnsi="Tahoma" w:cs="Tahom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rxiv.org/pdf/2303.10130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ibm.com/watso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D405787D91A47B4CC2A959C918F85" ma:contentTypeVersion="14" ma:contentTypeDescription="Create a new document." ma:contentTypeScope="" ma:versionID="c8056e7020d89485e1a03cf9ab501e32">
  <xsd:schema xmlns:xsd="http://www.w3.org/2001/XMLSchema" xmlns:xs="http://www.w3.org/2001/XMLSchema" xmlns:p="http://schemas.microsoft.com/office/2006/metadata/properties" xmlns:ns3="4c839cb8-b13d-4fbd-840e-944d2bb0a382" xmlns:ns4="80d16d70-2023-431e-a8d2-2bd40c872dab" targetNamespace="http://schemas.microsoft.com/office/2006/metadata/properties" ma:root="true" ma:fieldsID="52d25c45923777af8804d43fb4e94041" ns3:_="" ns4:_="">
    <xsd:import namespace="4c839cb8-b13d-4fbd-840e-944d2bb0a382"/>
    <xsd:import namespace="80d16d70-2023-431e-a8d2-2bd40c872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39cb8-b13d-4fbd-840e-944d2bb0a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6d70-2023-431e-a8d2-2bd40c872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EAB90-1B93-4DB2-9EBC-DB272A7C3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01EC79-6F7A-4D2D-ABDB-91B6E2EE6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39cb8-b13d-4fbd-840e-944d2bb0a382"/>
    <ds:schemaRef ds:uri="80d16d70-2023-431e-a8d2-2bd40c872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612</Words>
  <Characters>3547</Characters>
  <CharactersWithSpaces>4162</CharactersWithSpaces>
  <Paragraphs>23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2023-06-07T01:27:00Z</dcterms:created>
  <dc:creator>MPCE_02</dc:creator>
  <dc:description/>
  <dc:language>pt-BR</dc:language>
  <cp:lastModifiedBy/>
  <cp:lastPrinted>2005-02-10T23:13:00Z</cp:lastPrinted>
  <dcterms:modified xsi:type="dcterms:W3CDTF">2023-06-06T22:43:30Z</dcterms:modified>
  <cp:revision>5</cp:revision>
  <dc:subject/>
  <dc:title>MODELO PARA RESUMO EXPANDIDO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0x010100A37D405787D91A47B4CC2A959C918F85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activity">
    <vt:lpwstr/>
  </property>
</Properties>
</file>