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Elements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980"/>
        <w:gridCol w:w="6285"/>
        <w:tblGridChange w:id="0">
          <w:tblGrid>
            <w:gridCol w:w="600"/>
            <w:gridCol w:w="1980"/>
            <w:gridCol w:w="62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50039057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Pedro Oliveira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50038630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Douglas Bewiahn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 students should organize themselves for the constitution of the group; each group is between 1 and 2 students.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q46pi6279sj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Project Scope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nosso produto irá fornecer a famílias que necessitem de Babysitter, uma plataforma que torna o contacto entre a família e o babysitter mais simples. A aplicação é intencionada para famílias que precisem de babysitter rapidamente ou babysitter de tempo-inteiro. O cliente que pede por uma nanny vai poder colocar requisitos que quer que o cuidador tenha, por exemplo, definir que sexo deseja que o babysitter seja,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«presentation of a short introduction to the project scope defined by the work team – see Project Briefing for additional information (250 - 400 words)»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oyc1rycyz7q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Business Sector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«identification of the business sector addressed by the proposed projected (e.g., Education, Finance, Helathcare, Ensurance, Retail, …) + short motivation regarding the proposed business sector»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bsawb7cavfqu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Key Words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the list of keywords, separated by semicolons (max. 5 keywords)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u4wisrxtzjh6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Bibliografic References</w:t>
      </w:r>
    </w:p>
    <w:p w:rsidR="00000000" w:rsidDel="00000000" w:rsidP="00000000" w:rsidRDefault="00000000" w:rsidRPr="00000000" w14:paraId="00000015">
      <w:pPr>
        <w:spacing w:after="12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Van der Geer J, Hanraads JAJ, Lupton RA. The art of writing a scientific article.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 Sci Commun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2000;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:51–9.</w:t>
      </w:r>
    </w:p>
    <w:p w:rsidR="00000000" w:rsidDel="00000000" w:rsidP="00000000" w:rsidRDefault="00000000" w:rsidRPr="00000000" w14:paraId="00000016">
      <w:pPr>
        <w:spacing w:after="12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Strunk Jr W, White EB.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elements of style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3rd ed. New York: Macmillan; 1979.</w:t>
      </w:r>
    </w:p>
    <w:p w:rsidR="00000000" w:rsidDel="00000000" w:rsidP="00000000" w:rsidRDefault="00000000" w:rsidRPr="00000000" w14:paraId="00000017">
      <w:pPr>
        <w:spacing w:after="12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[3]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Mettam GR, Adams LB. How to prepare an electronic version of your article. In: Jones BS, Smith RZ, editors.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Introduction to the electronic 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New York: E-Publishing Inc; 1999, p. 281–304</w:t>
      </w:r>
    </w:p>
    <w:p w:rsidR="00000000" w:rsidDel="00000000" w:rsidP="00000000" w:rsidRDefault="00000000" w:rsidRPr="00000000" w14:paraId="00000018">
      <w:pPr>
        <w:spacing w:after="12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….«min de 4 referencias bibliográficas, formatação IEEE»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inline distB="114300" distT="114300" distL="114300" distR="114300">
          <wp:extent cx="1104900" cy="381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