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38A" w:rsidRPr="0028538A" w:rsidRDefault="0028538A">
      <w:pPr>
        <w:spacing w:after="40" w:line="360" w:lineRule="auto"/>
        <w:jc w:val="center"/>
        <w:rPr>
          <w:color w:val="666666"/>
          <w:sz w:val="24"/>
          <w:szCs w:val="24"/>
        </w:rPr>
      </w:pPr>
      <w:r w:rsidRPr="0028538A">
        <w:rPr>
          <w:color w:val="666666"/>
          <w:sz w:val="24"/>
          <w:szCs w:val="24"/>
        </w:rPr>
        <w:t xml:space="preserve">PROCEDIMENTO OPERACIONAL PADRÃO </w:t>
      </w:r>
    </w:p>
    <w:p w:rsidR="0035392A" w:rsidRPr="0028538A" w:rsidRDefault="00B33E52">
      <w:pPr>
        <w:spacing w:after="40" w:line="360" w:lineRule="auto"/>
        <w:jc w:val="center"/>
        <w:rPr>
          <w:sz w:val="32"/>
          <w:szCs w:val="24"/>
        </w:rPr>
      </w:pPr>
      <w:r w:rsidRPr="0028538A">
        <w:rPr>
          <w:b/>
          <w:bCs/>
          <w:color w:val="0D2B55"/>
          <w:sz w:val="32"/>
          <w:szCs w:val="24"/>
        </w:rPr>
        <w:t>Declaração de Bens e Direitos</w:t>
      </w:r>
    </w:p>
    <w:p w:rsidR="0035392A" w:rsidRPr="0028538A" w:rsidRDefault="0035392A">
      <w:pPr>
        <w:pBdr>
          <w:bottom w:val="single" w:sz="16" w:space="0" w:color="C9A84C"/>
        </w:pBdr>
        <w:jc w:val="center"/>
        <w:rPr>
          <w:sz w:val="24"/>
          <w:szCs w:val="24"/>
        </w:rPr>
      </w:pPr>
    </w:p>
    <w:p w:rsidR="0035392A" w:rsidRPr="0028538A" w:rsidRDefault="0035392A">
      <w:pPr>
        <w:spacing w:before="40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 w:rsidP="001B23A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Este documento descreve, em passo a passo ilustrado, como realizar a Declaração de Bens e Direitos (DBD)</w:t>
            </w:r>
            <w:r w:rsidR="0028538A">
              <w:rPr>
                <w:sz w:val="24"/>
                <w:szCs w:val="24"/>
              </w:rPr>
              <w:t xml:space="preserve"> </w:t>
            </w:r>
            <w:r w:rsidRPr="0028538A">
              <w:rPr>
                <w:color w:val="0D2B55"/>
                <w:sz w:val="24"/>
                <w:szCs w:val="24"/>
              </w:rPr>
              <w:t>no sistema e-ITCD da Secretaria de Estado de Fazenda de Minas Gerais.</w:t>
            </w:r>
          </w:p>
        </w:tc>
      </w:tr>
    </w:tbl>
    <w:p w:rsidR="0035392A" w:rsidRPr="0028538A" w:rsidRDefault="0035392A">
      <w:pPr>
        <w:spacing w:before="20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C9A84C"/>
            </w:tcBorders>
            <w:shd w:val="clear" w:color="auto" w:fill="FDF6E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28538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rFonts w:ascii="Segoe UI Symbol" w:hAnsi="Segoe UI Symbol" w:cs="Segoe UI Symbol"/>
                <w:color w:val="7A5C00"/>
                <w:sz w:val="24"/>
                <w:szCs w:val="24"/>
              </w:rPr>
              <w:t>⚠</w:t>
            </w:r>
            <w:r w:rsidRPr="0028538A">
              <w:rPr>
                <w:color w:val="7A5C00"/>
                <w:sz w:val="24"/>
                <w:szCs w:val="24"/>
              </w:rPr>
              <w:t xml:space="preserve"> Atenção</w:t>
            </w:r>
            <w:r w:rsidR="00B33E52" w:rsidRPr="0028538A">
              <w:rPr>
                <w:color w:val="7A5C00"/>
                <w:sz w:val="24"/>
                <w:szCs w:val="24"/>
              </w:rPr>
              <w:t>: o prazo para envio da DBD é de 180</w:t>
            </w:r>
            <w:r w:rsidR="001B23A2">
              <w:rPr>
                <w:color w:val="7A5C00"/>
                <w:sz w:val="24"/>
                <w:szCs w:val="24"/>
              </w:rPr>
              <w:t xml:space="preserve"> dias a partir da data do óbito, sendo que, se a declaração for feita nos primeiros 90 dias, há concessão de desconto de 15%.</w:t>
            </w:r>
            <w:bookmarkStart w:id="0" w:name="_GoBack"/>
            <w:bookmarkEnd w:id="0"/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7A5C00"/>
                <w:sz w:val="24"/>
                <w:szCs w:val="24"/>
              </w:rPr>
              <w:t>O sistema cancela automaticamente declarações não enviadas após esse prazo.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7A5C00"/>
                <w:sz w:val="24"/>
                <w:szCs w:val="24"/>
              </w:rPr>
              <w:t>Após o pagamento do ITCD ou reconhecimento de isenção, o sistema emite a Certidão de Pagamento/Desoneração.</w:t>
            </w:r>
          </w:p>
        </w:tc>
      </w:tr>
    </w:tbl>
    <w:p w:rsidR="0035392A" w:rsidRPr="0028538A" w:rsidRDefault="00B33E52">
      <w:pPr>
        <w:rPr>
          <w:sz w:val="24"/>
          <w:szCs w:val="24"/>
        </w:rPr>
      </w:pPr>
      <w:r w:rsidRPr="0028538A">
        <w:rPr>
          <w:sz w:val="24"/>
          <w:szCs w:val="24"/>
        </w:rPr>
        <w:br/>
      </w:r>
    </w:p>
    <w:p w:rsidR="0035392A" w:rsidRPr="0028538A" w:rsidRDefault="00B33E52">
      <w:pPr>
        <w:pBdr>
          <w:bottom w:val="single" w:sz="6" w:space="0" w:color="C9A84C"/>
        </w:pBdr>
        <w:spacing w:before="320" w:after="120" w:line="360" w:lineRule="auto"/>
        <w:rPr>
          <w:sz w:val="24"/>
          <w:szCs w:val="24"/>
        </w:rPr>
      </w:pPr>
      <w:r w:rsidRPr="0028538A">
        <w:rPr>
          <w:b/>
          <w:bCs/>
          <w:color w:val="0D2B55"/>
          <w:sz w:val="24"/>
          <w:szCs w:val="24"/>
        </w:rPr>
        <w:t>PARTE 1 — Acesso ao Sistema e-ITCD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 w:rsidP="0028538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O e-ITCD utiliza autenticação via gov.br. Antes de acessar, o CPF do responsável pela declaração deve</w:t>
            </w:r>
            <w:r w:rsidR="0028538A">
              <w:rPr>
                <w:sz w:val="24"/>
                <w:szCs w:val="24"/>
              </w:rPr>
              <w:t xml:space="preserve"> </w:t>
            </w:r>
            <w:r w:rsidRPr="0028538A">
              <w:rPr>
                <w:color w:val="0D2B55"/>
                <w:sz w:val="24"/>
                <w:szCs w:val="24"/>
              </w:rPr>
              <w:t>estar cadastrado no portal gov.br. O acesso é sempre feito pelo botão "Entrar com gov.br" — nunca pelo Certificado Digital.</w:t>
            </w:r>
          </w:p>
        </w:tc>
      </w:tr>
    </w:tbl>
    <w:p w:rsidR="0035392A" w:rsidRPr="0028538A" w:rsidRDefault="0035392A">
      <w:pPr>
        <w:spacing w:before="16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CC0000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28538A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rFonts w:ascii="Segoe UI Symbol" w:hAnsi="Segoe UI Symbol" w:cs="Segoe UI Symbol"/>
                <w:color w:val="8B0000"/>
                <w:sz w:val="24"/>
                <w:szCs w:val="24"/>
              </w:rPr>
              <w:t>⚠</w:t>
            </w:r>
            <w:r w:rsidRPr="0028538A">
              <w:rPr>
                <w:color w:val="8B0000"/>
                <w:sz w:val="24"/>
                <w:szCs w:val="24"/>
              </w:rPr>
              <w:t xml:space="preserve"> ATENÇÃO</w:t>
            </w:r>
            <w:r w:rsidR="00B33E52" w:rsidRPr="0028538A">
              <w:rPr>
                <w:color w:val="8B0000"/>
                <w:sz w:val="24"/>
                <w:szCs w:val="24"/>
              </w:rPr>
              <w:t>: Nunca clique em "Certificado Digital" para acessar o e-ITCD.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8B0000"/>
                <w:sz w:val="24"/>
                <w:szCs w:val="24"/>
              </w:rPr>
              <w:t>Se esse botão for selecionado, o sistema exibirá mensagem de erro e bloqueará o acesso.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8B0000"/>
                <w:sz w:val="24"/>
                <w:szCs w:val="24"/>
              </w:rPr>
              <w:t>Sempre use "Entrar com gov.br".</w:t>
            </w:r>
          </w:p>
        </w:tc>
      </w:tr>
    </w:tbl>
    <w:p w:rsidR="0035392A" w:rsidRPr="0028538A" w:rsidRDefault="0035392A">
      <w:pPr>
        <w:spacing w:before="24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1  </w:t>
      </w:r>
      <w:r w:rsidRPr="0028538A">
        <w:rPr>
          <w:b/>
          <w:bCs/>
          <w:color w:val="0D2B55"/>
          <w:sz w:val="24"/>
          <w:szCs w:val="24"/>
        </w:rPr>
        <w:t>Acesse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a página do e-ITCD na SEF/MG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lastRenderedPageBreak/>
        <w:t xml:space="preserve">Abra o navegador e acesse o endereço: www.fazenda.mg.gov.br. Na página inicial, localize o módulo e-ITCD e clique para abrir. O sistema redirecionará automaticamente para a tela de </w:t>
      </w:r>
      <w:proofErr w:type="spellStart"/>
      <w:r w:rsidRPr="0028538A">
        <w:rPr>
          <w:color w:val="1A1A1A"/>
          <w:sz w:val="24"/>
          <w:szCs w:val="24"/>
        </w:rPr>
        <w:t>login</w:t>
      </w:r>
      <w:proofErr w:type="spellEnd"/>
      <w:r w:rsidRPr="0028538A">
        <w:rPr>
          <w:color w:val="1A1A1A"/>
          <w:sz w:val="24"/>
          <w:szCs w:val="24"/>
        </w:rPr>
        <w:t>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 xml:space="preserve">Tela de </w:t>
      </w:r>
      <w:proofErr w:type="spellStart"/>
      <w:r w:rsidRPr="0028538A">
        <w:rPr>
          <w:i/>
          <w:iCs/>
          <w:color w:val="666666"/>
          <w:sz w:val="24"/>
          <w:szCs w:val="24"/>
        </w:rPr>
        <w:t>login</w:t>
      </w:r>
      <w:proofErr w:type="spellEnd"/>
      <w:r w:rsidRPr="0028538A">
        <w:rPr>
          <w:i/>
          <w:iCs/>
          <w:color w:val="666666"/>
          <w:sz w:val="24"/>
          <w:szCs w:val="24"/>
        </w:rPr>
        <w:t xml:space="preserve"> da SEF/MG — clique em "Entrar com gov.br" (seta vermelha)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2  </w:t>
      </w:r>
      <w:r w:rsidRPr="0028538A">
        <w:rPr>
          <w:b/>
          <w:bCs/>
          <w:color w:val="0D2B55"/>
          <w:sz w:val="24"/>
          <w:szCs w:val="24"/>
        </w:rPr>
        <w:t>Informe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 CPF no portal gov.br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Após clicar em "Entrar com gov.br", o sistema abrirá o portal do Governo Federal. Digite o CPF do responsável pela declaração e clique em Continuar.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Portal gov.br — informe o CPF e clique em Continuar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3  </w:t>
      </w:r>
      <w:r w:rsidRPr="0028538A">
        <w:rPr>
          <w:b/>
          <w:bCs/>
          <w:color w:val="0D2B55"/>
          <w:sz w:val="24"/>
          <w:szCs w:val="24"/>
        </w:rPr>
        <w:t>Digite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a senha e autorize o acesso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Se o CPF já estiver cadastrado no gov.br, o sistema pedirá a senha. Digite-a e clique em Entrar. Na tela seguinte, autorize o acesso do e-ITCD ao seu perfil gov.br.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Tela de senha gov.br — clique em Entrar após digitar a senha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4  </w:t>
      </w:r>
      <w:r w:rsidRPr="0028538A">
        <w:rPr>
          <w:b/>
          <w:bCs/>
          <w:color w:val="0D2B55"/>
          <w:sz w:val="24"/>
          <w:szCs w:val="24"/>
        </w:rPr>
        <w:t>Selecione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 perfil de acesso (quando houver vínculo com CNPJ)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Se o CPF estiver vinculado a um e-CNPJ (escritório ou empresa), o sistema perguntará se deseja acessar como Pessoa Física ou como representante de Empresas e Organizações. Selecione conforme o caso — as declarações ficarão vinculadas ao perfil escolhido.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Seleção de perfil: Pessoa Física (vermelho) ou Empresa (verde)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5  </w:t>
      </w:r>
      <w:r w:rsidRPr="0028538A">
        <w:rPr>
          <w:b/>
          <w:bCs/>
          <w:color w:val="0D2B55"/>
          <w:sz w:val="24"/>
          <w:szCs w:val="24"/>
        </w:rPr>
        <w:t>Tela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inicial — painel de declarações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 xml:space="preserve">Após o </w:t>
      </w:r>
      <w:proofErr w:type="spellStart"/>
      <w:r w:rsidRPr="0028538A">
        <w:rPr>
          <w:color w:val="1A1A1A"/>
          <w:sz w:val="24"/>
          <w:szCs w:val="24"/>
        </w:rPr>
        <w:t>login</w:t>
      </w:r>
      <w:proofErr w:type="spellEnd"/>
      <w:r w:rsidRPr="0028538A">
        <w:rPr>
          <w:color w:val="1A1A1A"/>
          <w:sz w:val="24"/>
          <w:szCs w:val="24"/>
        </w:rPr>
        <w:t>, o sistema exibe o painel com todas as declarações (</w:t>
      </w:r>
      <w:proofErr w:type="spellStart"/>
      <w:r w:rsidRPr="0028538A">
        <w:rPr>
          <w:color w:val="1A1A1A"/>
          <w:sz w:val="24"/>
          <w:szCs w:val="24"/>
        </w:rPr>
        <w:t>DBDs</w:t>
      </w:r>
      <w:proofErr w:type="spellEnd"/>
      <w:r w:rsidRPr="0028538A">
        <w:rPr>
          <w:color w:val="1A1A1A"/>
          <w:sz w:val="24"/>
          <w:szCs w:val="24"/>
        </w:rPr>
        <w:t>) associadas ao CPF do usuário — seja como responsável, inventariante, herdeiro, cônjuge ou doador. Para criar uma nova declaração, clique no botão azul "CRIAR DBD" no canto superior direito.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Painel principal — botão CRIAR DBD no canto superior direito</w:t>
      </w:r>
    </w:p>
    <w:p w:rsidR="0035392A" w:rsidRPr="0028538A" w:rsidRDefault="00B33E52">
      <w:pPr>
        <w:rPr>
          <w:sz w:val="24"/>
          <w:szCs w:val="24"/>
        </w:rPr>
      </w:pPr>
      <w:r w:rsidRPr="0028538A">
        <w:rPr>
          <w:sz w:val="24"/>
          <w:szCs w:val="24"/>
        </w:rPr>
        <w:br/>
      </w:r>
    </w:p>
    <w:p w:rsidR="0035392A" w:rsidRPr="0028538A" w:rsidRDefault="00B33E52">
      <w:pPr>
        <w:pBdr>
          <w:bottom w:val="single" w:sz="6" w:space="0" w:color="C9A84C"/>
        </w:pBdr>
        <w:spacing w:before="320" w:after="120" w:line="360" w:lineRule="auto"/>
        <w:rPr>
          <w:sz w:val="24"/>
          <w:szCs w:val="24"/>
        </w:rPr>
      </w:pPr>
      <w:r w:rsidRPr="0028538A">
        <w:rPr>
          <w:b/>
          <w:bCs/>
          <w:color w:val="0D2B55"/>
          <w:sz w:val="24"/>
          <w:szCs w:val="24"/>
        </w:rPr>
        <w:t>PARTE 2 — Declaração Causa Mortis (Herança)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Use este fluxo quando o inventário for por transmissão causa mortis simples, sem cessão de direitos hereditários.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Caso haja cessão, vá para a Parte 3 deste POP.</w:t>
            </w:r>
          </w:p>
          <w:p w:rsidR="0035392A" w:rsidRPr="0028538A" w:rsidRDefault="0035392A">
            <w:pPr>
              <w:spacing w:before="80" w:line="360" w:lineRule="auto"/>
              <w:jc w:val="both"/>
              <w:rPr>
                <w:sz w:val="24"/>
                <w:szCs w:val="24"/>
              </w:rPr>
            </w:pP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O sistema organiza o preenchimento em abas na barra lateral esquerda: Dados Básicos → Dados do Responsável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→ Beneficiários | Meeiro → Bens | Direitos | Dívidas → Partilha → Documentos Anexos → Envio.</w:t>
            </w:r>
          </w:p>
        </w:tc>
      </w:tr>
    </w:tbl>
    <w:p w:rsidR="0035392A" w:rsidRPr="0028538A" w:rsidRDefault="0035392A">
      <w:pPr>
        <w:spacing w:before="16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CC0000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28538A">
              <w:rPr>
                <w:rFonts w:ascii="Segoe UI Symbol" w:hAnsi="Segoe UI Symbol" w:cs="Segoe UI Symbol"/>
                <w:color w:val="8B0000"/>
                <w:sz w:val="24"/>
                <w:szCs w:val="24"/>
              </w:rPr>
              <w:t>⚠</w:t>
            </w:r>
            <w:r w:rsidRPr="0028538A">
              <w:rPr>
                <w:color w:val="8B0000"/>
                <w:sz w:val="24"/>
                <w:szCs w:val="24"/>
              </w:rPr>
              <w:t xml:space="preserve">  Atenção</w:t>
            </w:r>
            <w:proofErr w:type="gramEnd"/>
            <w:r w:rsidRPr="0028538A">
              <w:rPr>
                <w:color w:val="8B0000"/>
                <w:sz w:val="24"/>
                <w:szCs w:val="24"/>
              </w:rPr>
              <w:t xml:space="preserve"> ao prazo: o sistema exibe no topo da tela dois contadores em tempo real: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8B0000"/>
                <w:sz w:val="24"/>
                <w:szCs w:val="24"/>
              </w:rPr>
              <w:t xml:space="preserve">   (a) prazo para pagamento do ITCD sem multa e juros — conta a partir da data do óbito;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8B0000"/>
                <w:sz w:val="24"/>
                <w:szCs w:val="24"/>
              </w:rPr>
              <w:lastRenderedPageBreak/>
              <w:t xml:space="preserve">   (b) prazo para envio da DBD — 180 dias. Após esse prazo, a declaração é cancelada automaticamente.</w:t>
            </w:r>
          </w:p>
        </w:tc>
      </w:tr>
    </w:tbl>
    <w:p w:rsidR="0035392A" w:rsidRPr="0028538A" w:rsidRDefault="0035392A">
      <w:pPr>
        <w:spacing w:before="24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1  </w:t>
      </w:r>
      <w:r w:rsidRPr="0028538A">
        <w:rPr>
          <w:b/>
          <w:bCs/>
          <w:color w:val="0D2B55"/>
          <w:sz w:val="24"/>
          <w:szCs w:val="24"/>
        </w:rPr>
        <w:t>Clique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em CRIAR DBD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No painel principal, clique no botão azul CRIAR DBD no canto superior direito da tela.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Botão CRIAR DBD no canto superior direito (seta vermelha)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2  </w:t>
      </w:r>
      <w:r w:rsidRPr="0028538A">
        <w:rPr>
          <w:b/>
          <w:bCs/>
          <w:color w:val="0D2B55"/>
          <w:sz w:val="24"/>
          <w:szCs w:val="24"/>
        </w:rPr>
        <w:t>Selecione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 tipo de transmissão: Causa Mortis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Na tela seguinte, clique em CAUSA MORTIS. O sistema apresentará uma caixa explicativa ao lado direito descrevendo quando usar cada tipo. O prazo para envio da declaração é de 180 dias — após esse prazo, o preenchimento é apagado.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Seleção do tipo de transmissão — clique em CAUSA MORTIS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3  </w:t>
      </w:r>
      <w:r w:rsidRPr="0028538A">
        <w:rPr>
          <w:b/>
          <w:bCs/>
          <w:color w:val="0D2B55"/>
          <w:sz w:val="24"/>
          <w:szCs w:val="24"/>
        </w:rPr>
        <w:t>Preencha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os Dados Básicos do falecido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Informe o CPF da pessoa falecida. O nome será preenchido automaticamente. Em seguida, preencha a data do óbito, se deixou testamento, estado civil na data do óbito, regime de bens, tipo de inventário (judicial ou extrajudicial) e local do cartório. Clique em Avançar.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lastRenderedPageBreak/>
        <w:t>Tela de Dados Básicos — informe o CPF do falecido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Dados Básicos completos — clique em AVANÇAR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4  </w:t>
      </w:r>
      <w:r w:rsidRPr="0028538A">
        <w:rPr>
          <w:b/>
          <w:bCs/>
          <w:color w:val="0D2B55"/>
          <w:sz w:val="24"/>
          <w:szCs w:val="24"/>
        </w:rPr>
        <w:t>Número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de protocolo gerado automaticamente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Após avançar, o sistema gera o número de protocolo da DBD e exibe na barra superior da tela, junto com o nome do falecido e a situação atual da declaração. Anote este número — ele será usado para consultas futuras.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Barra superior com o número de protocolo, nome do falecido e contadores de prazo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Detalhe dos contadores de prazo — ITCD vencido e prazo para envio da DBD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5  </w:t>
      </w:r>
      <w:r w:rsidRPr="0028538A">
        <w:rPr>
          <w:b/>
          <w:bCs/>
          <w:color w:val="0D2B55"/>
          <w:sz w:val="24"/>
          <w:szCs w:val="24"/>
        </w:rPr>
        <w:t>Preencha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os Dados do Responsável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 xml:space="preserve">O nome e o CPF são preenchidos automaticamente com os dados do usuário </w:t>
      </w:r>
      <w:proofErr w:type="spellStart"/>
      <w:r w:rsidRPr="0028538A">
        <w:rPr>
          <w:color w:val="1A1A1A"/>
          <w:sz w:val="24"/>
          <w:szCs w:val="24"/>
        </w:rPr>
        <w:t>logado</w:t>
      </w:r>
      <w:proofErr w:type="spellEnd"/>
      <w:r w:rsidRPr="0028538A">
        <w:rPr>
          <w:color w:val="1A1A1A"/>
          <w:sz w:val="24"/>
          <w:szCs w:val="24"/>
        </w:rPr>
        <w:t xml:space="preserve">. Informe o telefone e o e-mail de contato. Indique se o responsável pelo </w:t>
      </w:r>
      <w:r w:rsidRPr="0028538A">
        <w:rPr>
          <w:color w:val="1A1A1A"/>
          <w:sz w:val="24"/>
          <w:szCs w:val="24"/>
        </w:rPr>
        <w:lastRenderedPageBreak/>
        <w:t>preenchimento é o próprio inventariante — se não for, informe o CPF do inventariante no campo abaixo. Clique em Avançar.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Dados do Responsável — clique em AVANÇAR após preencher telefone e e-mail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6  </w:t>
      </w:r>
      <w:r w:rsidRPr="0028538A">
        <w:rPr>
          <w:b/>
          <w:bCs/>
          <w:color w:val="0D2B55"/>
          <w:sz w:val="24"/>
          <w:szCs w:val="24"/>
        </w:rPr>
        <w:t>Inclua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os Beneficiários e o Cônjuge Meeiro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Clique sobre o cartão do falecido para abrir o menu de vínculos. Selecione o tipo de relação de cada beneficiário com o falecido (cônjuge/companheiro, filho, neto, pai/mãe etc.) e adicione um por um. O sistema desenha automaticamente a árvore genealógica à medida que os beneficiários são incluídos.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Após incluir todos, clique em Avançar.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Menu de vínculos — selecione o tipo de relação de cada beneficiário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Formulário de cadastro do cônjuge/companheiro — clique em INCLUIR BENEFICIÁRIO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Árvore genealógica gerada automaticamente — clique em AVANÇAR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7  </w:t>
      </w:r>
      <w:r w:rsidRPr="0028538A">
        <w:rPr>
          <w:b/>
          <w:bCs/>
          <w:color w:val="0D2B55"/>
          <w:sz w:val="24"/>
          <w:szCs w:val="24"/>
        </w:rPr>
        <w:t>Inclua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os Bens, Direitos e Dívidas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Clique no botão + no canto superior direito para adicionar cada bem do acervo hereditário. O sistema apresenta uma lista com as categorias disponíveis: imóvel urbano no Brasil, imóvel rural, veículo, saldo em conta/aplicações bancárias, participações societárias, dívidas, despesa com funeral e outros.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lastRenderedPageBreak/>
        <w:t xml:space="preserve">Tela de Bens | Direitos | Dívidas — clique no botão </w:t>
      </w:r>
      <w:proofErr w:type="gramStart"/>
      <w:r w:rsidRPr="0028538A">
        <w:rPr>
          <w:i/>
          <w:iCs/>
          <w:color w:val="666666"/>
          <w:sz w:val="24"/>
          <w:szCs w:val="24"/>
        </w:rPr>
        <w:t>+</w:t>
      </w:r>
      <w:proofErr w:type="gramEnd"/>
      <w:r w:rsidRPr="0028538A">
        <w:rPr>
          <w:i/>
          <w:iCs/>
          <w:color w:val="666666"/>
          <w:sz w:val="24"/>
          <w:szCs w:val="24"/>
        </w:rPr>
        <w:t xml:space="preserve"> para adicionar bens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Grade de categorias de bens — selecione o tipo (ex.: Imóvel urbano no Brasil)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C9A84C"/>
            </w:tcBorders>
            <w:shd w:val="clear" w:color="auto" w:fill="FDF6E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7A5C00"/>
                <w:sz w:val="24"/>
                <w:szCs w:val="24"/>
              </w:rPr>
              <w:t>Campos obrigatórios estão marcados com asterisco (*). Para imóveis, o sistema exige a inscrição cadastral,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28538A">
              <w:rPr>
                <w:color w:val="7A5C00"/>
                <w:sz w:val="24"/>
                <w:szCs w:val="24"/>
              </w:rPr>
              <w:t>a</w:t>
            </w:r>
            <w:proofErr w:type="gramEnd"/>
            <w:r w:rsidRPr="0028538A">
              <w:rPr>
                <w:color w:val="7A5C00"/>
                <w:sz w:val="24"/>
                <w:szCs w:val="24"/>
              </w:rPr>
              <w:t xml:space="preserve"> matrícula, o cartório de registro, a área, a utilização (residencial/não residencial), o percentual de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28538A">
              <w:rPr>
                <w:color w:val="7A5C00"/>
                <w:sz w:val="24"/>
                <w:szCs w:val="24"/>
              </w:rPr>
              <w:t>propriedade</w:t>
            </w:r>
            <w:proofErr w:type="gramEnd"/>
            <w:r w:rsidRPr="0028538A">
              <w:rPr>
                <w:color w:val="7A5C00"/>
                <w:sz w:val="24"/>
                <w:szCs w:val="24"/>
              </w:rPr>
              <w:t xml:space="preserve"> do falecido e o valor declarado. Anexe o IPTU ou documento equivalente em PDF.</w:t>
            </w:r>
          </w:p>
        </w:tc>
      </w:tr>
    </w:tbl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Formulário de bem imóvel — preencha todos os campos e clique em SALVAR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Bem salvo com sucesso — clique em AVANÇAR para continuar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8  </w:t>
      </w:r>
      <w:r w:rsidRPr="0028538A">
        <w:rPr>
          <w:b/>
          <w:bCs/>
          <w:color w:val="0D2B55"/>
          <w:sz w:val="24"/>
          <w:szCs w:val="24"/>
        </w:rPr>
        <w:t>Verifique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e ajuste a Partilha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 xml:space="preserve">O sistema calcula automaticamente os percentuais legais de cada beneficiário em cada bem, com base nas regras do Código Civil. Confira se a partilha calculada está </w:t>
      </w:r>
      <w:r w:rsidRPr="0028538A">
        <w:rPr>
          <w:color w:val="1A1A1A"/>
          <w:sz w:val="24"/>
          <w:szCs w:val="24"/>
        </w:rPr>
        <w:lastRenderedPageBreak/>
        <w:t>correta. Se a partilha desejada for diferente da legal (ex.: concentração de bens em um herdeiro), clique em Alterar Partilha para declarar os percentuais manualmente. Clique em Avançar.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Aba Partilha — partilha legal calculada automaticamente pelo sistema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Partilha com preenchimento manual — informe os percentuais e totalize 100%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Partilha com múltiplos beneficiários — botão REPETIR A % PARA TODOS OS BENS facilita o processo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9  </w:t>
      </w:r>
      <w:r w:rsidRPr="0028538A">
        <w:rPr>
          <w:b/>
          <w:bCs/>
          <w:color w:val="0D2B55"/>
          <w:sz w:val="24"/>
          <w:szCs w:val="24"/>
        </w:rPr>
        <w:t>Verifique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os Documentos Anexos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O sistema exibe a relação de documentos já anexados durante o preenchimento dos bens, organizados por categoria (Gerais e Relacionados aos bens/direitos/dívidas). Confirme que todos estão presentes e clique em Avançar.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lastRenderedPageBreak/>
        <w:t>Aba Documentos Anexos — confirme os documentos e clique em AVANÇAR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10  </w:t>
      </w:r>
      <w:r w:rsidRPr="0028538A">
        <w:rPr>
          <w:b/>
          <w:bCs/>
          <w:color w:val="0D2B55"/>
          <w:sz w:val="24"/>
          <w:szCs w:val="24"/>
        </w:rPr>
        <w:t>Envie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a DBD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Na aba Envio, o sistema exibe um resumo completo da declaração para conferência final. Verifique os dados, clique em ENVIAR DBD, leia o Termo de Responsabilidade, marque "Li e concordo..." e clique em Prosseguir.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Aba Envio — resumo completo para conferência. Clique em ENVIAR DBD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Termo de Responsabilidade — marque a opção e clique em PROSSEGUIR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11  </w:t>
      </w:r>
      <w:r w:rsidRPr="0028538A">
        <w:rPr>
          <w:b/>
          <w:bCs/>
          <w:color w:val="0D2B55"/>
          <w:sz w:val="24"/>
          <w:szCs w:val="24"/>
        </w:rPr>
        <w:t>Cálculo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do imposto e geração do DAE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Nos casos em que não há avaliação manual de bens, o sistema calcula o imposto imediatamente após o envio e disponibiliza o DAE (Documento de Arrecadação Estadual) para pagamento. Quando há avaliação pendente, o sistema indica que o cálculo está sendo realizado pela SEF — é possível emitir um DAE prévio nesse caso.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lastRenderedPageBreak/>
        <w:t>DAE gerado automaticamente — código de barras, PIX e validade para pagamento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Aba Cálculo do ITCD — detalhamento da base de cálculo, alíquota, juros e multa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Quando há avaliação pendente — opção de emitir DAE prévio em valor estimado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12  </w:t>
      </w:r>
      <w:r w:rsidRPr="0028538A">
        <w:rPr>
          <w:b/>
          <w:bCs/>
          <w:color w:val="0D2B55"/>
          <w:sz w:val="24"/>
          <w:szCs w:val="24"/>
        </w:rPr>
        <w:t>Certidão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de Pagamento/Desoneração do ITCD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lastRenderedPageBreak/>
        <w:t>Após o pagamento do imposto ou o reconhecimento de isenção pela SEF, o sistema disponibiliza automaticamente a Certidão de Pagamento/Desoneração do ITCD. Este documento é obrigatório para registro dos bens no cartório e encerramento do inventário.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Certidão de Pagamento/Desoneração do ITCD emitida pela SEF/MG</w:t>
      </w:r>
    </w:p>
    <w:p w:rsidR="0035392A" w:rsidRPr="0028538A" w:rsidRDefault="00B33E52">
      <w:pPr>
        <w:rPr>
          <w:sz w:val="24"/>
          <w:szCs w:val="24"/>
        </w:rPr>
      </w:pPr>
      <w:r w:rsidRPr="0028538A">
        <w:rPr>
          <w:sz w:val="24"/>
          <w:szCs w:val="24"/>
        </w:rPr>
        <w:br/>
      </w:r>
    </w:p>
    <w:p w:rsidR="0035392A" w:rsidRPr="0028538A" w:rsidRDefault="00B33E52">
      <w:pPr>
        <w:pBdr>
          <w:bottom w:val="single" w:sz="6" w:space="0" w:color="C9A84C"/>
        </w:pBdr>
        <w:spacing w:before="320" w:after="120" w:line="360" w:lineRule="auto"/>
        <w:rPr>
          <w:sz w:val="24"/>
          <w:szCs w:val="24"/>
        </w:rPr>
      </w:pPr>
      <w:r w:rsidRPr="0028538A">
        <w:rPr>
          <w:b/>
          <w:bCs/>
          <w:color w:val="0D2B55"/>
          <w:sz w:val="24"/>
          <w:szCs w:val="24"/>
        </w:rPr>
        <w:t>PARTE 3 — Causa Mortis com Cessão de Direitos Hereditários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Use este fluxo quando um herdeiro ceder seus direitos hereditários a outra pessoa (cedente → cessionário).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A cessão NÃO cria uma declaração separada — ela é incluída na mesma DBD de Causa Mortis.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O sistema tributará dois fatos geradores: a herança (causa mortis) e a doação da cessão (se gratuita).</w:t>
            </w:r>
          </w:p>
        </w:tc>
      </w:tr>
    </w:tbl>
    <w:p w:rsidR="0035392A" w:rsidRPr="0028538A" w:rsidRDefault="0035392A">
      <w:pPr>
        <w:spacing w:before="8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CC0000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28538A">
              <w:rPr>
                <w:rFonts w:ascii="Segoe UI Symbol" w:hAnsi="Segoe UI Symbol" w:cs="Segoe UI Symbol"/>
                <w:color w:val="8B0000"/>
                <w:sz w:val="24"/>
                <w:szCs w:val="24"/>
              </w:rPr>
              <w:t>⚠</w:t>
            </w:r>
            <w:r w:rsidRPr="0028538A">
              <w:rPr>
                <w:color w:val="8B0000"/>
                <w:sz w:val="24"/>
                <w:szCs w:val="24"/>
              </w:rPr>
              <w:t xml:space="preserve">  Atenção</w:t>
            </w:r>
            <w:proofErr w:type="gramEnd"/>
            <w:r w:rsidRPr="0028538A">
              <w:rPr>
                <w:color w:val="8B0000"/>
                <w:sz w:val="24"/>
                <w:szCs w:val="24"/>
              </w:rPr>
              <w:t xml:space="preserve"> — renúncia abdicativa vs. cessão de direitos: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8B0000"/>
                <w:sz w:val="24"/>
                <w:szCs w:val="24"/>
              </w:rPr>
              <w:lastRenderedPageBreak/>
              <w:t xml:space="preserve">   • Renúncia ao Monte-mor (abdicativa): o herdeiro abre mão da herança sem indicar beneficiário.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8B0000"/>
                <w:sz w:val="24"/>
                <w:szCs w:val="24"/>
              </w:rPr>
              <w:t xml:space="preserve">     Não é cessão — use a opção Monte-mor. O herdeiro não aparece na partilha.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8B0000"/>
                <w:sz w:val="24"/>
                <w:szCs w:val="24"/>
              </w:rPr>
              <w:t xml:space="preserve">   • Cessão de direitos hereditários: o herdeiro aceita a herança e cede sua parte a pessoa determinada.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8B0000"/>
                <w:sz w:val="24"/>
                <w:szCs w:val="24"/>
              </w:rPr>
              <w:t xml:space="preserve">     Gera dois fatos geradores: causa mortis e doação. Use a opção Pessoa determinada / Cessão.</w:t>
            </w:r>
          </w:p>
        </w:tc>
      </w:tr>
    </w:tbl>
    <w:p w:rsidR="0035392A" w:rsidRPr="0028538A" w:rsidRDefault="0035392A">
      <w:pPr>
        <w:spacing w:before="24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1  </w:t>
      </w:r>
      <w:r w:rsidRPr="0028538A">
        <w:rPr>
          <w:b/>
          <w:bCs/>
          <w:color w:val="0D2B55"/>
          <w:sz w:val="24"/>
          <w:szCs w:val="24"/>
        </w:rPr>
        <w:t>Siga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os Passos 1 a 5 da Parte 2 normalmente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O início do processo (acesso, criação da DBD, seleção de Causa Mortis, dados básicos e dados do responsável) é idêntico ao fluxo da Parte 2. Siga os Passos 1 a 5 da Parte 2 antes de continuar aqui.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Seleção de Causa Mortis — também usado para cessão de direitos hereditários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2  </w:t>
      </w:r>
      <w:r w:rsidRPr="0028538A">
        <w:rPr>
          <w:b/>
          <w:bCs/>
          <w:color w:val="0D2B55"/>
          <w:sz w:val="24"/>
          <w:szCs w:val="24"/>
        </w:rPr>
        <w:t>Na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aba Beneficiários: cadastre o herdeiro cedente com a cessão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lastRenderedPageBreak/>
        <w:t xml:space="preserve">Ao cadastrar o beneficiário que cederá seus direitos, após informar o CPF e o vínculo com o falecido, localize o campo "O Beneficiário renuncia a sua parte da herança?" </w:t>
      </w:r>
      <w:proofErr w:type="gramStart"/>
      <w:r w:rsidRPr="0028538A">
        <w:rPr>
          <w:color w:val="1A1A1A"/>
          <w:sz w:val="24"/>
          <w:szCs w:val="24"/>
        </w:rPr>
        <w:t>e</w:t>
      </w:r>
      <w:proofErr w:type="gramEnd"/>
      <w:r w:rsidRPr="0028538A">
        <w:rPr>
          <w:color w:val="1A1A1A"/>
          <w:sz w:val="24"/>
          <w:szCs w:val="24"/>
        </w:rPr>
        <w:t xml:space="preserve"> selecione Sim. Em seguida, selecione a opção "Pessoa determinada / Cessão de direitos hereditários".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Cadastro do cedente — selecione Sim e a opção Cessão de direitos hereditários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Se o inventário for judicial, informe se a cessão já foi formalizada nos autos (Sim ou Não). Se for extrajudicial, informe se já há escritura pública lavrada.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Campo para indicar se a cessão já foi formalizada — judicial: nos autos; extrajudicial: escritura pública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3  </w:t>
      </w:r>
      <w:r w:rsidRPr="0028538A">
        <w:rPr>
          <w:b/>
          <w:bCs/>
          <w:color w:val="0D2B55"/>
          <w:sz w:val="24"/>
          <w:szCs w:val="24"/>
        </w:rPr>
        <w:t>Indique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os cessionários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Após selecionar a cessão, o sistema exibe o campo para inclusão dos cessionários (quem receberá os direitos). Se o cessionário já estiver cadastrado como outro beneficiário, selecione-o na lista. Se for uma pessoa externa (sem vínculo com o falecido), clique em Cadastrar Cessionário/Beneficiário e informe o CPF.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Para adicionar mais de um cessionário, selecione o próximo e clique em Adicionar novamente. Após incluir todos, clique em Cadastrar para salvar.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Campo de inclusão de cessionários — selecione ou cadastre cada cessionário e clique em Adicionar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Adicionando cessionário externo — informe o CPF/CNPJ do cessionário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Cessionários cadastrados — clique em CADASTRAR para confirmar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4  </w:t>
      </w:r>
      <w:r w:rsidRPr="0028538A">
        <w:rPr>
          <w:b/>
          <w:bCs/>
          <w:color w:val="0D2B55"/>
          <w:sz w:val="24"/>
          <w:szCs w:val="24"/>
        </w:rPr>
        <w:t>Verifique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a árvore genealógica com cedente e cessionários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Após cadastrar todos os beneficiários, o sistema exibe a árvore atualizada. O herdeiro cedente aparece marcado como "Renunciante" com o número de cessionários indicado. Confirme que todos estão corretos e clique em Avançar.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 xml:space="preserve">Árvore genealógica — cedente marcado </w:t>
      </w:r>
      <w:proofErr w:type="gramStart"/>
      <w:r w:rsidRPr="0028538A">
        <w:rPr>
          <w:i/>
          <w:iCs/>
          <w:color w:val="666666"/>
          <w:sz w:val="24"/>
          <w:szCs w:val="24"/>
        </w:rPr>
        <w:t>como Renunciante</w:t>
      </w:r>
      <w:proofErr w:type="gramEnd"/>
      <w:r w:rsidRPr="0028538A">
        <w:rPr>
          <w:i/>
          <w:iCs/>
          <w:color w:val="666666"/>
          <w:sz w:val="24"/>
          <w:szCs w:val="24"/>
        </w:rPr>
        <w:t xml:space="preserve"> com 2 cessionários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5  </w:t>
      </w:r>
      <w:r w:rsidRPr="0028538A">
        <w:rPr>
          <w:b/>
          <w:bCs/>
          <w:color w:val="0D2B55"/>
          <w:sz w:val="24"/>
          <w:szCs w:val="24"/>
        </w:rPr>
        <w:t>Inclua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os bens, direitos e dívidas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Este passo é idêntico ao Passo 7 da Parte 2. Adicione cada bem do acervo hereditário clicando no botão + e preenchendo os campos obrigatórios. Clique em Avançar quando todos os bens estiverem cadastrados.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Tela de Bens — adicione todos os bens do acervo com o botão +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6  </w:t>
      </w:r>
      <w:r w:rsidRPr="0028538A">
        <w:rPr>
          <w:b/>
          <w:bCs/>
          <w:color w:val="0D2B55"/>
          <w:sz w:val="24"/>
          <w:szCs w:val="24"/>
        </w:rPr>
        <w:t>Partilha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com cessão — distribua os percentuais entre cedente e cessionários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Na aba Partilha, o sistema calcula automaticamente os percentuais de cada beneficiário. Para os cessionários, os percentuais aparecerão zerados — você deve preenchê-los clicando no campo de cada cessionário. O sistema reduzirá automaticamente o percentual do cedente conforme o que for atribuído ao cessionário.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Partilha com cessão — campos do cessionário zerados aguardam preenchimento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Clique no campo do cessionário para abrir a janela de preenchimento. Informe o percentual cedido e clique em Salvar. Repita para cada cessionário em cada bem.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Janela de preenchimento — informe o percentual cedido e clique em Salvar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C9A84C"/>
            </w:tcBorders>
            <w:shd w:val="clear" w:color="auto" w:fill="FDF6E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7A5C00"/>
                <w:sz w:val="24"/>
                <w:szCs w:val="24"/>
              </w:rPr>
              <w:lastRenderedPageBreak/>
              <w:t>Exemplo: o cedente tinha 25% de um bem. Cedeu 10% ao cessionário.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7A5C00"/>
                <w:sz w:val="24"/>
                <w:szCs w:val="24"/>
              </w:rPr>
              <w:t>Após o preenchimento, o cedente ficará com 15% e o cessionário com 10%.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7A5C00"/>
                <w:sz w:val="24"/>
                <w:szCs w:val="24"/>
              </w:rPr>
              <w:t>O total da partilha declarada deve sempre fechar em 100%.</w:t>
            </w:r>
          </w:p>
        </w:tc>
      </w:tr>
    </w:tbl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Quando o sistema não calcular automaticamente (casos com testamento ou cessão específica), preencha manualmente todos os percentuais para que o total some 100%, e somente então o campo do cessionário será habilitado.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drawing>
          <wp:inline distT="0" distB="0" distL="0" distR="0">
            <wp:extent cx="5657850" cy="318135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Partilha manual — preencha todos os percentuais até 100% para habilitar o campo do cessionário</w:t>
      </w:r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before="160" w:after="160"/>
        <w:jc w:val="center"/>
        <w:rPr>
          <w:sz w:val="24"/>
          <w:szCs w:val="24"/>
        </w:rPr>
      </w:pPr>
      <w:r w:rsidRPr="0028538A">
        <w:rPr>
          <w:noProof/>
          <w:sz w:val="24"/>
          <w:szCs w:val="24"/>
        </w:rPr>
        <w:lastRenderedPageBreak/>
        <w:drawing>
          <wp:inline distT="0" distB="0" distL="0" distR="0">
            <wp:extent cx="5657850" cy="318135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2A" w:rsidRPr="0028538A" w:rsidRDefault="00B33E52">
      <w:pPr>
        <w:spacing w:before="40" w:after="160" w:line="360" w:lineRule="auto"/>
        <w:jc w:val="center"/>
        <w:rPr>
          <w:sz w:val="24"/>
          <w:szCs w:val="24"/>
        </w:rPr>
      </w:pPr>
      <w:r w:rsidRPr="0028538A">
        <w:rPr>
          <w:i/>
          <w:iCs/>
          <w:color w:val="666666"/>
          <w:sz w:val="24"/>
          <w:szCs w:val="24"/>
        </w:rPr>
        <w:t>Partilha finalizada com cessão — clique em AVANÇAR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p w:rsidR="0035392A" w:rsidRPr="0028538A" w:rsidRDefault="00B33E52">
      <w:pPr>
        <w:spacing w:before="240" w:after="80" w:line="360" w:lineRule="auto"/>
        <w:rPr>
          <w:sz w:val="24"/>
          <w:szCs w:val="24"/>
        </w:rPr>
      </w:pPr>
      <w:r w:rsidRPr="0028538A">
        <w:rPr>
          <w:b/>
          <w:bCs/>
          <w:color w:val="C9A84C"/>
          <w:sz w:val="24"/>
          <w:szCs w:val="24"/>
        </w:rPr>
        <w:t xml:space="preserve">Passo </w:t>
      </w:r>
      <w:proofErr w:type="gramStart"/>
      <w:r w:rsidRPr="0028538A">
        <w:rPr>
          <w:b/>
          <w:bCs/>
          <w:color w:val="C9A84C"/>
          <w:sz w:val="24"/>
          <w:szCs w:val="24"/>
        </w:rPr>
        <w:t xml:space="preserve">7  </w:t>
      </w:r>
      <w:r w:rsidRPr="0028538A">
        <w:rPr>
          <w:b/>
          <w:bCs/>
          <w:color w:val="0D2B55"/>
          <w:sz w:val="24"/>
          <w:szCs w:val="24"/>
        </w:rPr>
        <w:t>Conclua</w:t>
      </w:r>
      <w:proofErr w:type="gramEnd"/>
      <w:r w:rsidRPr="0028538A">
        <w:rPr>
          <w:b/>
          <w:bCs/>
          <w:color w:val="0D2B55"/>
          <w:sz w:val="24"/>
          <w:szCs w:val="24"/>
        </w:rPr>
        <w:t xml:space="preserve"> a declaração normalmente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Após a aba de Partilha, siga o mesmo fluxo da Parte 2: verifique os Documentos Anexos (Passo 9), envie a DBD (Passo 10) e aguarde o cálculo do ITCD e a emissão do DAE (Passos 11 e 12). O sistema tributará separadamente a herança causa mortis e a cessão de direitos hereditários.</w:t>
      </w:r>
    </w:p>
    <w:p w:rsidR="0035392A" w:rsidRPr="0028538A" w:rsidRDefault="00B33E52">
      <w:pPr>
        <w:rPr>
          <w:sz w:val="24"/>
          <w:szCs w:val="24"/>
        </w:rPr>
      </w:pPr>
      <w:r w:rsidRPr="0028538A">
        <w:rPr>
          <w:sz w:val="24"/>
          <w:szCs w:val="24"/>
        </w:rPr>
        <w:br/>
      </w:r>
    </w:p>
    <w:p w:rsidR="0035392A" w:rsidRPr="0028538A" w:rsidRDefault="00B33E52">
      <w:pPr>
        <w:pBdr>
          <w:bottom w:val="single" w:sz="6" w:space="0" w:color="C9A84C"/>
        </w:pBdr>
        <w:spacing w:before="320" w:after="120" w:line="360" w:lineRule="auto"/>
        <w:rPr>
          <w:sz w:val="24"/>
          <w:szCs w:val="24"/>
        </w:rPr>
      </w:pPr>
      <w:proofErr w:type="gramStart"/>
      <w:r w:rsidRPr="0028538A">
        <w:rPr>
          <w:b/>
          <w:bCs/>
          <w:color w:val="0D2B55"/>
          <w:sz w:val="24"/>
          <w:szCs w:val="24"/>
        </w:rPr>
        <w:t>Referências e Links Úteis</w:t>
      </w:r>
      <w:proofErr w:type="gramEnd"/>
    </w:p>
    <w:p w:rsidR="0035392A" w:rsidRPr="0028538A" w:rsidRDefault="0035392A">
      <w:pPr>
        <w:spacing w:before="80"/>
        <w:rPr>
          <w:sz w:val="24"/>
          <w:szCs w:val="24"/>
        </w:rPr>
      </w:pP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proofErr w:type="gramStart"/>
      <w:r w:rsidRPr="0028538A">
        <w:rPr>
          <w:color w:val="1A1A1A"/>
          <w:sz w:val="24"/>
          <w:szCs w:val="24"/>
        </w:rPr>
        <w:t>e</w:t>
      </w:r>
      <w:proofErr w:type="gramEnd"/>
      <w:r w:rsidRPr="0028538A">
        <w:rPr>
          <w:color w:val="1A1A1A"/>
          <w:sz w:val="24"/>
          <w:szCs w:val="24"/>
        </w:rPr>
        <w:t>-ITCD (acesso ao sistema): www.fazenda.mg.gov.br — módulo e-ITCD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Instruções de preenchimento da SEF/MG: www.fazenda.mg.gov.br/empresas/impostos/itcd/instrucoes-e-itcd/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 xml:space="preserve">Consulta de </w:t>
      </w:r>
      <w:proofErr w:type="spellStart"/>
      <w:r w:rsidRPr="0028538A">
        <w:rPr>
          <w:color w:val="1A1A1A"/>
          <w:sz w:val="24"/>
          <w:szCs w:val="24"/>
        </w:rPr>
        <w:t>DBDs</w:t>
      </w:r>
      <w:proofErr w:type="spellEnd"/>
      <w:r w:rsidRPr="0028538A">
        <w:rPr>
          <w:color w:val="1A1A1A"/>
          <w:sz w:val="24"/>
          <w:szCs w:val="24"/>
        </w:rPr>
        <w:t xml:space="preserve"> já criadas: www.fazenda.mg.gov.br/empresas/impostos/itcd/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Emissão e pagamento do DAE: www.fazenda.mg.gov.br/empresas/impostos/itcd/pagamento-emissao-de-dae/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t>Legislação do ITCD em MG (Lei 14.941/03 e RITCD/05): www.fazenda.mg.gov.br/empresas/legislacao_tributaria/itcd/</w:t>
      </w:r>
    </w:p>
    <w:p w:rsidR="0035392A" w:rsidRPr="0028538A" w:rsidRDefault="00B33E52">
      <w:pPr>
        <w:spacing w:after="120" w:line="360" w:lineRule="auto"/>
        <w:ind w:firstLine="709"/>
        <w:jc w:val="both"/>
        <w:rPr>
          <w:sz w:val="24"/>
          <w:szCs w:val="24"/>
        </w:rPr>
      </w:pPr>
      <w:r w:rsidRPr="0028538A">
        <w:rPr>
          <w:color w:val="1A1A1A"/>
          <w:sz w:val="24"/>
          <w:szCs w:val="24"/>
        </w:rPr>
        <w:lastRenderedPageBreak/>
        <w:t>Perguntas e Respostas ITCD — DOLT/SUTRI: www.fazenda.mg.gov.br/empresas/legislacao_tributaria/orientacao/orientacao_002_2006.html</w:t>
      </w:r>
    </w:p>
    <w:p w:rsidR="0035392A" w:rsidRPr="0028538A" w:rsidRDefault="0035392A">
      <w:pPr>
        <w:spacing w:before="160"/>
        <w:rPr>
          <w:sz w:val="24"/>
          <w:szCs w:val="24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4"/>
      </w:tblGrid>
      <w:tr w:rsidR="0035392A" w:rsidRPr="0028538A">
        <w:tc>
          <w:tcPr>
            <w:tcW w:w="8504" w:type="dxa"/>
            <w:tcBorders>
              <w:left w:val="single" w:sz="18" w:space="0" w:color="0D2B55"/>
            </w:tcBorders>
            <w:shd w:val="clear" w:color="auto" w:fill="EBF1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5392A" w:rsidRPr="0028538A" w:rsidRDefault="00B33E5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>Pontos de atenção recorrentes: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 xml:space="preserve">   • O acesso sempre usa "Entrar com gov.br" — nunca Certificado Digital.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 xml:space="preserve">   • O prazo para envio da DBD é de 180 dias do óbito — acompanhe o contador na barra superior.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 xml:space="preserve">   • O desconto de 15% no ITCD é concedido se o pagamento ocorrer em até 90 dias do óbito.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 xml:space="preserve">   • A cessão de direitos hereditários é incluída na mesma DBD de Causa Mortis.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 xml:space="preserve">   • O acompanhamento do processo deve ser feito diretamente no sistema, não apenas por e-mail.</w:t>
            </w:r>
          </w:p>
          <w:p w:rsidR="0035392A" w:rsidRPr="0028538A" w:rsidRDefault="00B33E52">
            <w:pPr>
              <w:spacing w:before="80" w:line="360" w:lineRule="auto"/>
              <w:jc w:val="both"/>
              <w:rPr>
                <w:sz w:val="24"/>
                <w:szCs w:val="24"/>
              </w:rPr>
            </w:pPr>
            <w:r w:rsidRPr="0028538A">
              <w:rPr>
                <w:color w:val="0D2B55"/>
                <w:sz w:val="24"/>
                <w:szCs w:val="24"/>
              </w:rPr>
              <w:t xml:space="preserve">   • A Certidão de Pagamento/Desoneração é emitida automaticamente após quitação ou reconhecimento de isenção.</w:t>
            </w:r>
          </w:p>
        </w:tc>
      </w:tr>
    </w:tbl>
    <w:p w:rsidR="0035392A" w:rsidRPr="0028538A" w:rsidRDefault="0035392A">
      <w:pPr>
        <w:spacing w:before="240"/>
        <w:rPr>
          <w:sz w:val="24"/>
          <w:szCs w:val="24"/>
        </w:rPr>
      </w:pPr>
    </w:p>
    <w:p w:rsidR="0035392A" w:rsidRPr="0028538A" w:rsidRDefault="00B33E52" w:rsidP="0028538A">
      <w:pPr>
        <w:spacing w:after="60" w:line="360" w:lineRule="auto"/>
        <w:jc w:val="center"/>
        <w:rPr>
          <w:sz w:val="24"/>
          <w:szCs w:val="24"/>
        </w:rPr>
      </w:pPr>
      <w:r w:rsidRPr="0028538A">
        <w:rPr>
          <w:b/>
          <w:bCs/>
          <w:color w:val="0D2B55"/>
          <w:sz w:val="24"/>
          <w:szCs w:val="24"/>
        </w:rPr>
        <w:t>ARAUJO</w:t>
      </w:r>
      <w:r w:rsidR="0028538A">
        <w:rPr>
          <w:b/>
          <w:bCs/>
          <w:color w:val="0D2B55"/>
          <w:sz w:val="24"/>
          <w:szCs w:val="24"/>
        </w:rPr>
        <w:t xml:space="preserve"> E CASTRO ADVOCACIA</w:t>
      </w:r>
    </w:p>
    <w:p w:rsidR="0035392A" w:rsidRPr="0028538A" w:rsidRDefault="0028538A" w:rsidP="0028538A">
      <w:pPr>
        <w:spacing w:line="360" w:lineRule="auto"/>
        <w:jc w:val="center"/>
        <w:rPr>
          <w:sz w:val="24"/>
          <w:szCs w:val="24"/>
        </w:rPr>
      </w:pPr>
      <w:r>
        <w:rPr>
          <w:color w:val="666666"/>
          <w:sz w:val="24"/>
          <w:szCs w:val="24"/>
        </w:rPr>
        <w:t>PLANEJAMENTO SUCESSÓRIO</w:t>
      </w:r>
    </w:p>
    <w:sectPr w:rsidR="0035392A" w:rsidRPr="0028538A" w:rsidSect="0028538A">
      <w:headerReference w:type="default" r:id="rId47"/>
      <w:footerReference w:type="default" r:id="rId48"/>
      <w:pgSz w:w="11906" w:h="16838"/>
      <w:pgMar w:top="1701" w:right="1701" w:bottom="1134" w:left="1701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702" w:rsidRDefault="00535702">
      <w:r>
        <w:separator/>
      </w:r>
    </w:p>
  </w:endnote>
  <w:endnote w:type="continuationSeparator" w:id="0">
    <w:p w:rsidR="00535702" w:rsidRDefault="00535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92A" w:rsidRDefault="00B33E52">
    <w:pPr>
      <w:pBdr>
        <w:top w:val="single" w:sz="6" w:space="4" w:color="C9A84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POP 04 — Declaração de Bens e Direitos (DBD) | e-ITCD MG</w:t>
    </w:r>
    <w:r>
      <w:rPr>
        <w:rFonts w:ascii="Arial" w:eastAsia="Arial" w:hAnsi="Arial" w:cs="Arial"/>
        <w:color w:val="666666"/>
        <w:sz w:val="18"/>
        <w:szCs w:val="18"/>
      </w:rPr>
      <w:tab/>
      <w:t xml:space="preserve">Página </w:t>
    </w:r>
    <w:r>
      <w:rPr>
        <w:rFonts w:ascii="Arial" w:eastAsia="Arial" w:hAnsi="Arial" w:cs="Arial"/>
        <w:color w:val="1B3A6B"/>
        <w:sz w:val="18"/>
        <w:szCs w:val="18"/>
      </w:rPr>
      <w:fldChar w:fldCharType="begin"/>
    </w:r>
    <w:r>
      <w:rPr>
        <w:rFonts w:ascii="Arial" w:eastAsia="Arial" w:hAnsi="Arial" w:cs="Arial"/>
        <w:color w:val="1B3A6B"/>
        <w:sz w:val="18"/>
        <w:szCs w:val="18"/>
      </w:rPr>
      <w:instrText>PAGE</w:instrText>
    </w:r>
    <w:r>
      <w:rPr>
        <w:rFonts w:ascii="Arial" w:eastAsia="Arial" w:hAnsi="Arial" w:cs="Arial"/>
        <w:color w:val="1B3A6B"/>
        <w:sz w:val="18"/>
        <w:szCs w:val="18"/>
      </w:rPr>
      <w:fldChar w:fldCharType="separate"/>
    </w:r>
    <w:r w:rsidR="001B23A2">
      <w:rPr>
        <w:rFonts w:ascii="Arial" w:eastAsia="Arial" w:hAnsi="Arial" w:cs="Arial"/>
        <w:noProof/>
        <w:color w:val="1B3A6B"/>
        <w:sz w:val="18"/>
        <w:szCs w:val="18"/>
      </w:rPr>
      <w:t>20</w:t>
    </w:r>
    <w:r>
      <w:rPr>
        <w:rFonts w:ascii="Arial" w:eastAsia="Arial" w:hAnsi="Arial" w:cs="Arial"/>
        <w:color w:val="1B3A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702" w:rsidRDefault="00535702">
      <w:r>
        <w:separator/>
      </w:r>
    </w:p>
  </w:footnote>
  <w:footnote w:type="continuationSeparator" w:id="0">
    <w:p w:rsidR="00535702" w:rsidRDefault="00535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1FD2" w:rsidRDefault="00B33E52" w:rsidP="00253223">
    <w:pPr>
      <w:tabs>
        <w:tab w:val="left" w:pos="-3261"/>
      </w:tabs>
      <w:ind w:left="-1701"/>
    </w:pPr>
    <w:r>
      <w:rPr>
        <w:noProof/>
      </w:rPr>
      <w:drawing>
        <wp:inline distT="0" distB="0" distL="0" distR="0" wp14:anchorId="38E6E5F9" wp14:editId="4B2E2347">
          <wp:extent cx="7641566" cy="1047750"/>
          <wp:effectExtent l="0" t="0" r="0" b="0"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09575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7754" cy="104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51EBD"/>
    <w:multiLevelType w:val="hybridMultilevel"/>
    <w:tmpl w:val="E886E7D0"/>
    <w:lvl w:ilvl="0" w:tplc="C7DE079E">
      <w:start w:val="1"/>
      <w:numFmt w:val="bullet"/>
      <w:lvlText w:val="•"/>
      <w:lvlJc w:val="left"/>
      <w:pPr>
        <w:ind w:left="560" w:hanging="280"/>
      </w:pPr>
    </w:lvl>
    <w:lvl w:ilvl="1" w:tplc="8FE48D18">
      <w:numFmt w:val="decimal"/>
      <w:lvlText w:val=""/>
      <w:lvlJc w:val="left"/>
    </w:lvl>
    <w:lvl w:ilvl="2" w:tplc="4508AA30">
      <w:numFmt w:val="decimal"/>
      <w:lvlText w:val=""/>
      <w:lvlJc w:val="left"/>
    </w:lvl>
    <w:lvl w:ilvl="3" w:tplc="9B20A4B0">
      <w:numFmt w:val="decimal"/>
      <w:lvlText w:val=""/>
      <w:lvlJc w:val="left"/>
    </w:lvl>
    <w:lvl w:ilvl="4" w:tplc="91D88EBE">
      <w:numFmt w:val="decimal"/>
      <w:lvlText w:val=""/>
      <w:lvlJc w:val="left"/>
    </w:lvl>
    <w:lvl w:ilvl="5" w:tplc="A156DBE6">
      <w:numFmt w:val="decimal"/>
      <w:lvlText w:val=""/>
      <w:lvlJc w:val="left"/>
    </w:lvl>
    <w:lvl w:ilvl="6" w:tplc="AFC22750">
      <w:numFmt w:val="decimal"/>
      <w:lvlText w:val=""/>
      <w:lvlJc w:val="left"/>
    </w:lvl>
    <w:lvl w:ilvl="7" w:tplc="A6B624EA">
      <w:numFmt w:val="decimal"/>
      <w:lvlText w:val=""/>
      <w:lvlJc w:val="left"/>
    </w:lvl>
    <w:lvl w:ilvl="8" w:tplc="89866ED6">
      <w:numFmt w:val="decimal"/>
      <w:lvlText w:val=""/>
      <w:lvlJc w:val="left"/>
    </w:lvl>
  </w:abstractNum>
  <w:abstractNum w:abstractNumId="1" w15:restartNumberingAfterBreak="0">
    <w:nsid w:val="4788655B"/>
    <w:multiLevelType w:val="hybridMultilevel"/>
    <w:tmpl w:val="34983014"/>
    <w:lvl w:ilvl="0" w:tplc="CAB86F20">
      <w:start w:val="1"/>
      <w:numFmt w:val="bullet"/>
      <w:lvlText w:val="●"/>
      <w:lvlJc w:val="left"/>
      <w:pPr>
        <w:ind w:left="720" w:hanging="360"/>
      </w:pPr>
    </w:lvl>
    <w:lvl w:ilvl="1" w:tplc="A8C2CA46">
      <w:start w:val="1"/>
      <w:numFmt w:val="bullet"/>
      <w:lvlText w:val="○"/>
      <w:lvlJc w:val="left"/>
      <w:pPr>
        <w:ind w:left="1440" w:hanging="360"/>
      </w:pPr>
    </w:lvl>
    <w:lvl w:ilvl="2" w:tplc="546888FC">
      <w:start w:val="1"/>
      <w:numFmt w:val="bullet"/>
      <w:lvlText w:val="■"/>
      <w:lvlJc w:val="left"/>
      <w:pPr>
        <w:ind w:left="2160" w:hanging="360"/>
      </w:pPr>
    </w:lvl>
    <w:lvl w:ilvl="3" w:tplc="AFBC7664">
      <w:start w:val="1"/>
      <w:numFmt w:val="bullet"/>
      <w:lvlText w:val="●"/>
      <w:lvlJc w:val="left"/>
      <w:pPr>
        <w:ind w:left="2880" w:hanging="360"/>
      </w:pPr>
    </w:lvl>
    <w:lvl w:ilvl="4" w:tplc="415E0DF2">
      <w:start w:val="1"/>
      <w:numFmt w:val="bullet"/>
      <w:lvlText w:val="○"/>
      <w:lvlJc w:val="left"/>
      <w:pPr>
        <w:ind w:left="3600" w:hanging="360"/>
      </w:pPr>
    </w:lvl>
    <w:lvl w:ilvl="5" w:tplc="3EBAE66A">
      <w:start w:val="1"/>
      <w:numFmt w:val="bullet"/>
      <w:lvlText w:val="■"/>
      <w:lvlJc w:val="left"/>
      <w:pPr>
        <w:ind w:left="4320" w:hanging="360"/>
      </w:pPr>
    </w:lvl>
    <w:lvl w:ilvl="6" w:tplc="131EE4DA">
      <w:start w:val="1"/>
      <w:numFmt w:val="bullet"/>
      <w:lvlText w:val="●"/>
      <w:lvlJc w:val="left"/>
      <w:pPr>
        <w:ind w:left="5040" w:hanging="360"/>
      </w:pPr>
    </w:lvl>
    <w:lvl w:ilvl="7" w:tplc="0BA069E0">
      <w:start w:val="1"/>
      <w:numFmt w:val="bullet"/>
      <w:lvlText w:val="●"/>
      <w:lvlJc w:val="left"/>
      <w:pPr>
        <w:ind w:left="5760" w:hanging="360"/>
      </w:pPr>
    </w:lvl>
    <w:lvl w:ilvl="8" w:tplc="1FF0B5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92A"/>
    <w:rsid w:val="001B23A2"/>
    <w:rsid w:val="0028538A"/>
    <w:rsid w:val="0035392A"/>
    <w:rsid w:val="00535702"/>
    <w:rsid w:val="005417CD"/>
    <w:rsid w:val="008A79C0"/>
    <w:rsid w:val="00B3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3D4A2E"/>
  <w15:docId w15:val="{65B80DD1-5E3D-4EF7-ABA2-387157F3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853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538A"/>
  </w:style>
  <w:style w:type="paragraph" w:styleId="Rodap">
    <w:name w:val="footer"/>
    <w:basedOn w:val="Normal"/>
    <w:link w:val="RodapChar"/>
    <w:uiPriority w:val="99"/>
    <w:unhideWhenUsed/>
    <w:rsid w:val="002853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85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footer" Target="footer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30</Pages>
  <Words>2351</Words>
  <Characters>12700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Cliente</cp:lastModifiedBy>
  <cp:revision>4</cp:revision>
  <dcterms:created xsi:type="dcterms:W3CDTF">2026-05-17T19:01:00Z</dcterms:created>
  <dcterms:modified xsi:type="dcterms:W3CDTF">2026-06-24T12:50:00Z</dcterms:modified>
</cp:coreProperties>
</file>