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b w:val="1"/>
          <w:sz w:val="28"/>
          <w:szCs w:val="28"/>
        </w:rPr>
      </w:pPr>
      <w:r w:rsidDel="00000000" w:rsidR="00000000" w:rsidRPr="00000000">
        <w:rPr>
          <w:b w:val="1"/>
          <w:sz w:val="28"/>
          <w:szCs w:val="28"/>
          <w:u w:val="single"/>
          <w:rtl w:val="0"/>
        </w:rPr>
        <w:t xml:space="preserve">HIPÓTESIS 1 : Los países más pobres gastan más en defensa (proporcionalmente) que los más ricos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Esta hipótesis se debe a que los países pobres han tenido menos dinero para invertir históricamente, justo lo contrario que los países más ricos. Éstos han podido construir infraestructuras, comprar armamento, mecanismos de defensa, etc.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Muchos de estos elementos defensivos se utilizan durante años, por lo que los países ricos pueden hacer inversiones más grandes iniciales, para luego depender más de su mantenimiento.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Los países más pobres </w:t>
      </w:r>
      <w:r w:rsidDel="00000000" w:rsidR="00000000" w:rsidRPr="00000000">
        <w:rPr>
          <w:sz w:val="28"/>
          <w:szCs w:val="28"/>
          <w:rtl w:val="0"/>
        </w:rPr>
        <w:t xml:space="preserve">necesitarían</w:t>
      </w:r>
      <w:r w:rsidDel="00000000" w:rsidR="00000000" w:rsidRPr="00000000">
        <w:rPr>
          <w:sz w:val="28"/>
          <w:szCs w:val="28"/>
          <w:rtl w:val="0"/>
        </w:rPr>
        <w:t xml:space="preserve">, según esta lógica, realizar gastos más elevados en proporción a su PIB.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HIPÓTESIS REFUTADA</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Vemos momentos históricos en los que el gasto de los países pobres invirtieron más proporcionalmente, pero podemos apreciar que el grupo que más ha invertido en el tiempo es el central.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También vemos que en los años 90, la diferencia era mucho más alta. El grupo "medio" llegó a superar, de media, el 4,5% de su PIB como gasto en defensa.</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En la actualidad, el grupo medio sigue siendo el principal inversor en defensa, pero se aprecia una disminución de este gasto hasta el año 2022, momento en el que vuelve a subir en todos los grupos.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numPr>
          <w:ilvl w:val="0"/>
          <w:numId w:val="4"/>
        </w:numPr>
        <w:ind w:left="720" w:hanging="360"/>
        <w:rPr>
          <w:b w:val="1"/>
          <w:sz w:val="28"/>
          <w:szCs w:val="28"/>
        </w:rPr>
      </w:pPr>
      <w:r w:rsidDel="00000000" w:rsidR="00000000" w:rsidRPr="00000000">
        <w:rPr>
          <w:b w:val="1"/>
          <w:sz w:val="28"/>
          <w:szCs w:val="28"/>
          <w:u w:val="single"/>
          <w:rtl w:val="0"/>
        </w:rPr>
        <w:t xml:space="preserve">HIPÓTESIS 2 : Los países fronterizos de la OTAN gastan más que los de la propia OTAN</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La OTAN se fundó en 1949 como Alianza defensiva. La respuesta de la Unión Soviética fue el Pacto de Varsovia, pero muchos de los países de Europa del Este que estaban ahí han entrado en la OTAN.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Los países fronterizos a la OTAN se encuentran por lo tanto en medio de grandes ejes geopolíticos y tienen que invertir más en su defensa. </w:t>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HIPÓTESIS CONFIRMADA </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i w:val="1"/>
          <w:sz w:val="28"/>
          <w:szCs w:val="28"/>
          <w:u w:val="single"/>
        </w:rPr>
      </w:pPr>
      <w:r w:rsidDel="00000000" w:rsidR="00000000" w:rsidRPr="00000000">
        <w:rPr>
          <w:i w:val="1"/>
          <w:color w:val="474747"/>
          <w:sz w:val="28"/>
          <w:szCs w:val="28"/>
          <w:highlight w:val="white"/>
          <w:u w:val="single"/>
          <w:rtl w:val="0"/>
        </w:rPr>
        <w:t xml:space="preserve">GRÁFICO 1 </w:t>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En toda la serie histórica con la que trabajamos, desde el 1988, es evidente que los países fronterizos destinan mucho más gasto del PIB proporcionalmente que los miembros de la OTAN.</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i w:val="1"/>
          <w:sz w:val="28"/>
          <w:szCs w:val="28"/>
          <w:u w:val="single"/>
        </w:rPr>
      </w:pPr>
      <w:r w:rsidDel="00000000" w:rsidR="00000000" w:rsidRPr="00000000">
        <w:rPr>
          <w:rtl w:val="0"/>
        </w:rPr>
      </w:r>
    </w:p>
    <w:p w:rsidR="00000000" w:rsidDel="00000000" w:rsidP="00000000" w:rsidRDefault="00000000" w:rsidRPr="00000000" w14:paraId="00000024">
      <w:pPr>
        <w:rPr>
          <w:i w:val="1"/>
          <w:sz w:val="28"/>
          <w:szCs w:val="28"/>
          <w:u w:val="single"/>
        </w:rPr>
      </w:pPr>
      <w:r w:rsidDel="00000000" w:rsidR="00000000" w:rsidRPr="00000000">
        <w:rPr>
          <w:i w:val="1"/>
          <w:sz w:val="28"/>
          <w:szCs w:val="28"/>
          <w:u w:val="single"/>
          <w:rtl w:val="0"/>
        </w:rPr>
        <w:t xml:space="preserve">GRAF 2 </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color w:val="474747"/>
          <w:sz w:val="28"/>
          <w:szCs w:val="28"/>
          <w:highlight w:val="white"/>
        </w:rPr>
      </w:pPr>
      <w:r w:rsidDel="00000000" w:rsidR="00000000" w:rsidRPr="00000000">
        <w:rPr>
          <w:sz w:val="28"/>
          <w:szCs w:val="28"/>
          <w:rtl w:val="0"/>
        </w:rPr>
        <w:t xml:space="preserve">Es interesante ahondar un poco más en esta cuestión. Por ejemplo, vemos que entre 2020 y 2025, el gasto de los países vecinos de la OTAN se dispara en promedio, desde menos de un 2,5% hasta casi el 5%. Esto podría deberse al aumento del gasto militar de Rusia por el inicio de su invasión a Ucrania (</w:t>
      </w:r>
      <w:r w:rsidDel="00000000" w:rsidR="00000000" w:rsidRPr="00000000">
        <w:rPr>
          <w:color w:val="474747"/>
          <w:sz w:val="28"/>
          <w:szCs w:val="28"/>
          <w:highlight w:val="white"/>
          <w:rtl w:val="0"/>
        </w:rPr>
        <w:t xml:space="preserve">24 de febrero de 2022)...</w:t>
      </w:r>
    </w:p>
    <w:p w:rsidR="00000000" w:rsidDel="00000000" w:rsidP="00000000" w:rsidRDefault="00000000" w:rsidRPr="00000000" w14:paraId="00000027">
      <w:pPr>
        <w:rPr>
          <w:color w:val="474747"/>
          <w:sz w:val="28"/>
          <w:szCs w:val="28"/>
          <w:highlight w:val="white"/>
        </w:rPr>
      </w:pPr>
      <w:r w:rsidDel="00000000" w:rsidR="00000000" w:rsidRPr="00000000">
        <w:rPr>
          <w:rtl w:val="0"/>
        </w:rPr>
      </w:r>
    </w:p>
    <w:p w:rsidR="00000000" w:rsidDel="00000000" w:rsidP="00000000" w:rsidRDefault="00000000" w:rsidRPr="00000000" w14:paraId="00000028">
      <w:pPr>
        <w:rPr>
          <w:color w:val="474747"/>
          <w:sz w:val="28"/>
          <w:szCs w:val="28"/>
          <w:highlight w:val="white"/>
        </w:rPr>
      </w:pPr>
      <w:r w:rsidDel="00000000" w:rsidR="00000000" w:rsidRPr="00000000">
        <w:rPr>
          <w:rtl w:val="0"/>
        </w:rPr>
      </w:r>
    </w:p>
    <w:p w:rsidR="00000000" w:rsidDel="00000000" w:rsidP="00000000" w:rsidRDefault="00000000" w:rsidRPr="00000000" w14:paraId="00000029">
      <w:pPr>
        <w:rPr>
          <w:i w:val="1"/>
          <w:color w:val="474747"/>
          <w:sz w:val="28"/>
          <w:szCs w:val="28"/>
          <w:highlight w:val="white"/>
          <w:u w:val="single"/>
        </w:rPr>
      </w:pPr>
      <w:r w:rsidDel="00000000" w:rsidR="00000000" w:rsidRPr="00000000">
        <w:rPr>
          <w:i w:val="1"/>
          <w:color w:val="474747"/>
          <w:sz w:val="28"/>
          <w:szCs w:val="28"/>
          <w:highlight w:val="white"/>
          <w:u w:val="single"/>
          <w:rtl w:val="0"/>
        </w:rPr>
        <w:t xml:space="preserve">GRAF 3</w:t>
      </w:r>
    </w:p>
    <w:p w:rsidR="00000000" w:rsidDel="00000000" w:rsidP="00000000" w:rsidRDefault="00000000" w:rsidRPr="00000000" w14:paraId="0000002A">
      <w:pPr>
        <w:rPr>
          <w:color w:val="474747"/>
          <w:sz w:val="28"/>
          <w:szCs w:val="28"/>
          <w:highlight w:val="white"/>
        </w:rPr>
      </w:pPr>
      <w:r w:rsidDel="00000000" w:rsidR="00000000" w:rsidRPr="00000000">
        <w:rPr>
          <w:rtl w:val="0"/>
        </w:rPr>
      </w:r>
    </w:p>
    <w:p w:rsidR="00000000" w:rsidDel="00000000" w:rsidP="00000000" w:rsidRDefault="00000000" w:rsidRPr="00000000" w14:paraId="0000002B">
      <w:pPr>
        <w:rPr>
          <w:color w:val="474747"/>
          <w:sz w:val="28"/>
          <w:szCs w:val="28"/>
          <w:highlight w:val="white"/>
        </w:rPr>
      </w:pPr>
      <w:r w:rsidDel="00000000" w:rsidR="00000000" w:rsidRPr="00000000">
        <w:rPr>
          <w:color w:val="474747"/>
          <w:sz w:val="28"/>
          <w:szCs w:val="28"/>
          <w:highlight w:val="white"/>
          <w:rtl w:val="0"/>
        </w:rPr>
        <w:t xml:space="preserve">Si vemos a los países vecinos de la OTAN, podemos apreciar que en promedio, Ucrania dedica mucho más que Rusia a defensa</w:t>
      </w:r>
    </w:p>
    <w:p w:rsidR="00000000" w:rsidDel="00000000" w:rsidP="00000000" w:rsidRDefault="00000000" w:rsidRPr="00000000" w14:paraId="0000002C">
      <w:pPr>
        <w:rPr>
          <w:color w:val="474747"/>
          <w:sz w:val="28"/>
          <w:szCs w:val="28"/>
          <w:highlight w:val="white"/>
        </w:rPr>
      </w:pPr>
      <w:r w:rsidDel="00000000" w:rsidR="00000000" w:rsidRPr="00000000">
        <w:rPr>
          <w:rtl w:val="0"/>
        </w:rPr>
      </w:r>
    </w:p>
    <w:p w:rsidR="00000000" w:rsidDel="00000000" w:rsidP="00000000" w:rsidRDefault="00000000" w:rsidRPr="00000000" w14:paraId="0000002D">
      <w:pPr>
        <w:rPr>
          <w:color w:val="474747"/>
          <w:sz w:val="28"/>
          <w:szCs w:val="28"/>
          <w:highlight w:val="white"/>
        </w:rPr>
      </w:pPr>
      <w:r w:rsidDel="00000000" w:rsidR="00000000" w:rsidRPr="00000000">
        <w:rPr>
          <w:rtl w:val="0"/>
        </w:rPr>
      </w:r>
    </w:p>
    <w:p w:rsidR="00000000" w:rsidDel="00000000" w:rsidP="00000000" w:rsidRDefault="00000000" w:rsidRPr="00000000" w14:paraId="0000002E">
      <w:pPr>
        <w:numPr>
          <w:ilvl w:val="0"/>
          <w:numId w:val="3"/>
        </w:numPr>
        <w:ind w:left="720" w:hanging="360"/>
        <w:rPr>
          <w:sz w:val="28"/>
          <w:szCs w:val="28"/>
        </w:rPr>
      </w:pPr>
      <w:r w:rsidDel="00000000" w:rsidR="00000000" w:rsidRPr="00000000">
        <w:rPr>
          <w:sz w:val="28"/>
          <w:szCs w:val="28"/>
          <w:rtl w:val="0"/>
        </w:rPr>
        <w:t xml:space="preserve">H</w:t>
      </w:r>
      <w:r w:rsidDel="00000000" w:rsidR="00000000" w:rsidRPr="00000000">
        <w:rPr>
          <w:sz w:val="28"/>
          <w:szCs w:val="28"/>
          <w:rtl w:val="0"/>
        </w:rPr>
        <w:t xml:space="preserve">IPÓTESIS 3 : El gasto militar en Oriente Medio es históricamente más estable que en Europa</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Durante años hemos visto más guerras en Oriente Medio y, en muchos casos, la imagen que se tiene desde Europa es que son más belicistas. </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HIPÓTESIS REFUTADA Y CONFIRMADA</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Por lo que podemos ver, en términos totales, el gasto medio en países de Oriente Medio ha sido mucho más baja que la europea.. </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PERO en términos proporcionales (% PIB), en Oriente Medio las inversiones respecto al PIB son mucho más elevadas. </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numPr>
          <w:ilvl w:val="0"/>
          <w:numId w:val="2"/>
        </w:numPr>
        <w:ind w:left="720" w:hanging="360"/>
        <w:rPr>
          <w:sz w:val="28"/>
          <w:szCs w:val="28"/>
        </w:rPr>
      </w:pPr>
      <w:r w:rsidDel="00000000" w:rsidR="00000000" w:rsidRPr="00000000">
        <w:rPr>
          <w:sz w:val="28"/>
          <w:szCs w:val="28"/>
          <w:rtl w:val="0"/>
        </w:rPr>
        <w:t xml:space="preserve">HIPÓTESIS 4 : EEUU no es el país que más gasta en defensa per cápita</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