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14"/>
        <w:ind w:left="0" w:right="0"/>
      </w:pPr>
    </w:p>
    <w:p>
      <w:pPr>
        <w:autoSpaceDN w:val="0"/>
        <w:tabs>
          <w:tab w:pos="482" w:val="left"/>
          <w:tab w:pos="702" w:val="left"/>
        </w:tabs>
        <w:autoSpaceDE w:val="0"/>
        <w:widowControl/>
        <w:spacing w:line="378" w:lineRule="exact" w:before="0" w:after="0"/>
        <w:ind w:left="262" w:right="144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32"/>
        </w:rPr>
        <w:t xml:space="preserve">Sumário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1. INTRODUÇÃO ........................................................................................................................ 2 </w:t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t>2 – FUNDAMENTAÇÃO TEÓRICA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....................................................................................... 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2.1 Educação Ambiental e o Papel das Plataformas Digitais .................................................... 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2.2 Biomas Mundiais: Riqueza e Ameaças ................................................................................ 3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>O planeta Terra abriga diversos biomas, cada um com características únicas de clima,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>vegetação, fauna e flora. A plataforma proposta neste PD-I tem como foco os dez biomas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>mais representativos globalmente, pois concentram a maior biodiversidade do planeta e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>também as maiores taxas de degradação ambiental.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.......................................................... 3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2.2.1 Tundra .......................................................................................................................... 3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2.2.2 Taiga (Floresta Boreal) ................................................................................................. 4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2.2.3 Floresta Temperada ..................................................................................................... 4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2.2.4 Deserto ......................................................................................................................... 4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2.2.5 Savana .......................................................................................................................... 4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2.2.6 Floresta Tropical ........................................................................................................... 4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2.2.7 Mediterrâneo ............................................................................................................... 4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2.2.8 Montanha ..................................................................................................................... 4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2.2.9 Regiões Polares ............................................................................................................ 5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2.2.10 Oceanos ...................................................................................................................... 5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2.3 Ameaças Ambientais Globais e Conscientização ................................................................ 5 </w:t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t>3. LEVANTAMENTO DE REQUISITOS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................................................................................ 6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3.1. Requisitos Funcionais (RF) .................................................................................................. 6 </w:t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t>4. ANÁLISE E ESPECIFICAÇÃO DO SISTEMA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................................................................. 7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4.1. Caso de Uso: Consultar Biodiversidade e Riscos Ambientais ............................................. 7 </w:t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t>5. INTERFACE HUMANO-COMPUTADOR (IHC) E DESIGN DE INTERFACE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........... 8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5.1. Perfil do Utilizador e Usabilidade ....................................................................................... 8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5.2. Princípios de Interação e Feedback .................................................................................... 8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5.3. Identidade Visual e Psicologia das Cores ........................................................................... 8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5.4. Acessibilidade e Responsividade ........................................................................................ 9 </w:t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t>6. METODOLOGIA ÁGIL (SCRUM)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.................................................................................... 10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6.1. Estrutura de Planejamento no Notion ............................................................................. 10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6.2. Gestão Visual com Quadro Kanban .................................................................................. 10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6.3. Planejamento de Sprints e Backlog .................................................................................. 11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6.4. Diretrizes de IHC e Documentação .................................................................................. 11 </w:t>
      </w:r>
    </w:p>
    <w:p>
      <w:pPr>
        <w:sectPr>
          <w:pgSz w:w="11906" w:h="16838"/>
          <w:pgMar w:top="836" w:right="1440" w:bottom="117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58"/>
        <w:ind w:left="0" w:right="0"/>
      </w:pPr>
    </w:p>
    <w:p>
      <w:pPr>
        <w:autoSpaceDN w:val="0"/>
        <w:autoSpaceDE w:val="0"/>
        <w:widowControl/>
        <w:spacing w:line="398" w:lineRule="exact" w:before="0" w:after="0"/>
        <w:ind w:left="262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36"/>
        </w:rPr>
        <w:t xml:space="preserve">1. INTRODUÇÃO </w:t>
      </w:r>
    </w:p>
    <w:p>
      <w:pPr>
        <w:autoSpaceDN w:val="0"/>
        <w:autoSpaceDE w:val="0"/>
        <w:widowControl/>
        <w:spacing w:line="276" w:lineRule="exact" w:before="278" w:after="0"/>
        <w:ind w:left="262" w:right="20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F1115"/>
          <w:sz w:val="24"/>
        </w:rPr>
        <w:t xml:space="preserve">O presente Projeto e Desenvolvimento I (PD-I) propõe a criação de uma plataforma </w:t>
      </w:r>
      <w:r>
        <w:rPr>
          <w:rFonts w:ascii="TimesNewRomanPSMT" w:hAnsi="TimesNewRomanPSMT" w:eastAsia="TimesNewRomanPSMT"/>
          <w:b w:val="0"/>
          <w:i w:val="0"/>
          <w:color w:val="0F1115"/>
          <w:sz w:val="24"/>
        </w:rPr>
        <w:t xml:space="preserve">digital interativa voltada à educação ambiental, com foco na preservação e no </w:t>
      </w:r>
      <w:r>
        <w:rPr>
          <w:rFonts w:ascii="TimesNewRomanPSMT" w:hAnsi="TimesNewRomanPSMT" w:eastAsia="TimesNewRomanPSMT"/>
          <w:b w:val="0"/>
          <w:i w:val="0"/>
          <w:color w:val="0F1115"/>
          <w:sz w:val="24"/>
        </w:rPr>
        <w:t xml:space="preserve">conhecimento da fauna e flora mundial. A escolha deste tema justifica-se pela urgente </w:t>
      </w:r>
      <w:r>
        <w:rPr>
          <w:rFonts w:ascii="TimesNewRomanPSMT" w:hAnsi="TimesNewRomanPSMT" w:eastAsia="TimesNewRomanPSMT"/>
          <w:b w:val="0"/>
          <w:i w:val="0"/>
          <w:color w:val="0F1115"/>
          <w:sz w:val="24"/>
        </w:rPr>
        <w:t xml:space="preserve">necessidade de conscientização sobre a riqueza biológica do planeta e os riscos severos </w:t>
      </w:r>
      <w:r>
        <w:rPr>
          <w:rFonts w:ascii="TimesNewRomanPSMT" w:hAnsi="TimesNewRomanPSMT" w:eastAsia="TimesNewRomanPSMT"/>
          <w:b w:val="0"/>
          <w:i w:val="0"/>
          <w:color w:val="0F1115"/>
          <w:sz w:val="24"/>
        </w:rPr>
        <w:t xml:space="preserve">que nossos ecossistemas enfrentam, como o desmatamento desenfreado, as mudanças </w:t>
      </w:r>
      <w:r>
        <w:rPr>
          <w:rFonts w:ascii="TimesNewRomanPSMT" w:hAnsi="TimesNewRomanPSMT" w:eastAsia="TimesNewRomanPSMT"/>
          <w:b w:val="0"/>
          <w:i w:val="0"/>
          <w:color w:val="0F1115"/>
          <w:sz w:val="24"/>
        </w:rPr>
        <w:t xml:space="preserve">climáticas e a caça ilegal, que ameaçam a extinção de espécies endêmicas e o equilíbrio </w:t>
      </w:r>
      <w:r>
        <w:rPr>
          <w:rFonts w:ascii="TimesNewRomanPSMT" w:hAnsi="TimesNewRomanPSMT" w:eastAsia="TimesNewRomanPSMT"/>
          <w:b w:val="0"/>
          <w:i w:val="0"/>
          <w:color w:val="0F1115"/>
          <w:sz w:val="24"/>
        </w:rPr>
        <w:t xml:space="preserve">climático global. </w:t>
      </w:r>
    </w:p>
    <w:p>
      <w:pPr>
        <w:autoSpaceDN w:val="0"/>
        <w:autoSpaceDE w:val="0"/>
        <w:widowControl/>
        <w:spacing w:line="276" w:lineRule="exact" w:before="240" w:after="0"/>
        <w:ind w:left="262" w:right="202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F1115"/>
          <w:sz w:val="24"/>
        </w:rPr>
        <w:t xml:space="preserve">A proposta central do software é oferecer um mapa interativo que funcione como um guia </w:t>
      </w:r>
      <w:r>
        <w:rPr>
          <w:rFonts w:ascii="TimesNewRomanPSMT" w:hAnsi="TimesNewRomanPSMT" w:eastAsia="TimesNewRomanPSMT"/>
          <w:b w:val="0"/>
          <w:i w:val="0"/>
          <w:color w:val="0F1115"/>
          <w:sz w:val="24"/>
        </w:rPr>
        <w:t xml:space="preserve">pedagógico. Ao navegar pela plataforma, o usuário poderá visualizar biomas específicos </w:t>
      </w:r>
      <w:r>
        <w:rPr>
          <w:rFonts w:ascii="TimesNewRomanPSMT" w:hAnsi="TimesNewRomanPSMT" w:eastAsia="TimesNewRomanPSMT"/>
          <w:b w:val="0"/>
          <w:i w:val="0"/>
          <w:color w:val="0F1115"/>
          <w:sz w:val="24"/>
        </w:rPr>
        <w:t xml:space="preserve">e, por meio da interação com o cursor, acessar informações detalhadas sobre as espécies </w:t>
      </w:r>
      <w:r>
        <w:rPr>
          <w:rFonts w:ascii="TimesNewRomanPSMT" w:hAnsi="TimesNewRomanPSMT" w:eastAsia="TimesNewRomanPSMT"/>
          <w:b w:val="0"/>
          <w:i w:val="0"/>
          <w:color w:val="0F1115"/>
          <w:sz w:val="24"/>
        </w:rPr>
        <w:t xml:space="preserve">nativas de cada região, como o urso-polar na Tundra ou o elefante-africano na Savana. </w:t>
      </w:r>
      <w:r>
        <w:rPr>
          <w:rFonts w:ascii="TimesNewRomanPSMT" w:hAnsi="TimesNewRomanPSMT" w:eastAsia="TimesNewRomanPSMT"/>
          <w:b w:val="0"/>
          <w:i w:val="0"/>
          <w:color w:val="0F1115"/>
          <w:sz w:val="24"/>
        </w:rPr>
        <w:t xml:space="preserve">Essa abordagem visa transformar o aprendizado de estudantes e do público geral em uma </w:t>
      </w:r>
      <w:r>
        <w:rPr>
          <w:rFonts w:ascii="TimesNewRomanPSMT" w:hAnsi="TimesNewRomanPSMT" w:eastAsia="TimesNewRomanPSMT"/>
          <w:b w:val="0"/>
          <w:i w:val="0"/>
          <w:color w:val="0F1115"/>
          <w:sz w:val="24"/>
        </w:rPr>
        <w:t xml:space="preserve">experiência dinâmica e visual, combatendo a falta de informação que muitas vezes </w:t>
      </w:r>
      <w:r>
        <w:rPr>
          <w:rFonts w:ascii="TimesNewRomanPSMT" w:hAnsi="TimesNewRomanPSMT" w:eastAsia="TimesNewRomanPSMT"/>
          <w:b w:val="0"/>
          <w:i w:val="0"/>
          <w:color w:val="0F1115"/>
          <w:sz w:val="24"/>
        </w:rPr>
        <w:t xml:space="preserve">contribui para a degradação ambiental. </w:t>
      </w:r>
    </w:p>
    <w:p>
      <w:pPr>
        <w:autoSpaceDN w:val="0"/>
        <w:autoSpaceDE w:val="0"/>
        <w:widowControl/>
        <w:spacing w:line="276" w:lineRule="exact" w:before="240" w:after="0"/>
        <w:ind w:left="262" w:right="20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F1115"/>
          <w:sz w:val="24"/>
        </w:rPr>
        <w:t xml:space="preserve">Além de promover a valorização do patrimônio natural mundial, o projeto integra </w:t>
      </w:r>
      <w:r>
        <w:rPr>
          <w:rFonts w:ascii="TimesNewRomanPSMT" w:hAnsi="TimesNewRomanPSMT" w:eastAsia="TimesNewRomanPSMT"/>
          <w:b w:val="0"/>
          <w:i w:val="0"/>
          <w:color w:val="0F1115"/>
          <w:sz w:val="24"/>
        </w:rPr>
        <w:t xml:space="preserve">conceitos fundamentais de Ciência da Computação, como Engenharia de Requisitos, </w:t>
      </w:r>
      <w:r>
        <w:rPr>
          <w:rFonts w:ascii="TimesNewRomanPSMT" w:hAnsi="TimesNewRomanPSMT" w:eastAsia="TimesNewRomanPSMT"/>
          <w:b w:val="0"/>
          <w:i w:val="0"/>
          <w:color w:val="0F1115"/>
          <w:sz w:val="24"/>
        </w:rPr>
        <w:t xml:space="preserve">Interface Humano-Computador (IHC) e desenvolvimento web responsivo. Dessa forma, </w:t>
      </w:r>
      <w:r>
        <w:rPr>
          <w:rFonts w:ascii="TimesNewRomanPSMT" w:hAnsi="TimesNewRomanPSMT" w:eastAsia="TimesNewRomanPSMT"/>
          <w:b w:val="0"/>
          <w:i w:val="0"/>
          <w:color w:val="0F1115"/>
          <w:sz w:val="24"/>
        </w:rPr>
        <w:t xml:space="preserve">busca-se aliar a tecnologia à ética e cidadania digital, utilizando ferramentas modernas </w:t>
      </w:r>
      <w:r>
        <w:rPr>
          <w:rFonts w:ascii="TimesNewRomanPSMT" w:hAnsi="TimesNewRomanPSMT" w:eastAsia="TimesNewRomanPSMT"/>
          <w:b w:val="0"/>
          <w:i w:val="0"/>
          <w:color w:val="0F1115"/>
          <w:sz w:val="24"/>
        </w:rPr>
        <w:t xml:space="preserve">para formar cidadãos mais informados, críticos e engajados com a sustentabilidade e a </w:t>
      </w:r>
      <w:r>
        <w:rPr>
          <w:rFonts w:ascii="TimesNewRomanPSMT" w:hAnsi="TimesNewRomanPSMT" w:eastAsia="TimesNewRomanPSMT"/>
          <w:b w:val="0"/>
          <w:i w:val="0"/>
          <w:color w:val="0F1115"/>
          <w:sz w:val="24"/>
        </w:rPr>
        <w:t xml:space="preserve">proteção do meio ambiente. </w:t>
      </w:r>
    </w:p>
    <w:p>
      <w:pPr>
        <w:sectPr>
          <w:pgSz w:w="11906" w:h="16838"/>
          <w:pgMar w:top="1078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4"/>
        <w:ind w:left="0" w:right="0"/>
      </w:pPr>
    </w:p>
    <w:p>
      <w:pPr>
        <w:autoSpaceDN w:val="0"/>
        <w:autoSpaceDE w:val="0"/>
        <w:widowControl/>
        <w:spacing w:line="400" w:lineRule="exact" w:before="0" w:after="0"/>
        <w:ind w:left="262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36"/>
        </w:rPr>
        <w:t>2 – FUNDAMENTAÇÃO TEÓRICA</w:t>
      </w:r>
    </w:p>
    <w:p>
      <w:pPr>
        <w:autoSpaceDN w:val="0"/>
        <w:autoSpaceDE w:val="0"/>
        <w:widowControl/>
        <w:spacing w:line="298" w:lineRule="exact" w:before="458" w:after="0"/>
        <w:ind w:left="262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A fundamentação teórica deste trabalho sustenta-se em três pilares principais: a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educação ambiental como ferramenta de transformação social, o conhecimento dos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biomas mundiais e suas ameaças, e o papel das plataformas digitais interativas na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disseminação de informação científica. Este capítulo revisa conceitos e dados que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embasam a proposta do </w:t>
      </w:r>
      <w:r>
        <w:rPr>
          <w:rFonts w:ascii="TimesNewRomanPSMT" w:hAnsi="TimesNewRomanPSMT" w:eastAsia="TimesNewRomanPSMT"/>
          <w:b w:val="0"/>
          <w:i w:val="0"/>
          <w:color w:val="0F1115"/>
          <w:sz w:val="24"/>
        </w:rPr>
        <w:t>Guia Interativo de Biomas Mundiais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, demonstrando a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relevância de associar tecnologia à preservação da fauna e flora globais. Inicialmente,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aborda-se a legislação e os princípios da educação ambiental. Em seguida, apresentam-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se as características dos principais biomas do planeta – Tundra, Taiga, Floresta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Temperada, Deserto, Savana, Floresta Tropical, Mediterrâneo, Montanha, Regiões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Polares e Oceanos – com exemplos de espécies endêmicas e indicadores recentes de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desmatamento, mudanças climáticas e caça ilegal. Por fim, discute-se como mapas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interativos e recursos de </w:t>
      </w:r>
      <w:r>
        <w:rPr>
          <w:rFonts w:ascii="TimesNewRomanPS" w:hAnsi="TimesNewRomanPS" w:eastAsia="TimesNewRomanPS"/>
          <w:b w:val="0"/>
          <w:i/>
          <w:color w:val="0F1115"/>
          <w:sz w:val="24"/>
        </w:rPr>
        <w:t>hover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e </w:t>
      </w:r>
      <w:r>
        <w:rPr>
          <w:rFonts w:ascii="TimesNewRomanPS" w:hAnsi="TimesNewRomanPS" w:eastAsia="TimesNewRomanPS"/>
          <w:b w:val="0"/>
          <w:i/>
          <w:color w:val="0F1115"/>
          <w:sz w:val="24"/>
        </w:rPr>
        <w:t>feedback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visual podem potencializar o aprendizado em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comparação a materiais estáticos, alinhando-se às diretrizes de Interface Humano-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Computador (IHC).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352" w:lineRule="exact" w:before="322" w:after="0"/>
        <w:ind w:left="262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32"/>
        </w:rPr>
        <w:t xml:space="preserve">2.1 Educação Ambiental e o Papel das Plataformas Digitais </w:t>
      </w:r>
    </w:p>
    <w:p>
      <w:pPr>
        <w:autoSpaceDN w:val="0"/>
        <w:autoSpaceDE w:val="0"/>
        <w:widowControl/>
        <w:spacing w:line="276" w:lineRule="exact" w:before="276" w:after="0"/>
        <w:ind w:left="262" w:right="202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F1115"/>
          <w:sz w:val="24"/>
        </w:rPr>
        <w:t xml:space="preserve">A educação ambiental é um processo contínuo que busca formar cidadãos críticos, </w:t>
      </w:r>
      <w:r>
        <w:rPr>
          <w:rFonts w:ascii="TimesNewRomanPSMT" w:hAnsi="TimesNewRomanPSMT" w:eastAsia="TimesNewRomanPSMT"/>
          <w:b w:val="0"/>
          <w:i w:val="0"/>
          <w:color w:val="0F1115"/>
          <w:sz w:val="24"/>
        </w:rPr>
        <w:t xml:space="preserve">capazes de compreender as relações entre sociedade, economia e meio ambiente. De </w:t>
      </w:r>
      <w:r>
        <w:rPr>
          <w:rFonts w:ascii="TimesNewRomanPSMT" w:hAnsi="TimesNewRomanPSMT" w:eastAsia="TimesNewRomanPSMT"/>
          <w:b w:val="0"/>
          <w:i w:val="0"/>
          <w:color w:val="0F1115"/>
          <w:sz w:val="24"/>
        </w:rPr>
        <w:t xml:space="preserve">acordo com a Lei nº 9.795/1999, que institui a Política Nacional de Educação Ambiental, </w:t>
      </w:r>
      <w:r>
        <w:rPr>
          <w:rFonts w:ascii="TimesNewRomanPSMT" w:hAnsi="TimesNewRomanPSMT" w:eastAsia="TimesNewRomanPSMT"/>
          <w:b w:val="0"/>
          <w:i w:val="0"/>
          <w:color w:val="0F1115"/>
          <w:sz w:val="24"/>
        </w:rPr>
        <w:t xml:space="preserve">ela deve estar presente em todos os níveis de ensino, promovendo a construção de valores </w:t>
      </w:r>
      <w:r>
        <w:rPr>
          <w:rFonts w:ascii="TimesNewRomanPSMT" w:hAnsi="TimesNewRomanPSMT" w:eastAsia="TimesNewRomanPSMT"/>
          <w:b w:val="0"/>
          <w:i w:val="0"/>
          <w:color w:val="0F1115"/>
          <w:sz w:val="24"/>
        </w:rPr>
        <w:t xml:space="preserve">sociais, conhecimentos e atitudes voltadas à preservação do patrimônio natural. </w:t>
      </w:r>
    </w:p>
    <w:p>
      <w:pPr>
        <w:autoSpaceDN w:val="0"/>
        <w:autoSpaceDE w:val="0"/>
        <w:widowControl/>
        <w:spacing w:line="276" w:lineRule="exact" w:before="240" w:after="0"/>
        <w:ind w:left="262" w:right="20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F1115"/>
          <w:sz w:val="24"/>
        </w:rPr>
        <w:t xml:space="preserve">No contexto atual, as plataformas digitais ampliam o alcance dessas ações, permitindo </w:t>
      </w:r>
      <w:r>
        <w:rPr>
          <w:rFonts w:ascii="TimesNewRomanPSMT" w:hAnsi="TimesNewRomanPSMT" w:eastAsia="TimesNewRomanPSMT"/>
          <w:b w:val="0"/>
          <w:i w:val="0"/>
          <w:color w:val="0F1115"/>
          <w:sz w:val="24"/>
        </w:rPr>
        <w:t xml:space="preserve">que informações sobre biomas, espécies ameaçadas e práticas sustentáveis sejam </w:t>
      </w:r>
      <w:r>
        <w:rPr>
          <w:rFonts w:ascii="TimesNewRomanPSMT" w:hAnsi="TimesNewRomanPSMT" w:eastAsia="TimesNewRomanPSMT"/>
          <w:b w:val="0"/>
          <w:i w:val="0"/>
          <w:color w:val="0F1115"/>
          <w:sz w:val="24"/>
        </w:rPr>
        <w:t xml:space="preserve">acessadas de forma interativa. Diferentemente do material impresso, um mapa interativo </w:t>
      </w:r>
      <w:r>
        <w:rPr>
          <w:rFonts w:ascii="TimesNewRomanPSMT" w:hAnsi="TimesNewRomanPSMT" w:eastAsia="TimesNewRomanPSMT"/>
          <w:b w:val="0"/>
          <w:i w:val="0"/>
          <w:color w:val="0F1115"/>
          <w:sz w:val="24"/>
        </w:rPr>
        <w:t xml:space="preserve">com </w:t>
      </w:r>
      <w:r>
        <w:rPr>
          <w:rFonts w:ascii="TimesNewRomanPS" w:hAnsi="TimesNewRomanPS" w:eastAsia="TimesNewRomanPS"/>
          <w:b w:val="0"/>
          <w:i/>
          <w:color w:val="0F1115"/>
          <w:sz w:val="24"/>
        </w:rPr>
        <w:t>hover</w:t>
      </w:r>
      <w:r>
        <w:rPr>
          <w:rFonts w:ascii="TimesNewRomanPSMT" w:hAnsi="TimesNewRomanPSMT" w:eastAsia="TimesNewRomanPSMT"/>
          <w:b w:val="0"/>
          <w:i w:val="0"/>
          <w:color w:val="0F1115"/>
          <w:sz w:val="24"/>
        </w:rPr>
        <w:t xml:space="preserve"> e </w:t>
      </w:r>
      <w:r>
        <w:rPr>
          <w:rFonts w:ascii="TimesNewRomanPS" w:hAnsi="TimesNewRomanPS" w:eastAsia="TimesNewRomanPS"/>
          <w:b w:val="0"/>
          <w:i/>
          <w:color w:val="0F1115"/>
          <w:sz w:val="24"/>
        </w:rPr>
        <w:t>cards</w:t>
      </w:r>
      <w:r>
        <w:rPr>
          <w:rFonts w:ascii="TimesNewRomanPSMT" w:hAnsi="TimesNewRomanPSMT" w:eastAsia="TimesNewRomanPSMT"/>
          <w:b w:val="0"/>
          <w:i w:val="0"/>
          <w:color w:val="0F1115"/>
          <w:sz w:val="24"/>
        </w:rPr>
        <w:t xml:space="preserve"> informativos estimula a curiosidade e a retenção do conhecimento, </w:t>
      </w:r>
      <w:r>
        <w:rPr>
          <w:rFonts w:ascii="TimesNewRomanPSMT" w:hAnsi="TimesNewRomanPSMT" w:eastAsia="TimesNewRomanPSMT"/>
          <w:b w:val="0"/>
          <w:i w:val="0"/>
          <w:color w:val="0F1115"/>
          <w:sz w:val="24"/>
        </w:rPr>
        <w:t xml:space="preserve">especialmente entre estudantes do ensino básico e médio. </w:t>
      </w:r>
    </w:p>
    <w:p>
      <w:pPr>
        <w:autoSpaceDN w:val="0"/>
        <w:autoSpaceDE w:val="0"/>
        <w:widowControl/>
        <w:spacing w:line="354" w:lineRule="exact" w:before="300" w:after="0"/>
        <w:ind w:left="262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32"/>
        </w:rPr>
        <w:t xml:space="preserve">2.2 Biomas Mundiais: Riqueza e Ameaças </w:t>
      </w:r>
    </w:p>
    <w:p>
      <w:pPr>
        <w:autoSpaceDN w:val="0"/>
        <w:autoSpaceDE w:val="0"/>
        <w:widowControl/>
        <w:spacing w:line="348" w:lineRule="exact" w:before="248" w:after="0"/>
        <w:ind w:left="262" w:right="19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F1115"/>
          <w:sz w:val="28"/>
        </w:rPr>
        <w:t>O planeta Terra abriga diversos biomas, cada um com características únicas</w:t>
      </w:r>
      <w:r>
        <w:rPr>
          <w:rFonts w:ascii="TimesNewRomanPSMT" w:hAnsi="TimesNewRomanPSMT" w:eastAsia="TimesNewRomanPSMT"/>
          <w:b w:val="0"/>
          <w:i w:val="0"/>
          <w:color w:val="0F1115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F1115"/>
          <w:sz w:val="28"/>
        </w:rPr>
        <w:t>de clima, vegetação, fauna e flora. A plataforma proposta neste PD-I tem</w:t>
      </w:r>
      <w:r>
        <w:rPr>
          <w:rFonts w:ascii="TimesNewRomanPSMT" w:hAnsi="TimesNewRomanPSMT" w:eastAsia="TimesNewRomanPSMT"/>
          <w:b w:val="0"/>
          <w:i w:val="0"/>
          <w:color w:val="0F1115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F1115"/>
          <w:sz w:val="28"/>
        </w:rPr>
        <w:t>como foco os dez biomas mais representativos globalmente, pois concentram</w:t>
      </w:r>
      <w:r>
        <w:rPr>
          <w:rFonts w:ascii="TimesNewRomanPSMT" w:hAnsi="TimesNewRomanPSMT" w:eastAsia="TimesNewRomanPSMT"/>
          <w:b w:val="0"/>
          <w:i w:val="0"/>
          <w:color w:val="0F1115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F1115"/>
          <w:sz w:val="28"/>
        </w:rPr>
        <w:t>a maior biodiversidade do planeta e também as maiores taxas de degradação</w:t>
      </w:r>
      <w:r>
        <w:rPr>
          <w:rFonts w:ascii="TimesNewRomanPSMT" w:hAnsi="TimesNewRomanPSMT" w:eastAsia="TimesNewRomanPSMT"/>
          <w:b w:val="0"/>
          <w:i w:val="0"/>
          <w:color w:val="0F1115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F1115"/>
          <w:sz w:val="28"/>
        </w:rPr>
        <w:t>ambiental.</w:t>
      </w:r>
      <w:r>
        <w:rPr>
          <w:rFonts w:ascii="TimesNewRomanPSMT" w:hAnsi="TimesNewRomanPSMT" w:eastAsia="TimesNewRomanPSMT"/>
          <w:b w:val="0"/>
          <w:i w:val="0"/>
          <w:color w:val="0F1115"/>
          <w:sz w:val="28"/>
        </w:rPr>
        <w:t xml:space="preserve"> </w:t>
      </w:r>
    </w:p>
    <w:p>
      <w:pPr>
        <w:autoSpaceDN w:val="0"/>
        <w:autoSpaceDE w:val="0"/>
        <w:widowControl/>
        <w:spacing w:line="312" w:lineRule="exact" w:before="486" w:after="0"/>
        <w:ind w:left="26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2.2.1 Tundra </w:t>
      </w:r>
    </w:p>
    <w:p>
      <w:pPr>
        <w:autoSpaceDN w:val="0"/>
        <w:autoSpaceDE w:val="0"/>
        <w:widowControl/>
        <w:spacing w:line="276" w:lineRule="exact" w:before="266" w:after="0"/>
        <w:ind w:left="262" w:right="20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F1115"/>
          <w:sz w:val="24"/>
        </w:rPr>
        <w:t xml:space="preserve">A tundra é um bioma frio, localizado em altas latitudes, próximo aos polos e no topo de </w:t>
      </w:r>
      <w:r>
        <w:rPr>
          <w:rFonts w:ascii="TimesNewRomanPSMT" w:hAnsi="TimesNewRomanPSMT" w:eastAsia="TimesNewRomanPSMT"/>
          <w:b w:val="0"/>
          <w:i w:val="0"/>
          <w:color w:val="0F1115"/>
          <w:sz w:val="24"/>
        </w:rPr>
        <w:t xml:space="preserve">montanhas. O solo é congelado na maior parte do ano (permafrost) e a vegetação é baixa, </w:t>
      </w:r>
      <w:r>
        <w:rPr>
          <w:rFonts w:ascii="TimesNewRomanPSMT" w:hAnsi="TimesNewRomanPSMT" w:eastAsia="TimesNewRomanPSMT"/>
          <w:b w:val="0"/>
          <w:i w:val="0"/>
          <w:color w:val="0F1115"/>
          <w:sz w:val="24"/>
        </w:rPr>
        <w:t>composta por musgos, líquens e pequenos arbustos. Fauna</w:t>
      </w:r>
      <w:r>
        <w:rPr>
          <w:rFonts w:ascii="TimesNewRomanPS" w:hAnsi="TimesNewRomanPS" w:eastAsia="TimesNewRomanPS"/>
          <w:b/>
          <w:i w:val="0"/>
          <w:color w:val="0F1115"/>
          <w:sz w:val="24"/>
        </w:rPr>
        <w:t>:</w:t>
      </w:r>
      <w:r>
        <w:rPr>
          <w:rFonts w:ascii="TimesNewRomanPSMT" w:hAnsi="TimesNewRomanPSMT" w:eastAsia="TimesNewRomanPSMT"/>
          <w:b w:val="0"/>
          <w:i w:val="0"/>
          <w:color w:val="0F1115"/>
          <w:sz w:val="24"/>
        </w:rPr>
        <w:t xml:space="preserve"> renas, raposas-do-ártico, </w:t>
      </w:r>
      <w:r>
        <w:rPr>
          <w:rFonts w:ascii="TimesNewRomanPSMT" w:hAnsi="TimesNewRomanPSMT" w:eastAsia="TimesNewRomanPSMT"/>
          <w:b w:val="0"/>
          <w:i w:val="0"/>
          <w:color w:val="0F1115"/>
          <w:sz w:val="24"/>
        </w:rPr>
        <w:t>lebres, ursos-polares, corujas-das-neves. Flora</w:t>
      </w:r>
      <w:r>
        <w:rPr>
          <w:rFonts w:ascii="TimesNewRomanPS" w:hAnsi="TimesNewRomanPS" w:eastAsia="TimesNewRomanPS"/>
          <w:b/>
          <w:i w:val="0"/>
          <w:color w:val="0F1115"/>
          <w:sz w:val="24"/>
        </w:rPr>
        <w:t>:</w:t>
      </w:r>
      <w:r>
        <w:rPr>
          <w:rFonts w:ascii="TimesNewRomanPSMT" w:hAnsi="TimesNewRomanPSMT" w:eastAsia="TimesNewRomanPSMT"/>
          <w:b w:val="0"/>
          <w:i w:val="0"/>
          <w:color w:val="0F1115"/>
          <w:sz w:val="24"/>
        </w:rPr>
        <w:t xml:space="preserve"> musgos, líquens, gramíneas, pequenos </w:t>
      </w:r>
    </w:p>
    <w:p>
      <w:pPr>
        <w:sectPr>
          <w:pgSz w:w="11906" w:h="16838"/>
          <w:pgMar w:top="714" w:right="1440" w:bottom="81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2"/>
        <w:ind w:left="0" w:right="0"/>
      </w:pPr>
    </w:p>
    <w:p>
      <w:pPr>
        <w:autoSpaceDN w:val="0"/>
        <w:autoSpaceDE w:val="0"/>
        <w:widowControl/>
        <w:spacing w:line="276" w:lineRule="exact" w:before="6" w:after="0"/>
        <w:ind w:left="262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F1115"/>
          <w:sz w:val="24"/>
        </w:rPr>
        <w:t>arbustos. Ameaças</w:t>
      </w:r>
      <w:r>
        <w:rPr>
          <w:rFonts w:ascii="TimesNewRomanPS" w:hAnsi="TimesNewRomanPS" w:eastAsia="TimesNewRomanPS"/>
          <w:b/>
          <w:i w:val="0"/>
          <w:color w:val="0F1115"/>
          <w:sz w:val="24"/>
        </w:rPr>
        <w:t>:</w:t>
      </w:r>
      <w:r>
        <w:rPr>
          <w:rFonts w:ascii="TimesNewRomanPSMT" w:hAnsi="TimesNewRomanPSMT" w:eastAsia="TimesNewRomanPSMT"/>
          <w:b w:val="0"/>
          <w:i w:val="0"/>
          <w:color w:val="0F1115"/>
          <w:sz w:val="24"/>
        </w:rPr>
        <w:t xml:space="preserve"> mudanças climáticas, derretimento do permafrost, exploração de </w:t>
      </w:r>
      <w:r>
        <w:rPr>
          <w:rFonts w:ascii="TimesNewRomanPSMT" w:hAnsi="TimesNewRomanPSMT" w:eastAsia="TimesNewRomanPSMT"/>
          <w:b w:val="0"/>
          <w:i w:val="0"/>
          <w:color w:val="0F1115"/>
          <w:sz w:val="24"/>
        </w:rPr>
        <w:t xml:space="preserve">petróleo e gás. </w:t>
      </w:r>
    </w:p>
    <w:p>
      <w:pPr>
        <w:autoSpaceDN w:val="0"/>
        <w:autoSpaceDE w:val="0"/>
        <w:widowControl/>
        <w:spacing w:line="312" w:lineRule="exact" w:before="250" w:after="0"/>
        <w:ind w:left="26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2.2.2 Taiga (Floresta Boreal) </w:t>
      </w:r>
    </w:p>
    <w:p>
      <w:pPr>
        <w:autoSpaceDN w:val="0"/>
        <w:autoSpaceDE w:val="0"/>
        <w:widowControl/>
        <w:spacing w:line="266" w:lineRule="exact" w:before="276" w:after="6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F1115"/>
          <w:sz w:val="24"/>
        </w:rPr>
        <w:t>Maior bioma terrestre, localizado logo abaixo da Tundra. Fauna</w:t>
      </w:r>
      <w:r>
        <w:rPr>
          <w:rFonts w:ascii="TimesNewRomanPS" w:hAnsi="TimesNewRomanPS" w:eastAsia="TimesNewRomanPS"/>
          <w:b/>
          <w:i w:val="0"/>
          <w:color w:val="0F1115"/>
          <w:sz w:val="24"/>
        </w:rPr>
        <w:t>:</w:t>
      </w:r>
      <w:r>
        <w:rPr>
          <w:rFonts w:ascii="TimesNewRomanPSMT" w:hAnsi="TimesNewRomanPSMT" w:eastAsia="TimesNewRomanPSMT"/>
          <w:b w:val="0"/>
          <w:i w:val="0"/>
          <w:color w:val="0F1115"/>
          <w:sz w:val="24"/>
        </w:rPr>
        <w:t xml:space="preserve"> lobos, alces, linces,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2256"/>
        <w:gridCol w:w="2256"/>
        <w:gridCol w:w="2256"/>
        <w:gridCol w:w="2256"/>
      </w:tblGrid>
      <w:tr>
        <w:trPr>
          <w:trHeight w:hRule="exact" w:val="274"/>
        </w:trPr>
        <w:tc>
          <w:tcPr>
            <w:tcW w:type="dxa" w:w="3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F1115"/>
                <w:sz w:val="24"/>
              </w:rPr>
              <w:t>ursos-pardos. Flora</w:t>
            </w:r>
            <w:r>
              <w:rPr>
                <w:rFonts w:ascii="TimesNewRomanPS" w:hAnsi="TimesNewRomanPS" w:eastAsia="TimesNewRomanPS"/>
                <w:b/>
                <w:i w:val="0"/>
                <w:color w:val="0F1115"/>
                <w:sz w:val="24"/>
              </w:rPr>
              <w:t>: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F1115"/>
                <w:sz w:val="24"/>
              </w:rPr>
              <w:t xml:space="preserve"> coníferas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F1115"/>
                <w:sz w:val="24"/>
              </w:rPr>
              <w:t xml:space="preserve">(pinheiros,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F1115"/>
                <w:sz w:val="24"/>
              </w:rPr>
              <w:t xml:space="preserve">abetos), </w:t>
            </w:r>
          </w:p>
        </w:tc>
        <w:tc>
          <w:tcPr>
            <w:tcW w:type="dxa" w:w="3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F1115"/>
                <w:sz w:val="24"/>
              </w:rPr>
              <w:t>bétulas. Ameaças</w:t>
            </w:r>
            <w:r>
              <w:rPr>
                <w:rFonts w:ascii="TimesNewRomanPS" w:hAnsi="TimesNewRomanPS" w:eastAsia="TimesNewRomanPS"/>
                <w:b/>
                <w:i w:val="0"/>
                <w:color w:val="0F1115"/>
                <w:sz w:val="24"/>
              </w:rPr>
              <w:t>: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F1115"/>
                <w:sz w:val="24"/>
              </w:rPr>
              <w:t xml:space="preserve"> exploração </w:t>
            </w:r>
          </w:p>
        </w:tc>
      </w:tr>
    </w:tbl>
    <w:p>
      <w:pPr>
        <w:autoSpaceDN w:val="0"/>
        <w:autoSpaceDE w:val="0"/>
        <w:widowControl/>
        <w:spacing w:line="266" w:lineRule="exact" w:before="6" w:after="0"/>
        <w:ind w:left="26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F1115"/>
          <w:sz w:val="24"/>
        </w:rPr>
        <w:t xml:space="preserve">madeireira, incêndios florestais, mineração. </w:t>
      </w:r>
    </w:p>
    <w:p>
      <w:pPr>
        <w:autoSpaceDN w:val="0"/>
        <w:autoSpaceDE w:val="0"/>
        <w:widowControl/>
        <w:spacing w:line="312" w:lineRule="exact" w:before="250" w:after="0"/>
        <w:ind w:left="26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2.2.3 Floresta Temperada </w:t>
      </w:r>
    </w:p>
    <w:p>
      <w:pPr>
        <w:autoSpaceDN w:val="0"/>
        <w:autoSpaceDE w:val="0"/>
        <w:widowControl/>
        <w:spacing w:line="276" w:lineRule="exact" w:before="266" w:after="0"/>
        <w:ind w:left="262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F1115"/>
          <w:sz w:val="24"/>
        </w:rPr>
        <w:t>Presente no leste da América do Norte, Europa Ocidental e Ásia Oriental. Fauna</w:t>
      </w:r>
      <w:r>
        <w:rPr>
          <w:rFonts w:ascii="TimesNewRomanPS" w:hAnsi="TimesNewRomanPS" w:eastAsia="TimesNewRomanPS"/>
          <w:b/>
          <w:i w:val="0"/>
          <w:color w:val="0F1115"/>
          <w:sz w:val="24"/>
        </w:rPr>
        <w:t>:</w:t>
      </w:r>
      <w:r>
        <w:rPr>
          <w:rFonts w:ascii="TimesNewRomanPSMT" w:hAnsi="TimesNewRomanPSMT" w:eastAsia="TimesNewRomanPSMT"/>
          <w:b w:val="0"/>
          <w:i w:val="0"/>
          <w:color w:val="0F1115"/>
          <w:sz w:val="24"/>
        </w:rPr>
        <w:t xml:space="preserve"> veados-</w:t>
      </w:r>
      <w:r>
        <w:rPr>
          <w:rFonts w:ascii="TimesNewRomanPSMT" w:hAnsi="TimesNewRomanPSMT" w:eastAsia="TimesNewRomanPSMT"/>
          <w:b w:val="0"/>
          <w:i w:val="0"/>
          <w:color w:val="0F1115"/>
          <w:sz w:val="24"/>
        </w:rPr>
        <w:t>de-cauda-branca, raposas-vermelhas, esquilos, javalis. Flora</w:t>
      </w:r>
      <w:r>
        <w:rPr>
          <w:rFonts w:ascii="TimesNewRomanPS" w:hAnsi="TimesNewRomanPS" w:eastAsia="TimesNewRomanPS"/>
          <w:b/>
          <w:i w:val="0"/>
          <w:color w:val="0F1115"/>
          <w:sz w:val="24"/>
        </w:rPr>
        <w:t>:</w:t>
      </w:r>
      <w:r>
        <w:rPr>
          <w:rFonts w:ascii="TimesNewRomanPSMT" w:hAnsi="TimesNewRomanPSMT" w:eastAsia="TimesNewRomanPSMT"/>
          <w:b w:val="0"/>
          <w:i w:val="0"/>
          <w:color w:val="0F1115"/>
          <w:sz w:val="24"/>
        </w:rPr>
        <w:t xml:space="preserve"> carvalhos, faias, bordos, </w:t>
      </w:r>
      <w:r>
        <w:rPr>
          <w:rFonts w:ascii="TimesNewRomanPSMT" w:hAnsi="TimesNewRomanPSMT" w:eastAsia="TimesNewRomanPSMT"/>
          <w:b w:val="0"/>
          <w:i w:val="0"/>
          <w:color w:val="0F1115"/>
          <w:sz w:val="24"/>
        </w:rPr>
        <w:t>nogueiras. Ameaças</w:t>
      </w:r>
      <w:r>
        <w:rPr>
          <w:rFonts w:ascii="TimesNewRomanPS" w:hAnsi="TimesNewRomanPS" w:eastAsia="TimesNewRomanPS"/>
          <w:b/>
          <w:i w:val="0"/>
          <w:color w:val="0F1115"/>
          <w:sz w:val="24"/>
        </w:rPr>
        <w:t>:</w:t>
      </w:r>
      <w:r>
        <w:rPr>
          <w:rFonts w:ascii="TimesNewRomanPSMT" w:hAnsi="TimesNewRomanPSMT" w:eastAsia="TimesNewRomanPSMT"/>
          <w:b w:val="0"/>
          <w:i w:val="0"/>
          <w:color w:val="0F1115"/>
          <w:sz w:val="24"/>
        </w:rPr>
        <w:t xml:space="preserve"> urbanização, agricultura intensiva, espécies invasoras. </w:t>
      </w:r>
    </w:p>
    <w:p>
      <w:pPr>
        <w:autoSpaceDN w:val="0"/>
        <w:autoSpaceDE w:val="0"/>
        <w:widowControl/>
        <w:spacing w:line="310" w:lineRule="exact" w:before="252" w:after="0"/>
        <w:ind w:left="26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2.2.4 Deserto </w:t>
      </w:r>
    </w:p>
    <w:p>
      <w:pPr>
        <w:autoSpaceDN w:val="0"/>
        <w:autoSpaceDE w:val="0"/>
        <w:widowControl/>
        <w:spacing w:line="266" w:lineRule="exact" w:before="278" w:after="4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F1115"/>
          <w:sz w:val="24"/>
        </w:rPr>
        <w:t>Cobre cerca de 30% da superfície terrestre. Fauna</w:t>
      </w:r>
      <w:r>
        <w:rPr>
          <w:rFonts w:ascii="TimesNewRomanPS" w:hAnsi="TimesNewRomanPS" w:eastAsia="TimesNewRomanPS"/>
          <w:b/>
          <w:i w:val="0"/>
          <w:color w:val="0F1115"/>
          <w:sz w:val="24"/>
        </w:rPr>
        <w:t>:</w:t>
      </w:r>
      <w:r>
        <w:rPr>
          <w:rFonts w:ascii="TimesNewRomanPSMT" w:hAnsi="TimesNewRomanPSMT" w:eastAsia="TimesNewRomanPSMT"/>
          <w:b w:val="0"/>
          <w:i w:val="0"/>
          <w:color w:val="0F1115"/>
          <w:sz w:val="24"/>
        </w:rPr>
        <w:t xml:space="preserve"> camelos, fenecos (raposas-do-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278"/>
        </w:trPr>
        <w:tc>
          <w:tcPr>
            <w:tcW w:type="dxa" w:w="1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F1115"/>
                <w:sz w:val="24"/>
              </w:rPr>
              <w:t xml:space="preserve">deserto), </w:t>
            </w:r>
          </w:p>
        </w:tc>
        <w:tc>
          <w:tcPr>
            <w:tcW w:type="dxa" w:w="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F1115"/>
                <w:sz w:val="24"/>
              </w:rPr>
              <w:t xml:space="preserve">cobras, </w:t>
            </w:r>
          </w:p>
        </w:tc>
        <w:tc>
          <w:tcPr>
            <w:tcW w:type="dxa" w:w="11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F1115"/>
                <w:sz w:val="24"/>
              </w:rPr>
              <w:t xml:space="preserve">lagartos, </w:t>
            </w:r>
          </w:p>
        </w:tc>
        <w:tc>
          <w:tcPr>
            <w:tcW w:type="dxa" w:w="2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F1115"/>
                <w:sz w:val="24"/>
              </w:rPr>
              <w:t>escorpiões. Flora</w:t>
            </w:r>
            <w:r>
              <w:rPr>
                <w:rFonts w:ascii="TimesNewRomanPS" w:hAnsi="TimesNewRomanPS" w:eastAsia="TimesNewRomanPS"/>
                <w:b/>
                <w:i w:val="0"/>
                <w:color w:val="0F1115"/>
                <w:sz w:val="24"/>
              </w:rPr>
              <w:t>: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F1115"/>
                <w:sz w:val="24"/>
              </w:rPr>
              <w:t xml:space="preserve"> cactos, </w:t>
            </w:r>
          </w:p>
        </w:tc>
        <w:tc>
          <w:tcPr>
            <w:tcW w:type="dxa" w:w="1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F1115"/>
                <w:sz w:val="24"/>
              </w:rPr>
              <w:t xml:space="preserve">palmeiras-dátil,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F1115"/>
                <w:sz w:val="24"/>
              </w:rPr>
              <w:t xml:space="preserve">arbustos </w:t>
            </w:r>
          </w:p>
        </w:tc>
      </w:tr>
    </w:tbl>
    <w:p>
      <w:pPr>
        <w:autoSpaceDN w:val="0"/>
        <w:autoSpaceDE w:val="0"/>
        <w:widowControl/>
        <w:spacing w:line="272" w:lineRule="exact" w:before="0" w:after="0"/>
        <w:ind w:left="262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F1115"/>
          <w:sz w:val="24"/>
        </w:rPr>
        <w:t>xerófitos. Ameaças</w:t>
      </w:r>
      <w:r>
        <w:rPr>
          <w:rFonts w:ascii="TimesNewRomanPS" w:hAnsi="TimesNewRomanPS" w:eastAsia="TimesNewRomanPS"/>
          <w:b/>
          <w:i w:val="0"/>
          <w:color w:val="0F1115"/>
          <w:sz w:val="24"/>
        </w:rPr>
        <w:t>:</w:t>
      </w:r>
      <w:r>
        <w:rPr>
          <w:rFonts w:ascii="TimesNewRomanPSMT" w:hAnsi="TimesNewRomanPSMT" w:eastAsia="TimesNewRomanPSMT"/>
          <w:b w:val="0"/>
          <w:i w:val="0"/>
          <w:color w:val="0F1115"/>
          <w:sz w:val="24"/>
        </w:rPr>
        <w:t xml:space="preserve"> desertificação induzida pelo homem, aquecimento global, extração </w:t>
      </w:r>
      <w:r>
        <w:rPr>
          <w:rFonts w:ascii="TimesNewRomanPSMT" w:hAnsi="TimesNewRomanPSMT" w:eastAsia="TimesNewRomanPSMT"/>
          <w:b w:val="0"/>
          <w:i w:val="0"/>
          <w:color w:val="0F1115"/>
          <w:sz w:val="24"/>
        </w:rPr>
        <w:t xml:space="preserve">de água subterrânea. </w:t>
      </w:r>
    </w:p>
    <w:p>
      <w:pPr>
        <w:autoSpaceDN w:val="0"/>
        <w:autoSpaceDE w:val="0"/>
        <w:widowControl/>
        <w:spacing w:line="310" w:lineRule="exact" w:before="250" w:after="0"/>
        <w:ind w:left="26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2.2.5 Savana </w:t>
      </w:r>
    </w:p>
    <w:p>
      <w:pPr>
        <w:autoSpaceDN w:val="0"/>
        <w:autoSpaceDE w:val="0"/>
        <w:widowControl/>
        <w:spacing w:line="276" w:lineRule="exact" w:before="264" w:after="0"/>
        <w:ind w:left="262" w:right="20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F1115"/>
          <w:sz w:val="24"/>
        </w:rPr>
        <w:t>Presente na África, América do Sul, Índia e Austrália. Fauna</w:t>
      </w:r>
      <w:r>
        <w:rPr>
          <w:rFonts w:ascii="TimesNewRomanPS" w:hAnsi="TimesNewRomanPS" w:eastAsia="TimesNewRomanPS"/>
          <w:b/>
          <w:i w:val="0"/>
          <w:color w:val="0F1115"/>
          <w:sz w:val="24"/>
        </w:rPr>
        <w:t>:</w:t>
      </w:r>
      <w:r>
        <w:rPr>
          <w:rFonts w:ascii="TimesNewRomanPSMT" w:hAnsi="TimesNewRomanPSMT" w:eastAsia="TimesNewRomanPSMT"/>
          <w:b w:val="0"/>
          <w:i w:val="0"/>
          <w:color w:val="0F1115"/>
          <w:sz w:val="24"/>
        </w:rPr>
        <w:t xml:space="preserve"> leões, elefantes, girafas, </w:t>
      </w:r>
      <w:r>
        <w:rPr>
          <w:rFonts w:ascii="TimesNewRomanPSMT" w:hAnsi="TimesNewRomanPSMT" w:eastAsia="TimesNewRomanPSMT"/>
          <w:b w:val="0"/>
          <w:i w:val="0"/>
          <w:color w:val="0F1115"/>
          <w:sz w:val="24"/>
        </w:rPr>
        <w:t>zebras, gnus, hienas. Flora</w:t>
      </w:r>
      <w:r>
        <w:rPr>
          <w:rFonts w:ascii="TimesNewRomanPS" w:hAnsi="TimesNewRomanPS" w:eastAsia="TimesNewRomanPS"/>
          <w:b/>
          <w:i w:val="0"/>
          <w:color w:val="0F1115"/>
          <w:sz w:val="24"/>
        </w:rPr>
        <w:t>:</w:t>
      </w:r>
      <w:r>
        <w:rPr>
          <w:rFonts w:ascii="TimesNewRomanPSMT" w:hAnsi="TimesNewRomanPSMT" w:eastAsia="TimesNewRomanPSMT"/>
          <w:b w:val="0"/>
          <w:i w:val="0"/>
          <w:color w:val="0F1115"/>
          <w:sz w:val="24"/>
        </w:rPr>
        <w:t xml:space="preserve"> gramíneas altas, acácias, baobás. Ameaças</w:t>
      </w:r>
      <w:r>
        <w:rPr>
          <w:rFonts w:ascii="TimesNewRomanPS" w:hAnsi="TimesNewRomanPS" w:eastAsia="TimesNewRomanPS"/>
          <w:b/>
          <w:i w:val="0"/>
          <w:color w:val="0F1115"/>
          <w:sz w:val="24"/>
        </w:rPr>
        <w:t>:</w:t>
      </w:r>
      <w:r>
        <w:rPr>
          <w:rFonts w:ascii="TimesNewRomanPSMT" w:hAnsi="TimesNewRomanPSMT" w:eastAsia="TimesNewRomanPSMT"/>
          <w:b w:val="0"/>
          <w:i w:val="0"/>
          <w:color w:val="0F1115"/>
          <w:sz w:val="24"/>
        </w:rPr>
        <w:t xml:space="preserve"> caça ilegal, </w:t>
      </w:r>
      <w:r>
        <w:rPr>
          <w:rFonts w:ascii="TimesNewRomanPSMT" w:hAnsi="TimesNewRomanPSMT" w:eastAsia="TimesNewRomanPSMT"/>
          <w:b w:val="0"/>
          <w:i w:val="0"/>
          <w:color w:val="0F1115"/>
          <w:sz w:val="24"/>
        </w:rPr>
        <w:t xml:space="preserve">expansão agrícola, conflitos humanos. </w:t>
      </w:r>
    </w:p>
    <w:p>
      <w:pPr>
        <w:autoSpaceDN w:val="0"/>
        <w:autoSpaceDE w:val="0"/>
        <w:widowControl/>
        <w:spacing w:line="310" w:lineRule="exact" w:before="252" w:after="0"/>
        <w:ind w:left="26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2.2.6 Floresta Tropical </w:t>
      </w:r>
    </w:p>
    <w:p>
      <w:pPr>
        <w:autoSpaceDN w:val="0"/>
        <w:autoSpaceDE w:val="0"/>
        <w:widowControl/>
        <w:spacing w:line="266" w:lineRule="exact" w:before="27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F1115"/>
          <w:sz w:val="24"/>
        </w:rPr>
        <w:t xml:space="preserve">Localizada na região equatorial, incluindo a Amazônia, Congo e Sudeste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24"/>
        </w:trPr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8" w:after="0"/>
              <w:ind w:left="14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F1115"/>
                <w:sz w:val="24"/>
              </w:rPr>
              <w:t>Asiático. Fauna</w:t>
            </w:r>
            <w:r>
              <w:rPr>
                <w:rFonts w:ascii="TimesNewRomanPS" w:hAnsi="TimesNewRomanPS" w:eastAsia="TimesNewRomanPS"/>
                <w:b/>
                <w:i w:val="0"/>
                <w:color w:val="0F1115"/>
                <w:sz w:val="24"/>
              </w:rPr>
              <w:t>: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F1115"/>
                <w:sz w:val="24"/>
              </w:rPr>
              <w:t xml:space="preserve"> onças, </w:t>
            </w:r>
          </w:p>
        </w:tc>
        <w:tc>
          <w:tcPr>
            <w:tcW w:type="dxa" w:w="1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4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F1115"/>
                <w:sz w:val="24"/>
              </w:rPr>
              <w:t xml:space="preserve">araras,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F1115"/>
                <w:sz w:val="24"/>
              </w:rPr>
              <w:t xml:space="preserve">gorilas, 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8" w:after="0"/>
              <w:ind w:left="3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F1115"/>
                <w:sz w:val="24"/>
              </w:rPr>
              <w:t xml:space="preserve">orangotangos,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8" w:after="0"/>
              <w:ind w:left="0" w:right="9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F1115"/>
                <w:sz w:val="24"/>
              </w:rPr>
              <w:t xml:space="preserve">tucanos, </w:t>
            </w:r>
          </w:p>
        </w:tc>
      </w:tr>
      <w:tr>
        <w:trPr>
          <w:trHeight w:hRule="exact" w:val="282"/>
        </w:trPr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" w:after="0"/>
              <w:ind w:left="14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F1115"/>
                <w:sz w:val="24"/>
              </w:rPr>
              <w:t>jaguares. Flora</w:t>
            </w:r>
            <w:r>
              <w:rPr>
                <w:rFonts w:ascii="TimesNewRomanPS" w:hAnsi="TimesNewRomanPS" w:eastAsia="TimesNewRomanPS"/>
                <w:b/>
                <w:i w:val="0"/>
                <w:color w:val="0F1115"/>
                <w:sz w:val="24"/>
              </w:rPr>
              <w:t>: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F1115"/>
                <w:sz w:val="24"/>
              </w:rPr>
              <w:t xml:space="preserve"> castanheiras, </w:t>
            </w:r>
          </w:p>
        </w:tc>
        <w:tc>
          <w:tcPr>
            <w:tcW w:type="dxa" w:w="1805"/>
            <w:vMerge/>
            <w:tcBorders/>
          </w:tcPr>
          <w:p/>
        </w:tc>
        <w:tc>
          <w:tcPr>
            <w:tcW w:type="dxa" w:w="33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" w:after="0"/>
              <w:ind w:left="50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F1115"/>
                <w:sz w:val="24"/>
              </w:rPr>
              <w:t xml:space="preserve">vitórias-régias,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" w:after="0"/>
              <w:ind w:left="23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F1115"/>
                <w:sz w:val="24"/>
              </w:rPr>
              <w:t xml:space="preserve">orquídeas, </w:t>
            </w:r>
          </w:p>
        </w:tc>
      </w:tr>
    </w:tbl>
    <w:p>
      <w:pPr>
        <w:autoSpaceDN w:val="0"/>
        <w:autoSpaceDE w:val="0"/>
        <w:widowControl/>
        <w:spacing w:line="266" w:lineRule="exact" w:before="6" w:after="0"/>
        <w:ind w:left="26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F1115"/>
          <w:sz w:val="24"/>
        </w:rPr>
        <w:t>bromélias. Ameaças</w:t>
      </w:r>
      <w:r>
        <w:rPr>
          <w:rFonts w:ascii="TimesNewRomanPS" w:hAnsi="TimesNewRomanPS" w:eastAsia="TimesNewRomanPS"/>
          <w:b/>
          <w:i w:val="0"/>
          <w:color w:val="0F1115"/>
          <w:sz w:val="24"/>
        </w:rPr>
        <w:t>:</w:t>
      </w:r>
      <w:r>
        <w:rPr>
          <w:rFonts w:ascii="TimesNewRomanPSMT" w:hAnsi="TimesNewRomanPSMT" w:eastAsia="TimesNewRomanPSMT"/>
          <w:b w:val="0"/>
          <w:i w:val="0"/>
          <w:color w:val="0F1115"/>
          <w:sz w:val="24"/>
        </w:rPr>
        <w:t xml:space="preserve"> desmatamento para pecuária e soja, queimadas, garimpo. </w:t>
      </w:r>
    </w:p>
    <w:p>
      <w:pPr>
        <w:autoSpaceDN w:val="0"/>
        <w:autoSpaceDE w:val="0"/>
        <w:widowControl/>
        <w:spacing w:line="310" w:lineRule="exact" w:before="250" w:after="0"/>
        <w:ind w:left="26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2.2.7 Mediterrâneo </w:t>
      </w:r>
    </w:p>
    <w:p>
      <w:pPr>
        <w:autoSpaceDN w:val="0"/>
        <w:autoSpaceDE w:val="0"/>
        <w:widowControl/>
        <w:spacing w:line="322" w:lineRule="exact" w:before="266" w:after="0"/>
        <w:ind w:left="262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F1115"/>
          <w:sz w:val="28"/>
        </w:rPr>
        <w:t>Regiões como Califórnia, Chile, sul da África e Austrália. Fauna</w:t>
      </w:r>
      <w:r>
        <w:rPr>
          <w:rFonts w:ascii="TimesNewRomanPS" w:hAnsi="TimesNewRomanPS" w:eastAsia="TimesNewRomanPS"/>
          <w:b/>
          <w:i w:val="0"/>
          <w:color w:val="0F1115"/>
          <w:sz w:val="28"/>
        </w:rPr>
        <w:t>:</w:t>
      </w:r>
      <w:r>
        <w:rPr>
          <w:rFonts w:ascii="TimesNewRomanPSMT" w:hAnsi="TimesNewRomanPSMT" w:eastAsia="TimesNewRomanPSMT"/>
          <w:b w:val="0"/>
          <w:i w:val="0"/>
          <w:color w:val="0F1115"/>
          <w:sz w:val="28"/>
        </w:rPr>
        <w:t xml:space="preserve"> raposas, </w:t>
      </w:r>
      <w:r>
        <w:rPr>
          <w:rFonts w:ascii="TimesNewRomanPSMT" w:hAnsi="TimesNewRomanPSMT" w:eastAsia="TimesNewRomanPSMT"/>
          <w:b w:val="0"/>
          <w:i w:val="0"/>
          <w:color w:val="0F1115"/>
          <w:sz w:val="28"/>
        </w:rPr>
        <w:t>coelhos, lagartos, aves migratórias. Flora</w:t>
      </w:r>
      <w:r>
        <w:rPr>
          <w:rFonts w:ascii="TimesNewRomanPS" w:hAnsi="TimesNewRomanPS" w:eastAsia="TimesNewRomanPS"/>
          <w:b/>
          <w:i w:val="0"/>
          <w:color w:val="0F1115"/>
          <w:sz w:val="28"/>
        </w:rPr>
        <w:t>:</w:t>
      </w:r>
      <w:r>
        <w:rPr>
          <w:rFonts w:ascii="TimesNewRomanPSMT" w:hAnsi="TimesNewRomanPSMT" w:eastAsia="TimesNewRomanPSMT"/>
          <w:b w:val="0"/>
          <w:i w:val="0"/>
          <w:color w:val="0F1115"/>
          <w:sz w:val="28"/>
        </w:rPr>
        <w:t xml:space="preserve"> oliveiras, sobreiros, alecrim, </w:t>
      </w:r>
      <w:r>
        <w:rPr>
          <w:rFonts w:ascii="TimesNewRomanPSMT" w:hAnsi="TimesNewRomanPSMT" w:eastAsia="TimesNewRomanPSMT"/>
          <w:b w:val="0"/>
          <w:i w:val="0"/>
          <w:color w:val="0F1115"/>
          <w:sz w:val="28"/>
        </w:rPr>
        <w:t>lavanda. Ameaças</w:t>
      </w:r>
      <w:r>
        <w:rPr>
          <w:rFonts w:ascii="TimesNewRomanPS" w:hAnsi="TimesNewRomanPS" w:eastAsia="TimesNewRomanPS"/>
          <w:b/>
          <w:i w:val="0"/>
          <w:color w:val="0F1115"/>
          <w:sz w:val="28"/>
        </w:rPr>
        <w:t>:</w:t>
      </w:r>
      <w:r>
        <w:rPr>
          <w:rFonts w:ascii="TimesNewRomanPSMT" w:hAnsi="TimesNewRomanPSMT" w:eastAsia="TimesNewRomanPSMT"/>
          <w:b w:val="0"/>
          <w:i w:val="0"/>
          <w:color w:val="0F1115"/>
          <w:sz w:val="28"/>
        </w:rPr>
        <w:t xml:space="preserve"> incêndios florestais, urbanização costeira. </w:t>
      </w:r>
    </w:p>
    <w:p>
      <w:pPr>
        <w:autoSpaceDN w:val="0"/>
        <w:autoSpaceDE w:val="0"/>
        <w:widowControl/>
        <w:spacing w:line="312" w:lineRule="exact" w:before="250" w:after="0"/>
        <w:ind w:left="26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2.2.8 Montanha </w:t>
      </w:r>
    </w:p>
    <w:p>
      <w:pPr>
        <w:autoSpaceDN w:val="0"/>
        <w:autoSpaceDE w:val="0"/>
        <w:widowControl/>
        <w:spacing w:line="266" w:lineRule="exact" w:before="276" w:after="6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F1115"/>
          <w:sz w:val="24"/>
        </w:rPr>
        <w:t>Presente em cordilheiras como os Andes, Himalaia, Rochosas e Alpes. Fauna</w:t>
      </w:r>
      <w:r>
        <w:rPr>
          <w:rFonts w:ascii="TimesNewRomanPS" w:hAnsi="TimesNewRomanPS" w:eastAsia="TimesNewRomanPS"/>
          <w:b/>
          <w:i w:val="0"/>
          <w:color w:val="0F1115"/>
          <w:sz w:val="24"/>
        </w:rPr>
        <w:t>:</w:t>
      </w:r>
      <w:r>
        <w:rPr>
          <w:rFonts w:ascii="TimesNewRomanPSMT" w:hAnsi="TimesNewRomanPSMT" w:eastAsia="TimesNewRomanPSMT"/>
          <w:b w:val="0"/>
          <w:i w:val="0"/>
          <w:color w:val="0F1115"/>
          <w:sz w:val="24"/>
        </w:rPr>
        <w:t xml:space="preserve"> iaques,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274"/>
        </w:trPr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F1115"/>
                <w:sz w:val="24"/>
              </w:rPr>
              <w:t xml:space="preserve">condores, 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F1115"/>
                <w:sz w:val="24"/>
              </w:rPr>
              <w:t xml:space="preserve">cabras-montesas, </w:t>
            </w:r>
          </w:p>
        </w:tc>
        <w:tc>
          <w:tcPr>
            <w:tcW w:type="dxa" w:w="2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F1115"/>
                <w:sz w:val="24"/>
              </w:rPr>
              <w:t>ursos. Flora</w:t>
            </w:r>
            <w:r>
              <w:rPr>
                <w:rFonts w:ascii="TimesNewRomanPS" w:hAnsi="TimesNewRomanPS" w:eastAsia="TimesNewRomanPS"/>
                <w:b/>
                <w:i w:val="0"/>
                <w:color w:val="0F1115"/>
                <w:sz w:val="24"/>
              </w:rPr>
              <w:t>: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F1115"/>
                <w:sz w:val="24"/>
              </w:rPr>
              <w:t xml:space="preserve"> pastagens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F1115"/>
                <w:sz w:val="24"/>
              </w:rPr>
              <w:t xml:space="preserve">alpinas,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F1115"/>
                <w:sz w:val="24"/>
              </w:rPr>
              <w:t xml:space="preserve">líquens,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F1115"/>
                <w:sz w:val="24"/>
              </w:rPr>
              <w:t>pinheiros-</w:t>
            </w:r>
          </w:p>
        </w:tc>
      </w:tr>
    </w:tbl>
    <w:p>
      <w:pPr>
        <w:autoSpaceDN w:val="0"/>
        <w:autoSpaceDE w:val="0"/>
        <w:widowControl/>
        <w:spacing w:line="266" w:lineRule="exact" w:before="6" w:after="0"/>
        <w:ind w:left="26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F1115"/>
          <w:sz w:val="24"/>
        </w:rPr>
        <w:t>anões. Ameaças</w:t>
      </w:r>
      <w:r>
        <w:rPr>
          <w:rFonts w:ascii="TimesNewRomanPS" w:hAnsi="TimesNewRomanPS" w:eastAsia="TimesNewRomanPS"/>
          <w:b/>
          <w:i w:val="0"/>
          <w:color w:val="0F1115"/>
          <w:sz w:val="24"/>
        </w:rPr>
        <w:t>:</w:t>
      </w:r>
      <w:r>
        <w:rPr>
          <w:rFonts w:ascii="TimesNewRomanPSMT" w:hAnsi="TimesNewRomanPSMT" w:eastAsia="TimesNewRomanPSMT"/>
          <w:b w:val="0"/>
          <w:i w:val="0"/>
          <w:color w:val="0F1115"/>
          <w:sz w:val="24"/>
        </w:rPr>
        <w:t xml:space="preserve"> aquecimento global, degelo de geleiras, turismo predatório. </w:t>
      </w:r>
    </w:p>
    <w:p>
      <w:pPr>
        <w:sectPr>
          <w:pgSz w:w="11906" w:h="16838"/>
          <w:pgMar w:top="702" w:right="1440" w:bottom="12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0"/>
        <w:ind w:left="0" w:right="0"/>
      </w:pPr>
    </w:p>
    <w:p>
      <w:pPr>
        <w:autoSpaceDN w:val="0"/>
        <w:autoSpaceDE w:val="0"/>
        <w:widowControl/>
        <w:spacing w:line="312" w:lineRule="exact" w:before="0" w:after="216"/>
        <w:ind w:left="26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2.2.9 Regiões Polares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003"/>
        <w:gridCol w:w="1003"/>
        <w:gridCol w:w="1003"/>
        <w:gridCol w:w="1003"/>
        <w:gridCol w:w="1003"/>
        <w:gridCol w:w="1003"/>
        <w:gridCol w:w="1003"/>
        <w:gridCol w:w="1003"/>
        <w:gridCol w:w="1003"/>
      </w:tblGrid>
      <w:tr>
        <w:trPr>
          <w:trHeight w:hRule="exact" w:val="312"/>
        </w:trPr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F1115"/>
                <w:sz w:val="24"/>
              </w:rPr>
              <w:t xml:space="preserve">Ártico 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F1115"/>
                <w:sz w:val="24"/>
              </w:rPr>
              <w:t xml:space="preserve">e </w:t>
            </w:r>
          </w:p>
        </w:tc>
        <w:tc>
          <w:tcPr>
            <w:tcW w:type="dxa" w:w="34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F1115"/>
                <w:sz w:val="24"/>
              </w:rPr>
              <w:t>Antártida. Fauna</w:t>
            </w:r>
            <w:r>
              <w:rPr>
                <w:rFonts w:ascii="TimesNewRomanPS" w:hAnsi="TimesNewRomanPS" w:eastAsia="TimesNewRomanPS"/>
                <w:b/>
                <w:i w:val="0"/>
                <w:color w:val="0F1115"/>
                <w:sz w:val="24"/>
              </w:rPr>
              <w:t>: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F1115"/>
                <w:sz w:val="24"/>
              </w:rPr>
              <w:t xml:space="preserve"> ursos-polares, </w:t>
            </w:r>
          </w:p>
        </w:tc>
        <w:tc>
          <w:tcPr>
            <w:tcW w:type="dxa" w:w="2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F1115"/>
                <w:sz w:val="24"/>
              </w:rPr>
              <w:t xml:space="preserve">pinguins-imperador,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F1115"/>
                <w:sz w:val="24"/>
              </w:rPr>
              <w:t xml:space="preserve">focas, </w:t>
            </w:r>
          </w:p>
        </w:tc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F1115"/>
                <w:sz w:val="24"/>
              </w:rPr>
              <w:t xml:space="preserve">morsas,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F1115"/>
                <w:sz w:val="24"/>
              </w:rPr>
              <w:t xml:space="preserve">severas, </w:t>
            </w:r>
          </w:p>
        </w:tc>
      </w:tr>
      <w:tr>
        <w:trPr>
          <w:trHeight w:hRule="exact" w:val="296"/>
        </w:trPr>
        <w:tc>
          <w:tcPr>
            <w:tcW w:type="dxa" w:w="23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F1115"/>
                <w:sz w:val="24"/>
              </w:rPr>
              <w:t>baleias. Flora</w:t>
            </w:r>
            <w:r>
              <w:rPr>
                <w:rFonts w:ascii="TimesNewRomanPS" w:hAnsi="TimesNewRomanPS" w:eastAsia="TimesNewRomanPS"/>
                <w:b/>
                <w:i w:val="0"/>
                <w:color w:val="0F1115"/>
                <w:sz w:val="24"/>
              </w:rPr>
              <w:t>: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F1115"/>
                <w:sz w:val="24"/>
              </w:rPr>
              <w:t xml:space="preserve"> algas, </w:t>
            </w:r>
          </w:p>
        </w:tc>
        <w:tc>
          <w:tcPr>
            <w:tcW w:type="dxa" w:w="1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F1115"/>
                <w:sz w:val="24"/>
              </w:rPr>
              <w:t xml:space="preserve">líquens, </w:t>
            </w:r>
          </w:p>
        </w:tc>
        <w:tc>
          <w:tcPr>
            <w:tcW w:type="dxa" w:w="31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F1115"/>
                <w:sz w:val="24"/>
              </w:rPr>
              <w:t>musgos. Ameaças</w:t>
            </w:r>
            <w:r>
              <w:rPr>
                <w:rFonts w:ascii="TimesNewRomanPS" w:hAnsi="TimesNewRomanPS" w:eastAsia="TimesNewRomanPS"/>
                <w:b/>
                <w:i w:val="0"/>
                <w:color w:val="0F1115"/>
                <w:sz w:val="24"/>
              </w:rPr>
              <w:t>: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F1115"/>
                <w:sz w:val="24"/>
              </w:rPr>
              <w:t xml:space="preserve"> mudanças </w:t>
            </w:r>
          </w:p>
        </w:tc>
        <w:tc>
          <w:tcPr>
            <w:tcW w:type="dxa" w:w="13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F1115"/>
                <w:sz w:val="24"/>
              </w:rPr>
              <w:t xml:space="preserve">climáticas </w:t>
            </w:r>
          </w:p>
        </w:tc>
        <w:tc>
          <w:tcPr>
            <w:tcW w:type="dxa" w:w="1003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66" w:lineRule="exact" w:before="4" w:after="0"/>
        <w:ind w:left="26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F1115"/>
          <w:sz w:val="24"/>
        </w:rPr>
        <w:t xml:space="preserve">derretimento de calotas polares, exploração de recursos. </w:t>
      </w:r>
    </w:p>
    <w:p>
      <w:pPr>
        <w:autoSpaceDN w:val="0"/>
        <w:autoSpaceDE w:val="0"/>
        <w:widowControl/>
        <w:spacing w:line="312" w:lineRule="exact" w:before="250" w:after="0"/>
        <w:ind w:left="26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2.2.10 Oceanos </w:t>
      </w:r>
    </w:p>
    <w:p>
      <w:pPr>
        <w:autoSpaceDN w:val="0"/>
        <w:autoSpaceDE w:val="0"/>
        <w:widowControl/>
        <w:spacing w:line="276" w:lineRule="exact" w:before="266" w:after="0"/>
        <w:ind w:left="262" w:right="20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F1115"/>
          <w:sz w:val="24"/>
        </w:rPr>
        <w:t>Cobrem 71% da superfície terrestre. Fauna</w:t>
      </w:r>
      <w:r>
        <w:rPr>
          <w:rFonts w:ascii="TimesNewRomanPS" w:hAnsi="TimesNewRomanPS" w:eastAsia="TimesNewRomanPS"/>
          <w:b/>
          <w:i w:val="0"/>
          <w:color w:val="0F1115"/>
          <w:sz w:val="24"/>
        </w:rPr>
        <w:t>:</w:t>
      </w:r>
      <w:r>
        <w:rPr>
          <w:rFonts w:ascii="TimesNewRomanPSMT" w:hAnsi="TimesNewRomanPSMT" w:eastAsia="TimesNewRomanPSMT"/>
          <w:b w:val="0"/>
          <w:i w:val="0"/>
          <w:color w:val="0F1115"/>
          <w:sz w:val="24"/>
        </w:rPr>
        <w:t xml:space="preserve"> tubarões, golfinhos, tartarugas-marinhas, </w:t>
      </w:r>
      <w:r>
        <w:rPr>
          <w:rFonts w:ascii="TimesNewRomanPSMT" w:hAnsi="TimesNewRomanPSMT" w:eastAsia="TimesNewRomanPSMT"/>
          <w:b w:val="0"/>
          <w:i w:val="0"/>
          <w:color w:val="0F1115"/>
          <w:sz w:val="24"/>
        </w:rPr>
        <w:t>recifes de coral, plâncton. Flora</w:t>
      </w:r>
      <w:r>
        <w:rPr>
          <w:rFonts w:ascii="TimesNewRomanPS" w:hAnsi="TimesNewRomanPS" w:eastAsia="TimesNewRomanPS"/>
          <w:b/>
          <w:i w:val="0"/>
          <w:color w:val="0F1115"/>
          <w:sz w:val="24"/>
        </w:rPr>
        <w:t>:</w:t>
      </w:r>
      <w:r>
        <w:rPr>
          <w:rFonts w:ascii="TimesNewRomanPSMT" w:hAnsi="TimesNewRomanPSMT" w:eastAsia="TimesNewRomanPSMT"/>
          <w:b w:val="0"/>
          <w:i w:val="0"/>
          <w:color w:val="0F1115"/>
          <w:sz w:val="24"/>
        </w:rPr>
        <w:t xml:space="preserve"> algas, fitoplâncton, ervas-marinhas. Ameaças</w:t>
      </w:r>
      <w:r>
        <w:rPr>
          <w:rFonts w:ascii="TimesNewRomanPS" w:hAnsi="TimesNewRomanPS" w:eastAsia="TimesNewRomanPS"/>
          <w:b/>
          <w:i w:val="0"/>
          <w:color w:val="0F1115"/>
          <w:sz w:val="24"/>
        </w:rPr>
        <w:t>:</w:t>
      </w:r>
      <w:r>
        <w:rPr>
          <w:rFonts w:ascii="TimesNewRomanPSMT" w:hAnsi="TimesNewRomanPSMT" w:eastAsia="TimesNewRomanPSMT"/>
          <w:b w:val="0"/>
          <w:i w:val="0"/>
          <w:color w:val="0F1115"/>
          <w:sz w:val="24"/>
        </w:rPr>
        <w:t xml:space="preserve"> poluição </w:t>
      </w:r>
      <w:r>
        <w:rPr>
          <w:rFonts w:ascii="TimesNewRomanPSMT" w:hAnsi="TimesNewRomanPSMT" w:eastAsia="TimesNewRomanPSMT"/>
          <w:b w:val="0"/>
          <w:i w:val="0"/>
          <w:color w:val="0F1115"/>
          <w:sz w:val="24"/>
        </w:rPr>
        <w:t xml:space="preserve">plástica, acidificação, pesca predatória, aumento da temperatura. </w:t>
      </w:r>
    </w:p>
    <w:p>
      <w:pPr>
        <w:autoSpaceDN w:val="0"/>
        <w:autoSpaceDE w:val="0"/>
        <w:widowControl/>
        <w:spacing w:line="354" w:lineRule="exact" w:before="300" w:after="0"/>
        <w:ind w:left="262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32"/>
        </w:rPr>
        <w:t xml:space="preserve">2.3 Ameaças Ambientais Globais e Conscientização </w:t>
      </w:r>
    </w:p>
    <w:p>
      <w:pPr>
        <w:autoSpaceDN w:val="0"/>
        <w:autoSpaceDE w:val="0"/>
        <w:widowControl/>
        <w:spacing w:line="276" w:lineRule="exact" w:before="276" w:after="0"/>
        <w:ind w:left="262" w:right="20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F1115"/>
          <w:sz w:val="24"/>
        </w:rPr>
        <w:t xml:space="preserve">A caça ilegal e o tráfico de animais silvestres movimentam bilhões de reais por ano, sendo </w:t>
      </w:r>
      <w:r>
        <w:rPr>
          <w:rFonts w:ascii="TimesNewRomanPSMT" w:hAnsi="TimesNewRomanPSMT" w:eastAsia="TimesNewRomanPSMT"/>
          <w:b w:val="0"/>
          <w:i w:val="0"/>
          <w:color w:val="0F1115"/>
          <w:sz w:val="24"/>
        </w:rPr>
        <w:t xml:space="preserve">a terceira maior atividade criminosa do mundo, atrás apenas de armas e drogas (UNODC, </w:t>
      </w:r>
      <w:r>
        <w:rPr>
          <w:rFonts w:ascii="TimesNewRomanPSMT" w:hAnsi="TimesNewRomanPSMT" w:eastAsia="TimesNewRomanPSMT"/>
          <w:b w:val="0"/>
          <w:i w:val="0"/>
          <w:color w:val="0F1115"/>
          <w:sz w:val="24"/>
        </w:rPr>
        <w:t xml:space="preserve">2024). O desmatamento global, especialmente nas florestas tropicais, responde por cerca </w:t>
      </w:r>
      <w:r>
        <w:rPr>
          <w:rFonts w:ascii="TimesNewRomanPSMT" w:hAnsi="TimesNewRomanPSMT" w:eastAsia="TimesNewRomanPSMT"/>
          <w:b w:val="0"/>
          <w:i w:val="0"/>
          <w:color w:val="0F1115"/>
          <w:sz w:val="24"/>
        </w:rPr>
        <w:t xml:space="preserve">de 15% das emissões de gases de efeito estufa. As mudanças climáticas afetam todos os </w:t>
      </w:r>
      <w:r>
        <w:rPr>
          <w:rFonts w:ascii="TimesNewRomanPSMT" w:hAnsi="TimesNewRomanPSMT" w:eastAsia="TimesNewRomanPSMT"/>
          <w:b w:val="0"/>
          <w:i w:val="0"/>
          <w:color w:val="0F1115"/>
          <w:sz w:val="24"/>
        </w:rPr>
        <w:t xml:space="preserve">biomas, desde o derretimento do permafrost na Tundra até a desertificação na Savana. </w:t>
      </w:r>
      <w:r>
        <w:rPr>
          <w:rFonts w:ascii="TimesNewRomanPSMT" w:hAnsi="TimesNewRomanPSMT" w:eastAsia="TimesNewRomanPSMT"/>
          <w:b w:val="0"/>
          <w:i w:val="0"/>
          <w:color w:val="0F1115"/>
          <w:sz w:val="24"/>
        </w:rPr>
        <w:t xml:space="preserve">Uma plataforma educativa que associa cada região aos seus riscos específicos contribui </w:t>
      </w:r>
      <w:r>
        <w:rPr>
          <w:rFonts w:ascii="TimesNewRomanPSMT" w:hAnsi="TimesNewRomanPSMT" w:eastAsia="TimesNewRomanPSMT"/>
          <w:b w:val="0"/>
          <w:i w:val="0"/>
          <w:color w:val="0F1115"/>
          <w:sz w:val="24"/>
        </w:rPr>
        <w:t xml:space="preserve">diretamente para a formação de uma cidadania ativa e fiscalizadora em escala planetária. </w:t>
      </w:r>
    </w:p>
    <w:p>
      <w:pPr>
        <w:sectPr>
          <w:pgSz w:w="11906" w:h="16838"/>
          <w:pgMar w:top="71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4"/>
        <w:ind w:left="0" w:right="0"/>
      </w:pPr>
    </w:p>
    <w:p>
      <w:pPr>
        <w:autoSpaceDN w:val="0"/>
        <w:autoSpaceDE w:val="0"/>
        <w:widowControl/>
        <w:spacing w:line="400" w:lineRule="exact" w:before="0" w:after="0"/>
        <w:ind w:left="262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36"/>
        </w:rPr>
        <w:t xml:space="preserve">3. LEVANTAMENTO DE REQUISITOS </w:t>
      </w:r>
    </w:p>
    <w:p>
      <w:pPr>
        <w:autoSpaceDN w:val="0"/>
        <w:autoSpaceDE w:val="0"/>
        <w:widowControl/>
        <w:spacing w:line="276" w:lineRule="exact" w:before="310" w:after="0"/>
        <w:ind w:left="262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 levantamento de requisitos é fundamental para documentar e priorizar as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funcionalidades da plataforma de educação ambiental. </w:t>
      </w:r>
    </w:p>
    <w:p>
      <w:pPr>
        <w:autoSpaceDN w:val="0"/>
        <w:autoSpaceDE w:val="0"/>
        <w:widowControl/>
        <w:spacing w:line="352" w:lineRule="exact" w:before="300" w:after="0"/>
        <w:ind w:left="262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32"/>
        </w:rPr>
        <w:t xml:space="preserve">3.1. Requisitos Funcionais (RF) </w:t>
      </w:r>
    </w:p>
    <w:p>
      <w:pPr>
        <w:autoSpaceDN w:val="0"/>
        <w:autoSpaceDE w:val="0"/>
        <w:widowControl/>
        <w:spacing w:line="266" w:lineRule="exact" w:before="286" w:after="0"/>
        <w:ind w:left="26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Os requisitos funcionais descrevem as ações que o sistema deve ser capaz de realizar: </w:t>
      </w:r>
    </w:p>
    <w:p>
      <w:pPr>
        <w:autoSpaceDN w:val="0"/>
        <w:autoSpaceDE w:val="0"/>
        <w:widowControl/>
        <w:spacing w:line="276" w:lineRule="exact" w:before="298" w:after="0"/>
        <w:ind w:left="982" w:right="202" w:hanging="360"/>
        <w:jc w:val="both"/>
      </w:pPr>
      <w:r>
        <w:rPr>
          <w:rFonts w:ascii="Symbol" w:hAnsi="Symbol" w:eastAsia="Symbol"/>
          <w:b w:val="0"/>
          <w:i w:val="0"/>
          <w:color w:val="0F1115"/>
          <w:sz w:val="24"/>
        </w:rPr>
        <w:t></w:t>
      </w:r>
      <w:r>
        <w:rPr>
          <w:rFonts w:ascii="TimesNewRomanPS" w:hAnsi="TimesNewRomanPS" w:eastAsia="TimesNewRomanPS"/>
          <w:b/>
          <w:i w:val="0"/>
          <w:color w:val="0F1115"/>
          <w:sz w:val="24"/>
        </w:rPr>
        <w:t>RF01 – Mapa Interativo Mundial:</w:t>
      </w:r>
      <w:r>
        <w:rPr>
          <w:rFonts w:ascii="TimesNewRomanPSMT" w:hAnsi="TimesNewRomanPSMT" w:eastAsia="TimesNewRomanPSMT"/>
          <w:b w:val="0"/>
          <w:i w:val="0"/>
          <w:color w:val="0F1115"/>
          <w:sz w:val="24"/>
        </w:rPr>
        <w:t xml:space="preserve"> O sistema deve apresentar uma interface </w:t>
      </w:r>
      <w:r>
        <w:rPr>
          <w:rFonts w:ascii="TimesNewRomanPSMT" w:hAnsi="TimesNewRomanPSMT" w:eastAsia="TimesNewRomanPSMT"/>
          <w:b w:val="0"/>
          <w:i w:val="0"/>
          <w:color w:val="0F1115"/>
          <w:sz w:val="24"/>
        </w:rPr>
        <w:t xml:space="preserve">gráfica contendo um mapa-múndi dividido pelos seguintes biomas: Tundra, </w:t>
      </w:r>
      <w:r>
        <w:rPr>
          <w:rFonts w:ascii="TimesNewRomanPSMT" w:hAnsi="TimesNewRomanPSMT" w:eastAsia="TimesNewRomanPSMT"/>
          <w:b w:val="0"/>
          <w:i w:val="0"/>
          <w:color w:val="0F1115"/>
          <w:sz w:val="24"/>
        </w:rPr>
        <w:t xml:space="preserve">Taiga, Floresta Temperada, Deserto, Savana, Floresta Tropical, Mediterrâneo, </w:t>
      </w:r>
      <w:r>
        <w:rPr>
          <w:rFonts w:ascii="TimesNewRomanPSMT" w:hAnsi="TimesNewRomanPSMT" w:eastAsia="TimesNewRomanPSMT"/>
          <w:b w:val="0"/>
          <w:i w:val="0"/>
          <w:color w:val="0F1115"/>
          <w:sz w:val="24"/>
        </w:rPr>
        <w:t xml:space="preserve">Montanha, Regiões Polares e Oceanos. </w:t>
      </w:r>
    </w:p>
    <w:p>
      <w:pPr>
        <w:autoSpaceDN w:val="0"/>
        <w:tabs>
          <w:tab w:pos="982" w:val="left"/>
        </w:tabs>
        <w:autoSpaceDE w:val="0"/>
        <w:widowControl/>
        <w:spacing w:line="276" w:lineRule="exact" w:before="18" w:after="0"/>
        <w:ind w:left="622" w:right="144" w:firstLine="0"/>
        <w:jc w:val="left"/>
      </w:pPr>
      <w:r>
        <w:rPr>
          <w:rFonts w:ascii="Symbol" w:hAnsi="Symbol" w:eastAsia="Symbol"/>
          <w:b w:val="0"/>
          <w:i w:val="0"/>
          <w:color w:val="0F1115"/>
          <w:sz w:val="24"/>
        </w:rPr>
        <w:t></w:t>
      </w:r>
      <w:r>
        <w:rPr>
          <w:rFonts w:ascii="TimesNewRomanPS" w:hAnsi="TimesNewRomanPS" w:eastAsia="TimesNewRomanPS"/>
          <w:b/>
          <w:i w:val="0"/>
          <w:color w:val="0F1115"/>
          <w:sz w:val="24"/>
        </w:rPr>
        <w:t>RF02 – Interação por Cursor (Hover):</w:t>
      </w:r>
      <w:r>
        <w:rPr>
          <w:rFonts w:ascii="TimesNewRomanPSMT" w:hAnsi="TimesNewRomanPSMT" w:eastAsia="TimesNewRomanPSMT"/>
          <w:b w:val="0"/>
          <w:i w:val="0"/>
          <w:color w:val="0F1115"/>
          <w:sz w:val="24"/>
        </w:rPr>
        <w:t xml:space="preserve"> A plataforma deve detectar a posição do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F1115"/>
          <w:sz w:val="24"/>
        </w:rPr>
        <w:t xml:space="preserve">mouse e destacar a região/bioma sobre o qual o cursor está posicionado. </w:t>
      </w:r>
    </w:p>
    <w:p>
      <w:pPr>
        <w:autoSpaceDN w:val="0"/>
        <w:autoSpaceDE w:val="0"/>
        <w:widowControl/>
        <w:spacing w:line="276" w:lineRule="exact" w:before="16" w:after="0"/>
        <w:ind w:left="982" w:right="202" w:hanging="360"/>
        <w:jc w:val="both"/>
      </w:pPr>
      <w:r>
        <w:rPr>
          <w:rFonts w:ascii="Symbol" w:hAnsi="Symbol" w:eastAsia="Symbol"/>
          <w:b w:val="0"/>
          <w:i w:val="0"/>
          <w:color w:val="0F1115"/>
          <w:sz w:val="24"/>
        </w:rPr>
        <w:t></w:t>
      </w:r>
      <w:r>
        <w:rPr>
          <w:rFonts w:ascii="TimesNewRomanPS" w:hAnsi="TimesNewRomanPS" w:eastAsia="TimesNewRomanPS"/>
          <w:b/>
          <w:i w:val="0"/>
          <w:color w:val="0F1115"/>
          <w:sz w:val="24"/>
        </w:rPr>
        <w:t>RF03 – Exibição de Biodiversidade:</w:t>
      </w:r>
      <w:r>
        <w:rPr>
          <w:rFonts w:ascii="TimesNewRomanPSMT" w:hAnsi="TimesNewRomanPSMT" w:eastAsia="TimesNewRomanPSMT"/>
          <w:b w:val="0"/>
          <w:i w:val="0"/>
          <w:color w:val="0F1115"/>
          <w:sz w:val="24"/>
        </w:rPr>
        <w:t xml:space="preserve"> Ao posicionar o mouse sobre uma região, </w:t>
      </w:r>
      <w:r>
        <w:rPr>
          <w:rFonts w:ascii="TimesNewRomanPSMT" w:hAnsi="TimesNewRomanPSMT" w:eastAsia="TimesNewRomanPSMT"/>
          <w:b w:val="0"/>
          <w:i w:val="0"/>
          <w:color w:val="0F1115"/>
          <w:sz w:val="24"/>
        </w:rPr>
        <w:t xml:space="preserve">o sistema deve abrir um componente visual (pop-up ou card) contendo exemplos </w:t>
      </w:r>
      <w:r>
        <w:rPr>
          <w:rFonts w:ascii="TimesNewRomanPSMT" w:hAnsi="TimesNewRomanPSMT" w:eastAsia="TimesNewRomanPSMT"/>
          <w:b w:val="0"/>
          <w:i w:val="0"/>
          <w:color w:val="0F1115"/>
          <w:sz w:val="24"/>
        </w:rPr>
        <w:t xml:space="preserve">da fauna e flora local. </w:t>
      </w:r>
    </w:p>
    <w:p>
      <w:pPr>
        <w:autoSpaceDN w:val="0"/>
        <w:autoSpaceDE w:val="0"/>
        <w:widowControl/>
        <w:spacing w:line="276" w:lineRule="exact" w:before="18" w:after="0"/>
        <w:ind w:left="982" w:right="200" w:hanging="360"/>
        <w:jc w:val="both"/>
      </w:pPr>
      <w:r>
        <w:rPr>
          <w:rFonts w:ascii="Symbol" w:hAnsi="Symbol" w:eastAsia="Symbol"/>
          <w:b w:val="0"/>
          <w:i w:val="0"/>
          <w:color w:val="0F1115"/>
          <w:sz w:val="24"/>
        </w:rPr>
        <w:t></w:t>
      </w:r>
      <w:r>
        <w:rPr>
          <w:rFonts w:ascii="TimesNewRomanPS" w:hAnsi="TimesNewRomanPS" w:eastAsia="TimesNewRomanPS"/>
          <w:b/>
          <w:i w:val="0"/>
          <w:color w:val="0F1115"/>
          <w:sz w:val="24"/>
        </w:rPr>
        <w:t>RF04 – Conteúdo Educativo sobre Riscos:</w:t>
      </w:r>
      <w:r>
        <w:rPr>
          <w:rFonts w:ascii="TimesNewRomanPSMT" w:hAnsi="TimesNewRomanPSMT" w:eastAsia="TimesNewRomanPSMT"/>
          <w:b w:val="0"/>
          <w:i w:val="0"/>
          <w:color w:val="0F1115"/>
          <w:sz w:val="24"/>
        </w:rPr>
        <w:t xml:space="preserve"> O sistema deve exibir informações </w:t>
      </w:r>
      <w:r>
        <w:rPr>
          <w:rFonts w:ascii="TimesNewRomanPSMT" w:hAnsi="TimesNewRomanPSMT" w:eastAsia="TimesNewRomanPSMT"/>
          <w:b w:val="0"/>
          <w:i w:val="0"/>
          <w:color w:val="0F1115"/>
          <w:sz w:val="24"/>
        </w:rPr>
        <w:t xml:space="preserve">sobre as ameaças ambientais específicas de cada bioma, como desmatamento, </w:t>
      </w:r>
      <w:r>
        <w:rPr>
          <w:rFonts w:ascii="TimesNewRomanPSMT" w:hAnsi="TimesNewRomanPSMT" w:eastAsia="TimesNewRomanPSMT"/>
          <w:b w:val="0"/>
          <w:i w:val="0"/>
          <w:color w:val="0F1115"/>
          <w:sz w:val="24"/>
        </w:rPr>
        <w:t xml:space="preserve">caça ilegal, mudanças climáticas e poluição. </w:t>
      </w:r>
    </w:p>
    <w:p>
      <w:pPr>
        <w:autoSpaceDN w:val="0"/>
        <w:autoSpaceDE w:val="0"/>
        <w:widowControl/>
        <w:spacing w:line="276" w:lineRule="exact" w:before="16" w:after="0"/>
        <w:ind w:left="982" w:right="144" w:hanging="360"/>
        <w:jc w:val="left"/>
      </w:pPr>
      <w:r>
        <w:rPr>
          <w:rFonts w:ascii="Symbol" w:hAnsi="Symbol" w:eastAsia="Symbol"/>
          <w:b w:val="0"/>
          <w:i w:val="0"/>
          <w:color w:val="0F1115"/>
          <w:sz w:val="24"/>
        </w:rPr>
        <w:t></w:t>
      </w:r>
      <w:r>
        <w:rPr>
          <w:rFonts w:ascii="TimesNewRomanPS" w:hAnsi="TimesNewRomanPS" w:eastAsia="TimesNewRomanPS"/>
          <w:b/>
          <w:i w:val="0"/>
          <w:color w:val="0F1115"/>
          <w:sz w:val="24"/>
        </w:rPr>
        <w:t>RF05 – Galeria de Espécies:</w:t>
      </w:r>
      <w:r>
        <w:rPr>
          <w:rFonts w:ascii="TimesNewRomanPSMT" w:hAnsi="TimesNewRomanPSMT" w:eastAsia="TimesNewRomanPSMT"/>
          <w:b w:val="0"/>
          <w:i w:val="0"/>
          <w:color w:val="0F1115"/>
          <w:sz w:val="24"/>
        </w:rPr>
        <w:t xml:space="preserve"> A plataforma deve permitir que o usuário clique </w:t>
      </w:r>
      <w:r>
        <w:rPr>
          <w:rFonts w:ascii="TimesNewRomanPSMT" w:hAnsi="TimesNewRomanPSMT" w:eastAsia="TimesNewRomanPSMT"/>
          <w:b w:val="0"/>
          <w:i w:val="0"/>
          <w:color w:val="0F1115"/>
          <w:sz w:val="24"/>
        </w:rPr>
        <w:t xml:space="preserve">em uma espécie para ler uma descrição detalhada e ver imagens de alta qualidade. </w:t>
      </w:r>
    </w:p>
    <w:p>
      <w:pPr>
        <w:autoSpaceDN w:val="0"/>
        <w:autoSpaceDE w:val="0"/>
        <w:widowControl/>
        <w:spacing w:line="354" w:lineRule="exact" w:before="660" w:after="0"/>
        <w:ind w:left="262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32"/>
        </w:rPr>
        <w:t xml:space="preserve">3.2. Requisitos Não Funcionais (RNF) </w:t>
      </w:r>
    </w:p>
    <w:p>
      <w:pPr>
        <w:autoSpaceDN w:val="0"/>
        <w:autoSpaceDE w:val="0"/>
        <w:widowControl/>
        <w:spacing w:line="276" w:lineRule="exact" w:before="304" w:after="0"/>
        <w:ind w:left="262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Os requisitos não funcionais definem as características de qualidade e restrições técnicas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do sistema: </w:t>
      </w:r>
    </w:p>
    <w:p>
      <w:pPr>
        <w:autoSpaceDN w:val="0"/>
        <w:tabs>
          <w:tab w:pos="982" w:val="left"/>
        </w:tabs>
        <w:autoSpaceDE w:val="0"/>
        <w:widowControl/>
        <w:spacing w:line="298" w:lineRule="exact" w:before="234" w:after="0"/>
        <w:ind w:left="622" w:right="144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RNF01 - Web Responsividade: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A plataforma deve ser acessível e funcional em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diferentes dispositivos, como computadores, tablets e smartphones. </w:t>
      </w:r>
    </w:p>
    <w:p>
      <w:pPr>
        <w:autoSpaceDN w:val="0"/>
        <w:tabs>
          <w:tab w:pos="982" w:val="left"/>
        </w:tabs>
        <w:autoSpaceDE w:val="0"/>
        <w:widowControl/>
        <w:spacing w:line="276" w:lineRule="exact" w:before="0" w:after="0"/>
        <w:ind w:left="622" w:right="144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RNF02 - Usabilidade e Acessibilidade: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A interface deve seguir princípios de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IHC para garantir que o uso seja intuitivo para estudantes de diversas idades. </w:t>
      </w: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RNF03 - Desempenho: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O mapa interativo e as imagens devem carregar em tempo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hábil para não prejudicar a experiência de aprendizado. </w:t>
      </w:r>
    </w:p>
    <w:p>
      <w:pPr>
        <w:autoSpaceDN w:val="0"/>
        <w:tabs>
          <w:tab w:pos="982" w:val="left"/>
        </w:tabs>
        <w:autoSpaceDE w:val="0"/>
        <w:widowControl/>
        <w:spacing w:line="276" w:lineRule="exact" w:before="0" w:after="0"/>
        <w:ind w:left="622" w:right="144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RNF04 - Ética e Cidadania Digital: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O sistema deve garantir a integridade das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informações apresentadas e o respeito aos direitos autorais das imagens utilizadas. </w:t>
      </w:r>
    </w:p>
    <w:p>
      <w:pPr>
        <w:sectPr>
          <w:pgSz w:w="11906" w:h="16838"/>
          <w:pgMar w:top="714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4"/>
        <w:ind w:left="0" w:right="0"/>
      </w:pPr>
    </w:p>
    <w:p>
      <w:pPr>
        <w:autoSpaceDN w:val="0"/>
        <w:autoSpaceDE w:val="0"/>
        <w:widowControl/>
        <w:spacing w:line="400" w:lineRule="exact" w:before="0" w:after="0"/>
        <w:ind w:left="262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36"/>
        </w:rPr>
        <w:t xml:space="preserve">4. ANÁLISE E ESPECIFICAÇÃO DO SISTEMA </w:t>
      </w:r>
    </w:p>
    <w:p>
      <w:pPr>
        <w:autoSpaceDN w:val="0"/>
        <w:autoSpaceDE w:val="0"/>
        <w:widowControl/>
        <w:spacing w:line="276" w:lineRule="exact" w:before="310" w:after="0"/>
        <w:ind w:left="262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Nesta etapa, detalhamos a interação entre o usuário e a plataforma, focando no objetivo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 proporcionar uma experiência pedagógica e de reflexão autônoma. </w:t>
      </w:r>
    </w:p>
    <w:p>
      <w:pPr>
        <w:autoSpaceDN w:val="0"/>
        <w:autoSpaceDE w:val="0"/>
        <w:widowControl/>
        <w:spacing w:line="368" w:lineRule="exact" w:before="284" w:after="0"/>
        <w:ind w:left="262" w:right="144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32"/>
        </w:rPr>
        <w:t xml:space="preserve">4.1. Caso de Uso: Consultar Biodiversidade e Riscos </w:t>
      </w:r>
      <w:r>
        <w:rPr>
          <w:rFonts w:ascii="TimesNewRomanPS" w:hAnsi="TimesNewRomanPS" w:eastAsia="TimesNewRomanPS"/>
          <w:b/>
          <w:i w:val="0"/>
          <w:color w:val="000000"/>
          <w:sz w:val="32"/>
        </w:rPr>
        <w:t xml:space="preserve">Ambientais </w:t>
      </w:r>
    </w:p>
    <w:p>
      <w:pPr>
        <w:autoSpaceDN w:val="0"/>
        <w:autoSpaceDE w:val="0"/>
        <w:widowControl/>
        <w:spacing w:line="276" w:lineRule="exact" w:before="276" w:after="0"/>
        <w:ind w:left="262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Este caso de uso descreve a funcionalidade central da plataforma: a exploração do mapa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para fins educativos. </w:t>
      </w:r>
    </w:p>
    <w:p>
      <w:pPr>
        <w:autoSpaceDN w:val="0"/>
        <w:tabs>
          <w:tab w:pos="982" w:val="left"/>
        </w:tabs>
        <w:autoSpaceDE w:val="0"/>
        <w:widowControl/>
        <w:spacing w:line="266" w:lineRule="exact" w:before="268" w:after="0"/>
        <w:ind w:left="62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Ator Principal: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Estudante / Usuário Final. </w:t>
      </w:r>
    </w:p>
    <w:p>
      <w:pPr>
        <w:autoSpaceDN w:val="0"/>
        <w:tabs>
          <w:tab w:pos="982" w:val="left"/>
        </w:tabs>
        <w:autoSpaceDE w:val="0"/>
        <w:widowControl/>
        <w:spacing w:line="276" w:lineRule="exact" w:before="0" w:after="0"/>
        <w:ind w:left="622" w:right="144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Pré-condições:</w:t>
      </w:r>
      <w:r>
        <w:rPr>
          <w:rFonts w:ascii="TimesNewRomanPSMT" w:hAnsi="TimesNewRomanPSMT" w:eastAsia="TimesNewRomanPSMT"/>
          <w:b w:val="0"/>
          <w:i w:val="0"/>
          <w:color w:val="0F1115"/>
          <w:sz w:val="24"/>
        </w:rPr>
        <w:t>O sistema deve estar carregado e o mapa-múndi com os biomas</w:t>
      </w:r>
      <w:r>
        <w:rPr>
          <w:rFonts w:ascii="TimesNewRomanPSMT" w:hAnsi="TimesNewRomanPSMT" w:eastAsia="TimesNewRomanPSMT"/>
          <w:b w:val="0"/>
          <w:i w:val="0"/>
          <w:color w:val="0F1115"/>
          <w:sz w:val="24"/>
        </w:rPr>
        <w:t xml:space="preserve">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F1115"/>
          <w:sz w:val="24"/>
        </w:rPr>
        <w:t>deve estar visível na interface responsiva.</w:t>
      </w:r>
    </w:p>
    <w:p>
      <w:pPr>
        <w:autoSpaceDN w:val="0"/>
        <w:tabs>
          <w:tab w:pos="982" w:val="left"/>
          <w:tab w:pos="1342" w:val="left"/>
        </w:tabs>
        <w:autoSpaceDE w:val="0"/>
        <w:widowControl/>
        <w:spacing w:line="276" w:lineRule="exact" w:before="0" w:after="0"/>
        <w:ind w:left="622" w:right="1296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Fluxo Principal: 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1.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 estudante acessa a plataforma e visualiza o mapa interativo. </w:t>
      </w:r>
    </w:p>
    <w:p>
      <w:pPr>
        <w:autoSpaceDN w:val="0"/>
        <w:tabs>
          <w:tab w:pos="1702" w:val="left"/>
        </w:tabs>
        <w:autoSpaceDE w:val="0"/>
        <w:widowControl/>
        <w:spacing w:line="276" w:lineRule="exact" w:before="0" w:after="0"/>
        <w:ind w:left="1342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2.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 estudante movimenta o cursor (mouse) sobre uma região específica (ex: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Região Norte/Amazonas). </w:t>
      </w:r>
    </w:p>
    <w:p>
      <w:pPr>
        <w:autoSpaceDN w:val="0"/>
        <w:tabs>
          <w:tab w:pos="1702" w:val="left"/>
        </w:tabs>
        <w:autoSpaceDE w:val="0"/>
        <w:widowControl/>
        <w:spacing w:line="276" w:lineRule="exact" w:before="0" w:after="0"/>
        <w:ind w:left="1342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3.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O sistema detecta a interatividade (IHC)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e destaca visualmente as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fronteiras da região selecionada. </w:t>
      </w:r>
    </w:p>
    <w:p>
      <w:pPr>
        <w:autoSpaceDN w:val="0"/>
        <w:autoSpaceDE w:val="0"/>
        <w:widowControl/>
        <w:spacing w:line="266" w:lineRule="exact" w:before="10" w:after="0"/>
        <w:ind w:left="134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4.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 sistema exibe um card lateral ou pop-up contendo: </w:t>
      </w:r>
    </w:p>
    <w:p>
      <w:pPr>
        <w:autoSpaceDN w:val="0"/>
        <w:tabs>
          <w:tab w:pos="2422" w:val="left"/>
        </w:tabs>
        <w:autoSpaceDE w:val="0"/>
        <w:widowControl/>
        <w:spacing w:line="230" w:lineRule="exact" w:before="0" w:after="0"/>
        <w:ind w:left="2062" w:right="0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0"/>
        </w:rPr>
        <w:t>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Fauna local: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Nomes e imagens (ex: Arara-azul, Onça-pintada). </w:t>
      </w:r>
    </w:p>
    <w:p>
      <w:pPr>
        <w:autoSpaceDN w:val="0"/>
        <w:tabs>
          <w:tab w:pos="2422" w:val="left"/>
        </w:tabs>
        <w:autoSpaceDE w:val="0"/>
        <w:widowControl/>
        <w:spacing w:line="230" w:lineRule="exact" w:before="0" w:after="0"/>
        <w:ind w:left="2062" w:right="0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0"/>
        </w:rPr>
        <w:t>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Flora local: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Nomes e imagens (ex: Vitória-régia, Castanheira). </w:t>
      </w:r>
    </w:p>
    <w:p>
      <w:pPr>
        <w:autoSpaceDN w:val="0"/>
        <w:tabs>
          <w:tab w:pos="2422" w:val="left"/>
        </w:tabs>
        <w:autoSpaceDE w:val="0"/>
        <w:widowControl/>
        <w:spacing w:line="276" w:lineRule="exact" w:before="0" w:after="0"/>
        <w:ind w:left="2062" w:right="144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0"/>
        </w:rPr>
        <w:t>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Status de Preservação: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Indicadores sobre o nível de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desmatamento ou caça na área. </w:t>
      </w:r>
    </w:p>
    <w:p>
      <w:pPr>
        <w:autoSpaceDN w:val="0"/>
        <w:tabs>
          <w:tab w:pos="1702" w:val="left"/>
        </w:tabs>
        <w:autoSpaceDE w:val="0"/>
        <w:widowControl/>
        <w:spacing w:line="276" w:lineRule="exact" w:before="0" w:after="0"/>
        <w:ind w:left="1342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5.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 estudante clica em uma espécie específica para ler informações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detalhadas e orientações sobre práticas sustentáveis. </w:t>
      </w:r>
    </w:p>
    <w:p>
      <w:pPr>
        <w:autoSpaceDN w:val="0"/>
        <w:tabs>
          <w:tab w:pos="1702" w:val="left"/>
        </w:tabs>
        <w:autoSpaceDE w:val="0"/>
        <w:widowControl/>
        <w:spacing w:line="276" w:lineRule="exact" w:before="0" w:after="0"/>
        <w:ind w:left="1342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6.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 estudante encerra a consulta ao mover o mouse para fora da região ou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fechar o card informativo. </w:t>
      </w:r>
    </w:p>
    <w:p>
      <w:pPr>
        <w:autoSpaceDN w:val="0"/>
        <w:tabs>
          <w:tab w:pos="982" w:val="left"/>
          <w:tab w:pos="1342" w:val="left"/>
          <w:tab w:pos="1702" w:val="left"/>
        </w:tabs>
        <w:autoSpaceDE w:val="0"/>
        <w:widowControl/>
        <w:spacing w:line="276" w:lineRule="exact" w:before="0" w:after="0"/>
        <w:ind w:left="622" w:right="144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Fluxos Alternativos: </w:t>
      </w:r>
      <w:r>
        <w:br/>
      </w:r>
      <w:r>
        <w:tab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20"/>
        </w:rPr>
        <w:t>o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Acesso via Dispositivo Móvel: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Caso o usuário utilize um smartphone, a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interação de "passar o mouse" é substituída pelo "toque" (clique) na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região, garantindo a acessibilidade e responsividade exigidas. </w:t>
      </w:r>
    </w:p>
    <w:p>
      <w:pPr>
        <w:autoSpaceDN w:val="0"/>
        <w:autoSpaceDE w:val="0"/>
        <w:widowControl/>
        <w:spacing w:line="276" w:lineRule="exact" w:before="0" w:after="0"/>
        <w:ind w:left="1702" w:right="202" w:hanging="360"/>
        <w:jc w:val="both"/>
      </w:pPr>
      <w:r>
        <w:rPr>
          <w:rFonts w:ascii="Courier New" w:hAnsi="Courier New" w:eastAsia="Courier New"/>
          <w:b w:val="0"/>
          <w:i w:val="0"/>
          <w:color w:val="000000"/>
          <w:sz w:val="20"/>
        </w:rPr>
        <w:t>o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Região sem Dados: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Se o sistema não possuir informações detalhadas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sobre uma área específica, deverá exibir uma mensagem genérica de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incentivo à preservação ambiental. </w:t>
      </w:r>
    </w:p>
    <w:p>
      <w:pPr>
        <w:autoSpaceDN w:val="0"/>
        <w:tabs>
          <w:tab w:pos="982" w:val="left"/>
        </w:tabs>
        <w:autoSpaceDE w:val="0"/>
        <w:widowControl/>
        <w:spacing w:line="276" w:lineRule="exact" w:before="0" w:after="0"/>
        <w:ind w:left="622" w:right="144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Pós-condições: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O sistema retorna ao estado inicial de exploração do mapa,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permitindo que o estudante continue sua pesquisa científica sobre outros biomas. </w:t>
      </w:r>
    </w:p>
    <w:p>
      <w:pPr>
        <w:sectPr>
          <w:pgSz w:w="11906" w:h="16838"/>
          <w:pgMar w:top="714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4"/>
        <w:ind w:left="0" w:right="0"/>
      </w:pPr>
    </w:p>
    <w:p>
      <w:pPr>
        <w:autoSpaceDN w:val="0"/>
        <w:autoSpaceDE w:val="0"/>
        <w:widowControl/>
        <w:spacing w:line="400" w:lineRule="exact" w:before="0" w:after="0"/>
        <w:ind w:left="262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36"/>
        </w:rPr>
        <w:t xml:space="preserve">5. INTERFACE HUMANO-COMPUTADOR (IHC) E </w:t>
      </w:r>
    </w:p>
    <w:p>
      <w:pPr>
        <w:autoSpaceDN w:val="0"/>
        <w:autoSpaceDE w:val="0"/>
        <w:widowControl/>
        <w:spacing w:line="398" w:lineRule="exact" w:before="50" w:after="0"/>
        <w:ind w:left="262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36"/>
        </w:rPr>
        <w:t xml:space="preserve">DESIGN DE INTERFACE </w:t>
      </w:r>
    </w:p>
    <w:p>
      <w:pPr>
        <w:autoSpaceDN w:val="0"/>
        <w:autoSpaceDE w:val="0"/>
        <w:widowControl/>
        <w:spacing w:line="276" w:lineRule="exact" w:before="308" w:after="0"/>
        <w:ind w:left="262" w:right="202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 etapa de design da interface é crucial para garantir que a plataforma de educação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ambiental não seja apenas informativa, mas também funcional e envolvente. 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desenvolvimento baseou-se nos princípios de IHC para proporcionar uma experiência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centrada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no utilizador, facilitando o acesso ao conhecimento sobre a biodiversidade </w:t>
      </w:r>
      <w:r>
        <w:rPr>
          <w:rFonts w:ascii="TimesNewRomanPSMT" w:hAnsi="TimesNewRomanPSMT" w:eastAsia="TimesNewRomanPSMT"/>
          <w:b w:val="0"/>
          <w:i w:val="0"/>
          <w:color w:val="0F1115"/>
          <w:sz w:val="24"/>
        </w:rPr>
        <w:t>mundial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. </w:t>
      </w:r>
    </w:p>
    <w:p>
      <w:pPr>
        <w:autoSpaceDN w:val="0"/>
        <w:autoSpaceDE w:val="0"/>
        <w:widowControl/>
        <w:spacing w:line="354" w:lineRule="exact" w:before="300" w:after="0"/>
        <w:ind w:left="262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32"/>
        </w:rPr>
        <w:t xml:space="preserve">5.1. Perfil do Utilizador e Usabilidade </w:t>
      </w:r>
    </w:p>
    <w:p>
      <w:pPr>
        <w:autoSpaceDN w:val="0"/>
        <w:autoSpaceDE w:val="0"/>
        <w:widowControl/>
        <w:spacing w:line="276" w:lineRule="exact" w:before="276" w:after="0"/>
        <w:ind w:left="262" w:right="20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 público-alvo da plataforma compreende estudantes do ensino básico e secundário, além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 entusiastas da causa ambiental. Por este motivo, a interface foi projetada para ser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minimalista, evitando a sobrecarga cognitiva. A usabilidade foi pautada na facilidade de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aprendizagem, permitindo que utilizadores com diferentes níveis de literacia digital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consigam navegar pelo mapa e extrair informações sem necessidade de tutoriais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complexos. </w:t>
      </w:r>
    </w:p>
    <w:p>
      <w:pPr>
        <w:autoSpaceDN w:val="0"/>
        <w:autoSpaceDE w:val="0"/>
        <w:widowControl/>
        <w:spacing w:line="352" w:lineRule="exact" w:before="300" w:after="0"/>
        <w:ind w:left="262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32"/>
        </w:rPr>
        <w:t xml:space="preserve">5.2. Princípios de Interação e Feedback </w:t>
      </w:r>
    </w:p>
    <w:p>
      <w:pPr>
        <w:autoSpaceDN w:val="0"/>
        <w:autoSpaceDE w:val="0"/>
        <w:widowControl/>
        <w:spacing w:line="276" w:lineRule="exact" w:before="276" w:after="0"/>
        <w:ind w:left="262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Para o "Guia Interativo de Preservação Local", foram aplicados conceitos fundamentais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 IHC: </w:t>
      </w:r>
    </w:p>
    <w:p>
      <w:pPr>
        <w:autoSpaceDN w:val="0"/>
        <w:tabs>
          <w:tab w:pos="982" w:val="left"/>
        </w:tabs>
        <w:autoSpaceDE w:val="0"/>
        <w:widowControl/>
        <w:spacing w:line="296" w:lineRule="exact" w:before="238" w:after="0"/>
        <w:ind w:left="622" w:right="144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Visibilidade do Sistema: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O mapa destaca visualmente a região onde o cursor está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posicionado, indicando claramente qual bioma está a ser consultado. </w:t>
      </w:r>
    </w:p>
    <w:p>
      <w:pPr>
        <w:autoSpaceDN w:val="0"/>
        <w:tabs>
          <w:tab w:pos="982" w:val="left"/>
        </w:tabs>
        <w:autoSpaceDE w:val="0"/>
        <w:widowControl/>
        <w:spacing w:line="276" w:lineRule="exact" w:before="0" w:after="0"/>
        <w:ind w:left="622" w:right="144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Feedback Imediato: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Ao passar o mouse (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hover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), um painel de informações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(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sidecard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ou pop-up) surge instantaneamente. Esta resposta imediata do sistema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confirma ao utilizador que a sua ação foi reconhecida. </w:t>
      </w:r>
    </w:p>
    <w:p>
      <w:pPr>
        <w:autoSpaceDN w:val="0"/>
        <w:tabs>
          <w:tab w:pos="982" w:val="left"/>
        </w:tabs>
        <w:autoSpaceDE w:val="0"/>
        <w:widowControl/>
        <w:spacing w:line="276" w:lineRule="exact" w:before="0" w:after="0"/>
        <w:ind w:left="622" w:right="144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Affordance: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Os elementos interativos do mapa possuem dicas visuais (como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mudanças de cor ou sombras) que sugerem a possibilidade de clique ou interação,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tornando a navegação intuitiva. </w:t>
      </w:r>
    </w:p>
    <w:p>
      <w:pPr>
        <w:autoSpaceDN w:val="0"/>
        <w:autoSpaceDE w:val="0"/>
        <w:widowControl/>
        <w:spacing w:line="354" w:lineRule="exact" w:before="298" w:after="0"/>
        <w:ind w:left="262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32"/>
        </w:rPr>
        <w:t xml:space="preserve">5.3. Identidade Visual e Psicologia das Cores </w:t>
      </w:r>
    </w:p>
    <w:p>
      <w:pPr>
        <w:autoSpaceDN w:val="0"/>
        <w:autoSpaceDE w:val="0"/>
        <w:widowControl/>
        <w:spacing w:line="266" w:lineRule="exact" w:before="286" w:after="0"/>
        <w:ind w:left="26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 paleta de cores foi selecionada estrategicamente para reforçar a temática do projeto: </w:t>
      </w:r>
    </w:p>
    <w:p>
      <w:pPr>
        <w:autoSpaceDN w:val="0"/>
        <w:tabs>
          <w:tab w:pos="982" w:val="left"/>
        </w:tabs>
        <w:autoSpaceDE w:val="0"/>
        <w:widowControl/>
        <w:spacing w:line="298" w:lineRule="exact" w:before="234" w:after="0"/>
        <w:ind w:left="622" w:right="144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Verdes (Tons de Floresta):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Cor predominante, utilizada para evocar a natureza,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vitalidade e a necessidade de preservação. </w:t>
      </w:r>
    </w:p>
    <w:p>
      <w:pPr>
        <w:autoSpaceDN w:val="0"/>
        <w:tabs>
          <w:tab w:pos="982" w:val="left"/>
        </w:tabs>
        <w:autoSpaceDE w:val="0"/>
        <w:widowControl/>
        <w:spacing w:line="276" w:lineRule="exact" w:before="0" w:after="0"/>
        <w:ind w:left="622" w:right="144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Tons Terrosos e Castanhos: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Utilizados em menus e fundos para representar o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solo e a estabilidade, criando um contraste natural com os ícones da fauna. </w:t>
      </w:r>
    </w:p>
    <w:p>
      <w:pPr>
        <w:autoSpaceDN w:val="0"/>
        <w:tabs>
          <w:tab w:pos="982" w:val="left"/>
        </w:tabs>
        <w:autoSpaceDE w:val="0"/>
        <w:widowControl/>
        <w:spacing w:line="276" w:lineRule="exact" w:before="0" w:after="0"/>
        <w:ind w:left="622" w:right="144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Cores de Alerta (Laranja e Vermelho):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Aplicadas especificamente nas secções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 "Riscos Ambientais" para captar a atenção do utilizador sobre a urgência das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ameaças de desmatamento e caça ilegal. </w:t>
      </w:r>
    </w:p>
    <w:p>
      <w:pPr>
        <w:autoSpaceDN w:val="0"/>
        <w:tabs>
          <w:tab w:pos="982" w:val="left"/>
        </w:tabs>
        <w:autoSpaceDE w:val="0"/>
        <w:widowControl/>
        <w:spacing w:line="276" w:lineRule="exact" w:before="0" w:after="0"/>
        <w:ind w:left="622" w:right="144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Tipografia: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Seguindo as normas da ABNT e critérios de legibilidade, utilizou-se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 fonte [Arial/Times New Roman], garantindo clareza na leitura de dados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científicos sobre as espécies. </w:t>
      </w:r>
    </w:p>
    <w:p>
      <w:pPr>
        <w:sectPr>
          <w:pgSz w:w="11906" w:h="16838"/>
          <w:pgMar w:top="714" w:right="1440" w:bottom="103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0"/>
        <w:ind w:left="0" w:right="0"/>
      </w:pPr>
    </w:p>
    <w:p>
      <w:pPr>
        <w:autoSpaceDN w:val="0"/>
        <w:autoSpaceDE w:val="0"/>
        <w:widowControl/>
        <w:spacing w:line="274" w:lineRule="exact" w:before="0" w:after="0"/>
        <w:ind w:left="262" w:right="20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Para validar os conceitos de IHC discutidos, foi desenvolvido um protótipo inicial (Figura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1) que demonstra a disposição dos elementos na tela. O mapa ocupa a área central,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permitindo que o usuário identifique os biomas, enquanto as informações detalhadas são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exibidas em um painel lateral, garantindo que o usuário não perca o contexto visual da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navegação. </w:t>
      </w:r>
    </w:p>
    <w:p>
      <w:pPr>
        <w:autoSpaceDN w:val="0"/>
        <w:autoSpaceDE w:val="0"/>
        <w:widowControl/>
        <w:spacing w:line="240" w:lineRule="auto" w:before="28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398770" cy="36004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877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66" w:lineRule="exact" w:before="286" w:after="0"/>
        <w:ind w:left="0" w:right="0" w:firstLine="0"/>
        <w:jc w:val="center"/>
      </w:pP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Figura 1: Protótipo de baixa fidelidade da plataforma de educação ambiental com foco </w:t>
      </w:r>
    </w:p>
    <w:p>
      <w:pPr>
        <w:autoSpaceDN w:val="0"/>
        <w:autoSpaceDE w:val="0"/>
        <w:widowControl/>
        <w:spacing w:line="266" w:lineRule="exact" w:before="32" w:after="0"/>
        <w:ind w:left="0" w:right="0" w:firstLine="0"/>
        <w:jc w:val="center"/>
      </w:pP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em biomas brasileiros. </w:t>
      </w:r>
    </w:p>
    <w:p>
      <w:pPr>
        <w:autoSpaceDN w:val="0"/>
        <w:autoSpaceDE w:val="0"/>
        <w:widowControl/>
        <w:spacing w:line="354" w:lineRule="exact" w:before="320" w:after="0"/>
        <w:ind w:left="262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32"/>
        </w:rPr>
        <w:t xml:space="preserve">5.4. Acessibilidade e Responsividade </w:t>
      </w:r>
    </w:p>
    <w:p>
      <w:pPr>
        <w:autoSpaceDN w:val="0"/>
        <w:autoSpaceDE w:val="0"/>
        <w:widowControl/>
        <w:spacing w:line="276" w:lineRule="exact" w:before="276" w:after="0"/>
        <w:ind w:left="262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Em conformidade com a ética e cidadania digital, a plataforma foi planeada para ser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inclusiva: </w:t>
      </w:r>
    </w:p>
    <w:p>
      <w:pPr>
        <w:autoSpaceDN w:val="0"/>
        <w:tabs>
          <w:tab w:pos="982" w:val="left"/>
        </w:tabs>
        <w:autoSpaceDE w:val="0"/>
        <w:widowControl/>
        <w:spacing w:line="286" w:lineRule="exact" w:before="250" w:after="0"/>
        <w:ind w:left="622" w:right="144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Responsividade: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O layout adapta-se a diferentes resoluções de ecrã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(computadores, tablets e smartphones). Em dispositivos táteis, o evento de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hover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é convertido automaticamente para um toque simples. </w:t>
      </w:r>
    </w:p>
    <w:p>
      <w:pPr>
        <w:autoSpaceDN w:val="0"/>
        <w:tabs>
          <w:tab w:pos="982" w:val="left"/>
        </w:tabs>
        <w:autoSpaceDE w:val="0"/>
        <w:widowControl/>
        <w:spacing w:line="276" w:lineRule="exact" w:before="0" w:after="0"/>
        <w:ind w:left="622" w:right="144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Acessibilidade: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Prevê-se a utilização de etiquetas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Alt Text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em todas as imagens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 espécies (como a Arara-azul e a Onça-pintada), permitindo que softwares de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leitura de ecrã descrevam o conteúdo para utilizadores com deficiência visual. </w:t>
      </w:r>
    </w:p>
    <w:p>
      <w:pPr>
        <w:sectPr>
          <w:pgSz w:w="11906" w:h="16838"/>
          <w:pgMar w:top="71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4"/>
        <w:ind w:left="0" w:right="0"/>
      </w:pPr>
    </w:p>
    <w:p>
      <w:pPr>
        <w:autoSpaceDN w:val="0"/>
        <w:autoSpaceDE w:val="0"/>
        <w:widowControl/>
        <w:spacing w:line="400" w:lineRule="exact" w:before="0" w:after="0"/>
        <w:ind w:left="262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36"/>
        </w:rPr>
        <w:t xml:space="preserve">6. METODOLOGIA ÁGIL (SCRUM) </w:t>
      </w:r>
    </w:p>
    <w:p>
      <w:pPr>
        <w:autoSpaceDN w:val="0"/>
        <w:autoSpaceDE w:val="0"/>
        <w:widowControl/>
        <w:spacing w:line="276" w:lineRule="exact" w:before="310" w:after="0"/>
        <w:ind w:left="262" w:right="20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Para a viabilização deste projeto dentro do cronograma acadêmico, foi adotada 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metodologia ágil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Scrum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. O uso do Scrum, mesmo em um cenário de desenvolvimento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individual, justifica-se pela necessidade de manter um fluxo de trabalho constante,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priorizar funcionalidades críticas (como o mapa interativo) e garantir a entrega de um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produto de alta qualidade. </w:t>
      </w:r>
    </w:p>
    <w:p>
      <w:pPr>
        <w:autoSpaceDN w:val="0"/>
        <w:autoSpaceDE w:val="0"/>
        <w:widowControl/>
        <w:spacing w:line="352" w:lineRule="exact" w:before="300" w:after="0"/>
        <w:ind w:left="262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32"/>
        </w:rPr>
        <w:t xml:space="preserve">6.1. Estrutura de Planejamento no Notion </w:t>
      </w:r>
    </w:p>
    <w:p>
      <w:pPr>
        <w:autoSpaceDN w:val="0"/>
        <w:autoSpaceDE w:val="0"/>
        <w:widowControl/>
        <w:spacing w:line="276" w:lineRule="exact" w:before="276" w:after="0"/>
        <w:ind w:left="262" w:right="20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 organização de todas as etapas foi centralizada na ferramenta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Notion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, que serviu como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 centro de comando do projeto. Através dela, foi possível estruturar desde 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fundamentação teórica até o checklist de requisitos técnicos e visuais. </w:t>
      </w:r>
    </w:p>
    <w:p>
      <w:pPr>
        <w:autoSpaceDN w:val="0"/>
        <w:autoSpaceDE w:val="0"/>
        <w:widowControl/>
        <w:spacing w:line="240" w:lineRule="auto" w:before="28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398770" cy="286892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8770" cy="28689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66" w:lineRule="exact" w:before="18" w:after="0"/>
        <w:ind w:left="0" w:right="0" w:firstLine="0"/>
        <w:jc w:val="center"/>
      </w:pPr>
      <w:r>
        <w:rPr>
          <w:rFonts w:ascii="TimesNewRomanPS" w:hAnsi="TimesNewRomanPS" w:eastAsia="TimesNewRomanPS"/>
          <w:b w:val="0"/>
          <w:i/>
          <w:color w:val="000000"/>
          <w:sz w:val="24"/>
        </w:rPr>
        <w:t>Figura 2: Visão geral do painel de planejamento do projeto no Notion.</w:t>
      </w:r>
    </w:p>
    <w:p>
      <w:pPr>
        <w:autoSpaceDN w:val="0"/>
        <w:autoSpaceDE w:val="0"/>
        <w:widowControl/>
        <w:spacing w:line="354" w:lineRule="exact" w:before="298" w:after="0"/>
        <w:ind w:left="262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32"/>
        </w:rPr>
        <w:t xml:space="preserve">6.2. Gestão Visual com Quadro Kanban </w:t>
      </w:r>
    </w:p>
    <w:p>
      <w:pPr>
        <w:autoSpaceDN w:val="0"/>
        <w:autoSpaceDE w:val="0"/>
        <w:widowControl/>
        <w:spacing w:line="276" w:lineRule="exact" w:before="276" w:after="0"/>
        <w:ind w:left="262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 execução das tarefas foi monitorada através de um quadro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Kanban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. Este método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permitiu a visualização clara do status de cada atividade através das colunas: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Backlog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(Tarefas pendentes),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To Do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(A fazer),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Doing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(Em andamento) e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Done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(Concluído). Essa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transparência visual foi essencial para evitar gargalos no desenvolvimento do software 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da documentação. </w:t>
      </w:r>
    </w:p>
    <w:p>
      <w:pPr>
        <w:sectPr>
          <w:pgSz w:w="11906" w:h="16838"/>
          <w:pgMar w:top="714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8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398770" cy="286893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8770" cy="28689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76" w:lineRule="exact" w:before="6" w:after="0"/>
        <w:ind w:left="288" w:right="288" w:firstLine="0"/>
        <w:jc w:val="center"/>
      </w:pP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Figura Y: Quadro Kanban demonstrando a evolução das tarefas e o fluxo de trabalho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ágil.</w:t>
      </w:r>
    </w:p>
    <w:p>
      <w:pPr>
        <w:autoSpaceDN w:val="0"/>
        <w:autoSpaceDE w:val="0"/>
        <w:widowControl/>
        <w:spacing w:line="354" w:lineRule="exact" w:before="300" w:after="0"/>
        <w:ind w:left="262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32"/>
        </w:rPr>
        <w:t xml:space="preserve">6.3. Planejamento de Sprints e Backlog </w:t>
      </w:r>
    </w:p>
    <w:p>
      <w:pPr>
        <w:autoSpaceDN w:val="0"/>
        <w:autoSpaceDE w:val="0"/>
        <w:widowControl/>
        <w:spacing w:line="276" w:lineRule="exact" w:before="276" w:after="0"/>
        <w:ind w:left="262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 projeto foi dividido em três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Sprints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principais, cada uma com um objetivo específico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(Concepção, Desenvolvimento e Documentação Final). O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Product Backlog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foi detalhado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para garantir que tanto os requisitos funcionais quanto os critérios de Interface Humano-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Computador fossem atendidos rigorosamente. </w:t>
      </w:r>
    </w:p>
    <w:p>
      <w:pPr>
        <w:autoSpaceDN w:val="0"/>
        <w:autoSpaceDE w:val="0"/>
        <w:widowControl/>
        <w:spacing w:line="240" w:lineRule="auto" w:before="28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398770" cy="286892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8770" cy="28689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66" w:lineRule="exact" w:before="20" w:after="0"/>
        <w:ind w:left="0" w:right="0" w:firstLine="0"/>
        <w:jc w:val="center"/>
      </w:pPr>
      <w:r>
        <w:rPr>
          <w:rFonts w:ascii="TimesNewRomanPS" w:hAnsi="TimesNewRomanPS" w:eastAsia="TimesNewRomanPS"/>
          <w:b w:val="0"/>
          <w:i/>
          <w:color w:val="000000"/>
          <w:sz w:val="24"/>
        </w:rPr>
        <w:t>Figura 3: Cronograma de Sprints e detalhamento dos entregáveis por ciclo.</w:t>
      </w:r>
    </w:p>
    <w:p>
      <w:pPr>
        <w:autoSpaceDN w:val="0"/>
        <w:autoSpaceDE w:val="0"/>
        <w:widowControl/>
        <w:spacing w:line="352" w:lineRule="exact" w:before="298" w:after="0"/>
        <w:ind w:left="262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32"/>
        </w:rPr>
        <w:t xml:space="preserve">6.4. Diretrizes de IHC e Documentação </w:t>
      </w:r>
    </w:p>
    <w:p>
      <w:pPr>
        <w:autoSpaceDN w:val="0"/>
        <w:autoSpaceDE w:val="0"/>
        <w:widowControl/>
        <w:spacing w:line="276" w:lineRule="exact" w:before="276" w:after="0"/>
        <w:ind w:left="262" w:right="206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Para assegurar a interdisciplinaridade, foram criados checklists específicos para as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normas de IHC e a estrutura do documento final, garantindo que o trabalho atingisse 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densidade de conteúdo exigida e respeitasse as normas da ABNT. </w:t>
      </w:r>
    </w:p>
    <w:p>
      <w:pPr>
        <w:sectPr>
          <w:pgSz w:w="11906" w:h="16838"/>
          <w:pgMar w:top="710" w:right="1440" w:bottom="73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8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398770" cy="286893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8770" cy="28689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66" w:lineRule="exact" w:before="16" w:after="0"/>
        <w:ind w:left="0" w:right="0" w:firstLine="0"/>
        <w:jc w:val="center"/>
      </w:pPr>
      <w:r>
        <w:rPr>
          <w:rFonts w:ascii="TimesNewRomanPS" w:hAnsi="TimesNewRomanPS" w:eastAsia="TimesNewRomanPS"/>
          <w:b w:val="0"/>
          <w:i/>
          <w:color w:val="000000"/>
          <w:sz w:val="24"/>
        </w:rPr>
        <w:t>Figura 4: Checklist de diretrizes de IHC e estrutura lógica da documentação final.</w:t>
      </w:r>
    </w:p>
    <w:p>
      <w:pPr>
        <w:sectPr>
          <w:pgSz w:w="11906" w:h="16838"/>
          <w:pgMar w:top="71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"/>
        <w:ind w:left="0" w:right="0"/>
      </w:pPr>
    </w:p>
    <w:p>
      <w:pPr>
        <w:autoSpaceDN w:val="0"/>
        <w:tabs>
          <w:tab w:pos="734" w:val="left"/>
          <w:tab w:pos="1268" w:val="left"/>
        </w:tabs>
        <w:autoSpaceDE w:val="0"/>
        <w:widowControl/>
        <w:spacing w:line="280" w:lineRule="exact" w:before="5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================================================================================</w:t>
      </w:r>
      <w:r>
        <w:tab/>
      </w:r>
      <w:r>
        <w:tab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PROJETO E DESENVOLVIMENTO I (PD-I)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GEOBIOMA: VISUALIZAÇÃO INTERATIVA DE ECOSSISTEMAS MUNDIAIS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================================================================================</w:t>
      </w:r>
    </w:p>
    <w:p>
      <w:pPr>
        <w:autoSpaceDN w:val="0"/>
        <w:autoSpaceDE w:val="0"/>
        <w:widowControl/>
        <w:spacing w:line="330" w:lineRule="exact" w:before="23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7. CONCLUSÃO (CONSIDERAÇÕES FINAIS)</w:t>
      </w:r>
    </w:p>
    <w:p>
      <w:pPr>
        <w:autoSpaceDN w:val="0"/>
        <w:autoSpaceDE w:val="0"/>
        <w:widowControl/>
        <w:spacing w:line="280" w:lineRule="exact" w:before="280" w:after="0"/>
        <w:ind w:left="0" w:right="1728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O desenvolvimento da plataforma Geobioma representou uma oportunidade ímpar de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integrar conhecimentos teóricos de Engenharia de Requisitos, Interface Humano-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Computador (IHC), Design Responsivo e Desenvolvimento Web em um projeto de forte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cunho social e educativo. A plataforma cumpre com sucesso o papel de guia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pedagógico e interativo proposto, aproximando estudantes e entusiastas da causa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ambiental da riqueza biológica global e dos riscos urgentes enfrentados pelos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principais ecossistemas do planeta.</w:t>
      </w:r>
    </w:p>
    <w:p>
      <w:pPr>
        <w:autoSpaceDN w:val="0"/>
        <w:autoSpaceDE w:val="0"/>
        <w:widowControl/>
        <w:spacing w:line="280" w:lineRule="exact" w:before="280" w:after="0"/>
        <w:ind w:left="0" w:right="1872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Através do uso da biblioteca D3.js e da modelagem de dados geográficos (GeoJSON),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foi possível implementar um mapa-múndi dinâmico que responde de forma fluida a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interações do usuário. A aplicação prática dos dez biomas e o mapeamento de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ameaças ambientais específicas por região materializam os conceitos de visibilidade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do sistema e feedback imediato discutidos na literatura de IHC.</w:t>
      </w:r>
    </w:p>
    <w:p>
      <w:pPr>
        <w:autoSpaceDN w:val="0"/>
        <w:autoSpaceDE w:val="0"/>
        <w:widowControl/>
        <w:spacing w:line="280" w:lineRule="exact" w:before="280" w:after="0"/>
        <w:ind w:left="0" w:right="2448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 ponto de vista do aprendizado técnico, o projeto consolidou a importância de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planejar e implementar acessibilidade digital desde as primeiras fases do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ciclo de vida do software. A inclusão de múltiplos canais de interação (teclado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e mouse), controles de escala de fonte, suporte ao modo de alto contraste para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baixa visão e foco guiado nos modais evidenciam que a tecnologia pode e deve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ser projetada de forma inclusiva, eliminando barreiras para usuários com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diferentes necessidades ou graus de literacia digital.</w:t>
      </w:r>
    </w:p>
    <w:p>
      <w:pPr>
        <w:autoSpaceDN w:val="0"/>
        <w:autoSpaceDE w:val="0"/>
        <w:widowControl/>
        <w:spacing w:line="330" w:lineRule="exact" w:before="51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7.1. Limitações do Projeto</w:t>
      </w:r>
    </w:p>
    <w:p>
      <w:pPr>
        <w:autoSpaceDN w:val="0"/>
        <w:autoSpaceDE w:val="0"/>
        <w:widowControl/>
        <w:spacing w:line="280" w:lineRule="exact" w:before="280" w:after="0"/>
        <w:ind w:left="0" w:right="1728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Embora o Geobioma atenda plenamente aos objetivos estabelecidos para o escopo de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PD-I, algumas limitações técnicas e de usabilidade foram identificadas no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protótipo atual:</w:t>
      </w:r>
    </w:p>
    <w:p>
      <w:pPr>
        <w:autoSpaceDN w:val="0"/>
        <w:tabs>
          <w:tab w:pos="134" w:val="left"/>
        </w:tabs>
        <w:autoSpaceDE w:val="0"/>
        <w:widowControl/>
        <w:spacing w:line="280" w:lineRule="exact" w:before="280" w:after="0"/>
        <w:ind w:left="0" w:right="2448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1. Heurística Simplificada de Biomas: A atribuição de biomas para países não</w:t>
      </w:r>
      <w:r>
        <w:tab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catalogados manualmente no banco de dados baseia-se em faixas latitudinais.</w:t>
      </w:r>
    </w:p>
    <w:p>
      <w:pPr>
        <w:autoSpaceDN w:val="0"/>
        <w:autoSpaceDE w:val="0"/>
        <w:widowControl/>
        <w:spacing w:line="280" w:lineRule="exact" w:before="50" w:after="0"/>
        <w:ind w:left="134" w:right="2592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Embora seja eficaz globalmente, essa lógica falha em capturar biomas muito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específicos de microclima ou zonas de transição ecológica complexas.</w:t>
      </w:r>
    </w:p>
    <w:p>
      <w:pPr>
        <w:autoSpaceDN w:val="0"/>
        <w:autoSpaceDE w:val="0"/>
        <w:widowControl/>
        <w:spacing w:line="280" w:lineRule="exact" w:before="50" w:after="0"/>
        <w:ind w:left="134" w:right="2160" w:hanging="134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2. Dependência de Conexão à Internet: A renderização do mapa depende da carga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de bibliotecas D3.js e fontes tipográficas do Google Fonts hospedadas em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servidores externos (CDNs).</w:t>
      </w:r>
    </w:p>
    <w:p>
      <w:pPr>
        <w:autoSpaceDN w:val="0"/>
        <w:tabs>
          <w:tab w:pos="134" w:val="left"/>
        </w:tabs>
        <w:autoSpaceDE w:val="0"/>
        <w:widowControl/>
        <w:spacing w:line="280" w:lineRule="exact" w:before="50" w:after="0"/>
        <w:ind w:left="0" w:right="216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3. Persistência de Dados Local: Toda a base de dados de biomas, animais e</w:t>
      </w:r>
      <w:r>
        <w:tab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países é estruturada de forma estática no arquivo cliente (script.js). A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ausência de uma API ou banco de dados relacional backend impede a expansão</w:t>
      </w:r>
      <w:r>
        <w:tab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em larga escala do conteúdo ou a edição dos dados por outros colaboradores.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4. Ausência de Validação de Campo Real: A interface foi exaustivamente testada</w:t>
      </w:r>
      <w:r>
        <w:tab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por meio de testes simulados e ferramentas de acessibilidade, porém ainda</w:t>
      </w:r>
      <w:r>
        <w:tab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não passou por sessões formais de teste de usabilidade em laboratório com o</w:t>
      </w:r>
      <w:r>
        <w:tab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público-alvo primário (estudantes do ensino básico e secundário).</w:t>
      </w:r>
    </w:p>
    <w:p>
      <w:pPr>
        <w:autoSpaceDN w:val="0"/>
        <w:autoSpaceDE w:val="0"/>
        <w:widowControl/>
        <w:spacing w:line="330" w:lineRule="exact" w:before="51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7.2. Trabalhos Futuros</w:t>
      </w:r>
    </w:p>
    <w:p>
      <w:pPr>
        <w:sectPr>
          <w:pgSz w:w="11906" w:h="16838"/>
          <w:pgMar w:top="272" w:right="0" w:bottom="562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"/>
        <w:ind w:left="0" w:right="0"/>
      </w:pPr>
    </w:p>
    <w:p>
      <w:pPr>
        <w:autoSpaceDN w:val="0"/>
        <w:autoSpaceDE w:val="0"/>
        <w:widowControl/>
        <w:spacing w:line="280" w:lineRule="exact" w:before="50" w:after="0"/>
        <w:ind w:left="0" w:right="2016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Para a continuidade da pesquisa e evolução tecnológica da plataforma, propõem-se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os seguintes tópicos de desenvolvimento futuro:</w:t>
      </w:r>
    </w:p>
    <w:p>
      <w:pPr>
        <w:autoSpaceDN w:val="0"/>
        <w:autoSpaceDE w:val="0"/>
        <w:widowControl/>
        <w:spacing w:line="280" w:lineRule="exact" w:before="280" w:after="0"/>
        <w:ind w:left="134" w:right="1872" w:hanging="134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1. Banco de Dados Dinâmico e API: Migração dos dados locais para um banco de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dados relacional (como PostgreSQL) ou NoSQL (como MongoDB) e criação de uma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API RESTful para alimentar a interface do mapa em tempo real.</w:t>
      </w:r>
    </w:p>
    <w:p>
      <w:pPr>
        <w:autoSpaceDN w:val="0"/>
        <w:autoSpaceDE w:val="0"/>
        <w:widowControl/>
        <w:spacing w:line="280" w:lineRule="exact" w:before="50" w:after="0"/>
        <w:ind w:left="134" w:right="2592" w:hanging="134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2. Integração com Dados de Monitoramento Ambiental: Conectar o mapa do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Geobioma a feeds de dados em tempo real, como focos de incêndio florestal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(API do INPE), desmatamento por imagens de satélite ou anomalias térmicas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oceânicas (dados do Sentinel/Copernicus ou NOAA).</w:t>
      </w:r>
    </w:p>
    <w:p>
      <w:pPr>
        <w:autoSpaceDN w:val="0"/>
        <w:autoSpaceDE w:val="0"/>
        <w:widowControl/>
        <w:spacing w:line="280" w:lineRule="exact" w:before="50" w:after="0"/>
        <w:ind w:left="134" w:right="2736" w:hanging="134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3. Mecanismos de Gamificação: Desenvolver um quiz interativo baseado nas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ameaças e boas práticas estudadas, com liberação de conquistas (badges)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e pontuações para elevar o engajamento de alunos em sala de aula.</w:t>
      </w:r>
    </w:p>
    <w:p>
      <w:pPr>
        <w:autoSpaceDN w:val="0"/>
        <w:autoSpaceDE w:val="0"/>
        <w:widowControl/>
        <w:spacing w:line="280" w:lineRule="exact" w:before="50" w:after="0"/>
        <w:ind w:left="134" w:right="2592" w:hanging="134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4. Testes com Usuários Reais: Realizar estudos empíricos e observacionais em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escolas locais para avaliar a curva de aprendizado, a satisfação do usuário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e recolher métricas quantitativas de IHC (taxa de sucesso nas tarefas, tempo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de execução e satisfação SUS).</w:t>
      </w:r>
    </w:p>
    <w:p>
      <w:pPr>
        <w:autoSpaceDN w:val="0"/>
        <w:autoSpaceDE w:val="0"/>
        <w:widowControl/>
        <w:spacing w:line="280" w:lineRule="exact" w:before="50" w:after="0"/>
        <w:ind w:left="134" w:right="2736" w:hanging="134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5. Expansão do Catálogo Ecológico: Inclusão de dados florísticos detalhados,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indicações de parques nacionais para visitação e guias de reflorestamento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locais integrados.</w:t>
      </w:r>
    </w:p>
    <w:p>
      <w:pPr>
        <w:autoSpaceDN w:val="0"/>
        <w:autoSpaceDE w:val="0"/>
        <w:widowControl/>
        <w:spacing w:line="330" w:lineRule="exact" w:before="23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================================================================================</w:t>
      </w:r>
    </w:p>
    <w:p>
      <w:pPr>
        <w:autoSpaceDN w:val="0"/>
        <w:autoSpaceDE w:val="0"/>
        <w:widowControl/>
        <w:spacing w:line="330" w:lineRule="exact" w:before="23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8. REFERÊNCIAS BIBLIOGRÁFICAS</w:t>
      </w:r>
    </w:p>
    <w:p>
      <w:pPr>
        <w:autoSpaceDN w:val="0"/>
        <w:autoSpaceDE w:val="0"/>
        <w:widowControl/>
        <w:spacing w:line="280" w:lineRule="exact" w:before="280" w:after="0"/>
        <w:ind w:left="0" w:right="216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BRASIL. Lei nº 9.795, de 27 de abril de 1999. Dispõe sobre a educação ambiental,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institui a Política Nacional de Educação Ambiental e dá outras providências.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Diário Oficial da União, Brasília, DF, 28 abr. 1999.</w:t>
      </w:r>
    </w:p>
    <w:p>
      <w:pPr>
        <w:autoSpaceDN w:val="0"/>
        <w:autoSpaceDE w:val="0"/>
        <w:widowControl/>
        <w:spacing w:line="280" w:lineRule="exact" w:before="280" w:after="0"/>
        <w:ind w:left="0" w:right="1008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SHNEIDERMAN, Ben; PLAISANT, Catherine; COHEN, Maxine; JACOBS, Steven; ELMQVIST,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Niklas. Designing the User Interface: Strategies for Effective Human-Computer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Interaction. 6. ed. Boston: Pearson, 2016.</w:t>
      </w:r>
    </w:p>
    <w:p>
      <w:pPr>
        <w:autoSpaceDN w:val="0"/>
        <w:autoSpaceDE w:val="0"/>
        <w:widowControl/>
        <w:spacing w:line="280" w:lineRule="exact" w:before="280" w:after="0"/>
        <w:ind w:left="0" w:right="1728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W3C. Web Content Accessibility Guidelines (WCAG) 2.1. W3C Recommendation, 2018.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Disponível em: &lt;https://www.w3.org/TR/WCAG21/&gt;. Acesso em: 21 mai. 2026.</w:t>
      </w:r>
    </w:p>
    <w:p>
      <w:pPr>
        <w:autoSpaceDN w:val="0"/>
        <w:autoSpaceDE w:val="0"/>
        <w:widowControl/>
        <w:spacing w:line="280" w:lineRule="exact" w:before="280" w:after="0"/>
        <w:ind w:left="0" w:right="2448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CYBIS, Walter de Abreu; BETIOL, Adriana Holtz; FAUST, Richard. Ergonomia e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Usabilidade: Conhecimentos Básicos e Aplicações. 3. ed. São Paulo: Novatec,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2015.</w:t>
      </w:r>
    </w:p>
    <w:p>
      <w:pPr>
        <w:autoSpaceDN w:val="0"/>
        <w:autoSpaceDE w:val="0"/>
        <w:widowControl/>
        <w:spacing w:line="280" w:lineRule="exact" w:before="280" w:after="0"/>
        <w:ind w:left="0" w:right="3168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ISO 9241-11. Ergonomic requirements for office work with visual display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terminals (VDTs) -- Part 11: Guidance on usability. Genebra: International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Organization for Standardization, 2018.</w:t>
      </w:r>
    </w:p>
    <w:p>
      <w:pPr>
        <w:autoSpaceDN w:val="0"/>
        <w:autoSpaceDE w:val="0"/>
        <w:widowControl/>
        <w:spacing w:line="330" w:lineRule="exact" w:before="23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WIKIMEDIA COMMONS. Acervo público de imagens sob licença Creative Commons.</w:t>
      </w: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Disponível em: &lt;https://commons.wikimedia.org/&gt;. Acesso em: 21 mai. 2026.</w:t>
      </w: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================================================================================</w:t>
      </w:r>
    </w:p>
    <w:sectPr w:rsidR="00FC693F" w:rsidRPr="0006063C" w:rsidSect="00034616">
      <w:pgSz w:w="11906" w:h="16838"/>
      <w:pgMar w:top="272" w:right="0" w:bottom="1440" w:left="8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