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Revenue for 2025 was USD 100 million.</w:t>
      </w:r>
    </w:p>
    <w:sectPr/>
  </w:body>
</w:document>
</file>