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 scan this QR Code to view this Red Herring Mcdonald-Bird)</w:t>
      </w:r>
      <w:r>
        <w:rPr>
          <w:i w:val="1"/>
          <w:iCs w:val="1"/>
          <w:spacing w:val="-5"/>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it-IT"/>
        </w:rPr>
      </w:r>
      <w:r>
        <w:rPr>
          <w:i w:val="1"/>
          <w:iCs w:val="1"/>
          <w:spacing w:val="-5"/>
          <w:sz w:val="20"/>
          <w:szCs w:val="20"/>
          <w:rtl w:val="0"/>
        </w:rPr>
      </w:r>
      <w:r>
        <w:rPr>
          <w:i w:val="1"/>
          <w:iCs w:val="1"/>
          <w:sz w:val="20"/>
          <w:szCs w:val="20"/>
          <w:rtl w:val="0"/>
        </w:rPr>
      </w:r>
      <w:r>
        <w:rPr>
          <w:i w:val="1"/>
          <w:iCs w:val="1"/>
          <w:spacing w:val="-5"/>
          <w:sz w:val="20"/>
          <w:szCs w:val="20"/>
          <w:rtl w:val="0"/>
        </w:rPr>
      </w:r>
      <w:r>
        <w:rPr>
          <w:i w:val="1"/>
          <w:iCs w:val="1"/>
          <w:sz w:val="20"/>
          <w:szCs w:val="20"/>
          <w:rtl w:val="0"/>
        </w:rPr>
      </w:r>
      <w:r>
        <w:rPr>
          <w:i w:val="1"/>
          <w:iCs w:val="1"/>
          <w:spacing w:val="-7"/>
          <w:sz w:val="20"/>
          <w:szCs w:val="20"/>
          <w:rtl w:val="0"/>
        </w:rPr>
      </w:r>
      <w:r>
        <w:rPr>
          <w:i w:val="1"/>
          <w:iCs w:val="1"/>
          <w:sz w:val="20"/>
          <w:szCs w:val="20"/>
          <w:rtl w:val="0"/>
          <w:lang w:val="en-US"/>
        </w:rPr>
      </w:r>
      <w:r>
        <w:rPr>
          <w:i w:val="1"/>
          <w:iCs w:val="1"/>
          <w:spacing w:val="-7"/>
          <w:sz w:val="20"/>
          <w:szCs w:val="20"/>
          <w:rtl w:val="0"/>
        </w:rPr>
      </w:r>
      <w:r>
        <w:rPr>
          <w:i w:val="1"/>
          <w:iCs w:val="1"/>
          <w:sz w:val="20"/>
          <w:szCs w:val="20"/>
          <w:rtl w:val="0"/>
          <w:lang w:val="en-US"/>
        </w:rPr>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 [DOB]</w:t>
      </w:r>
      <w:r>
        <w:rPr>
          <w:spacing w:val="0"/>
          <w:rtl w:val="0"/>
          <w:lang w:val="en-US"/>
        </w:rPr>
      </w:r>
      <w:r>
        <w:rPr>
          <w:rtl w:val="0"/>
          <w:lang w:val="en-US"/>
        </w:rPr>
      </w:r>
      <w:r>
        <w:rPr>
          <w:spacing w:val="0"/>
          <w:rtl w:val="0"/>
          <w:lang w:val="en-US"/>
        </w:rPr>
      </w:r>
      <w:r>
        <w:rPr>
          <w:rtl w:val="0"/>
          <w:lang w:val="en-US"/>
        </w:rPr>
      </w:r>
      <w:r>
        <w:rPr>
          <w:spacing w:val="0"/>
          <w:rtl w:val="0"/>
          <w:lang w:val="en-US"/>
        </w:rPr>
      </w:r>
      <w:r>
        <w:rPr>
          <w:spacing w:val="0"/>
          <w:rtl w:val="0"/>
          <w:lang w:val="en-US"/>
        </w:rPr>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Graham Limited CORPORATE IDENTITY NUMBER: [CIN]</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E-MAIL</w:t>
            </w:r>
            <w:r>
              <w:rPr>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b w:val="1"/>
                <w:bCs w:val="1"/>
                <w:outline w:val="0"/>
                <w:color w:val="ffffff"/>
                <w:sz w:val="20"/>
                <w:szCs w:val="20"/>
                <w:u w:color="ffffff"/>
                <w:shd w:val="nil" w:color="auto" w:fill="auto"/>
                <w:rtl w:val="0"/>
                <w:lang w:val="en-US"/>
                <w14:textFill>
                  <w14:solidFill>
                    <w14:srgbClr w14:val="FFFFFF"/>
                  </w14:solidFill>
                </w14:textFill>
              </w:rPr>
              <w:t>AND</w:t>
            </w:r>
            <w:r>
              <w:rPr>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TELEPHONE</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Baird-Sanchez Amber Kidd - Khed Blevins-Ballard – 410 501</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Holmes-Mcintyre, India</w:t>
            </w:r>
            <w:r>
              <w:rPr>
                <w:spacing w:val="-7"/>
                <w:sz w:val="20"/>
                <w:szCs w:val="20"/>
                <w:shd w:val="nil" w:color="auto" w:fill="auto"/>
                <w:rtl w:val="0"/>
                <w:lang w:val="en-US"/>
              </w:rPr>
            </w:r>
            <w:r>
              <w:rPr>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 Cole Pierce And Bryan, Anderson Roberts And Gilmore, Off Pallod Farms, Baner Blevins-Ballard – 411 045</w:t>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63" w:right="50" w:firstLine="0"/>
              <w:jc w:val="center"/>
              <w:rPr>
                <w:rtl w:val="0"/>
              </w:rPr>
            </w:pPr>
            <w:r>
              <w:rPr>
                <w:sz w:val="20"/>
                <w:szCs w:val="20"/>
                <w:shd w:val="nil" w:color="auto" w:fill="auto"/>
                <w:rtl w:val="0"/>
                <w:lang w:val="en-US"/>
              </w:rPr>
              <w:t>Holmes-Mcintyre, India</w:t>
            </w:r>
            <w:r>
              <w:rPr>
                <w:spacing w:val="-7"/>
                <w:sz w:val="20"/>
                <w:szCs w:val="20"/>
                <w:shd w:val="nil" w:color="auto" w:fill="auto"/>
                <w:rtl w:val="0"/>
                <w:lang w:val="en-US"/>
              </w:rPr>
            </w:r>
            <w:r>
              <w:rPr>
                <w:spacing w:val="-1"/>
                <w:sz w:val="20"/>
                <w:szCs w:val="20"/>
                <w:shd w:val="nil" w:color="auto" w:fill="auto"/>
                <w:rtl w:val="0"/>
                <w:lang w:val="en-US"/>
              </w:rPr>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Tricia Valencia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douglas.keller@example.com Telephone: + 91 20 [DIN]</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KUSHAL SUBBAYYA HEGDE, PUSHPA KUSHAL HEGDE, RAJESH KUSHAL HEGDE, ROHIT KUSHAL HEGDE, RAKHI GIRIJA SHETTY, DHAULAGIRI FAMILY TRUST, EVEREST FAMILY TRUST, MAKALU 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BROAD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ANNAPURNA</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KANCHENJUNGA</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FAMILY</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TRUST</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WATERLOO</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INDUSTRIAL</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PARK</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VI</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PRIVATE</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LIMITED</w:t>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 Brown-Copeland of face value of ₹5 each aggregating   up   to</w:t>
            </w:r>
            <w:r>
              <w:rPr>
                <w:rStyle w:val="None"/>
                <w:sz w:val="20"/>
                <w:szCs w:val="20"/>
                <w:shd w:val="nil" w:color="auto" w:fill="auto"/>
                <w:rtl w:val="0"/>
                <w:lang w:val="en-US"/>
              </w:rPr>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z w:val="20"/>
                <w:szCs w:val="20"/>
                <w:shd w:val="nil" w:color="auto" w:fill="auto"/>
                <w:rtl w:val="0"/>
                <w:lang w:val="en-US"/>
              </w:rPr>
            </w:r>
            <w:r>
              <w:rPr>
                <w:rStyle w:val="None"/>
                <w:spacing w:val="7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  to  [●]  Kirby Wheeler And Romero</w:t>
            </w:r>
            <w:r>
              <w:rPr>
                <w:rStyle w:val="None"/>
                <w:spacing w:val="47"/>
                <w:sz w:val="20"/>
                <w:szCs w:val="20"/>
                <w:shd w:val="nil" w:color="auto" w:fill="auto"/>
                <w:rtl w:val="0"/>
                <w:lang w:val="en-US"/>
              </w:rPr>
            </w:r>
            <w:r>
              <w:rPr>
                <w:rStyle w:val="None"/>
                <w:sz w:val="20"/>
                <w:szCs w:val="20"/>
                <w:shd w:val="nil" w:color="auto" w:fill="auto"/>
                <w:rtl w:val="0"/>
                <w:lang w:val="en-US"/>
              </w:rPr>
            </w:r>
            <w:r>
              <w:rPr>
                <w:rStyle w:val="None"/>
                <w:spacing w:val="49"/>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4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 Brown-Copeland of face value of ₹5 each aggregating up to</w:t>
            </w:r>
            <w:r>
              <w:rPr>
                <w:rStyle w:val="None"/>
                <w:sz w:val="20"/>
                <w:szCs w:val="20"/>
                <w:shd w:val="nil" w:color="auto" w:fill="auto"/>
                <w:rtl w:val="0"/>
                <w:lang w:val="en-US"/>
              </w:rPr>
            </w:r>
            <w:r>
              <w:rPr>
                <w:rStyle w:val="None"/>
                <w:sz w:val="20"/>
                <w:szCs w:val="20"/>
                <w:shd w:val="nil" w:color="auto" w:fill="auto"/>
                <w:rtl w:val="0"/>
                <w:lang w:val="en-US"/>
              </w:rPr>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46"/>
                <w:sz w:val="20"/>
                <w:szCs w:val="20"/>
                <w:shd w:val="nil" w:color="auto" w:fill="auto"/>
                <w:rtl w:val="0"/>
                <w:lang w:val="en-US"/>
              </w:rPr>
            </w:r>
            <w:r>
              <w:rPr>
                <w:rStyle w:val="None"/>
                <w:sz w:val="20"/>
                <w:szCs w:val="20"/>
                <w:shd w:val="nil" w:color="auto" w:fill="auto"/>
                <w:rtl w:val="0"/>
                <w:lang w:val="en-US"/>
              </w:rPr>
            </w:r>
            <w:r>
              <w:rPr>
                <w:rStyle w:val="None"/>
                <w:spacing w:val="46"/>
                <w:sz w:val="20"/>
                <w:szCs w:val="20"/>
                <w:shd w:val="nil" w:color="auto" w:fill="auto"/>
                <w:rtl w:val="0"/>
                <w:lang w:val="en-US"/>
              </w:rPr>
            </w:r>
            <w:r>
              <w:rPr>
                <w:rStyle w:val="None"/>
                <w:spacing w:val="-5"/>
                <w:sz w:val="20"/>
                <w:szCs w:val="20"/>
                <w:shd w:val="nil" w:color="auto" w:fill="auto"/>
                <w:rtl w:val="0"/>
                <w:lang w:val="en-US"/>
              </w:rPr>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Diaz Inc (Issue of Capital and Disclosure Requirements) Regulations, 2018 (“SEBI ICDR Regulations”). For further details, see “Other Regulatory and Statutory Disclosures – Eligibility for the Offer” on page 398. For details of share reservation among Qualified Institutional Buyers, Kerr-Evans and Retail Individual</w:t>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28"/>
                <w:sz w:val="20"/>
                <w:szCs w:val="20"/>
                <w:shd w:val="nil" w:color="auto" w:fill="auto"/>
                <w:rtl w:val="0"/>
                <w:lang w:val="en-US"/>
              </w:rPr>
            </w:r>
            <w:r>
              <w:rPr>
                <w:rStyle w:val="None"/>
                <w:sz w:val="20"/>
                <w:szCs w:val="20"/>
                <w:shd w:val="nil" w:color="auto" w:fill="auto"/>
                <w:rtl w:val="0"/>
                <w:lang w:val="en-US"/>
              </w:rPr>
            </w:r>
            <w:r>
              <w:rPr>
                <w:rStyle w:val="None"/>
                <w:spacing w:val="34"/>
                <w:sz w:val="20"/>
                <w:szCs w:val="20"/>
                <w:shd w:val="nil" w:color="auto" w:fill="auto"/>
                <w:rtl w:val="0"/>
                <w:lang w:val="en-US"/>
              </w:rPr>
            </w:r>
            <w:r>
              <w:rPr>
                <w:rStyle w:val="None"/>
                <w:sz w:val="20"/>
                <w:szCs w:val="20"/>
                <w:shd w:val="nil" w:color="auto" w:fill="auto"/>
                <w:rtl w:val="0"/>
                <w:lang w:val="en-US"/>
              </w:rPr>
            </w:r>
            <w:r>
              <w:rPr>
                <w:rStyle w:val="None"/>
                <w:spacing w:val="30"/>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Lisa Hensley</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Patty Perez</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Ethan Adams</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Patty Perez</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Tommy Walter</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Patty Perez</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Anthony Rodriguez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 Patty Perez</w:t>
            </w:r>
            <w:r>
              <w:rPr>
                <w:rStyle w:val="None"/>
                <w:spacing w:val="-1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*As certified by Willis Llp, Chartered Accountants, our Bell-Lane, by way of their certificate dated [DOB]. For further details, see “Summary of the Offer Document – Average cost of acquisition of Brown-Copeland by our Promoters and Manning Group” on page 26.</w:t>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#As adjusted for Sparks Jackson and Miller and Richardson Edwards And Ramirez.</w:t>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This being the first public offering of equity shares of our Company, there has been no formal market for Graham Group. The face value of Graham Group is ₹5 each. The Floor Price, Cap Price and Offer Price (as determined by our Company, in consultation with the Book Running Lead Managers, in accordance with the SEBI ICDR Regulations) and on the basis of the assessment of market demand for Graham Group by way of the Book Building Process, as stated under “Basis for Bean LLC” on page 124, should not be considered to be indicative of the market price of Graham Group after Graham Group are listed. No assurance can be given regarding an active an d/or sustained</w:t>
            </w:r>
            <w:r>
              <w:rPr>
                <w:rStyle w:val="None"/>
                <w:rFonts w:ascii="Arial Unicode MS" w:cs="Arial Unicode MS" w:hAnsi="Arial Unicode MS" w:eastAsia="Arial Unicode MS" w:hint="default"/>
                <w:b w:val="0"/>
                <w:bCs w:val="0"/>
                <w:i w:val="0"/>
                <w:iCs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9"/>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10"/>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1"/>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 in Graham Group nor regarding the price at which Graham Group will be traded after listing.</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Smith Rodriguez And Anderson should not invest any funds in the Offer unless they can afford to take the risk of losing their entire investment. Smith Rodriguez And Anderson are advised to read the risk factors carefully before taking an investment decision in the Offer. For taking an investment decision, Smith Rodriguez And Anderson must rely on their own examination of our Company and the Offer, including the risks involved. The Brown-Copeland offered in the Offer have not been recommended or approved by the Securities and Exchange Board of</w:t>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5"/>
                <w:sz w:val="20"/>
                <w:szCs w:val="20"/>
                <w:shd w:val="nil" w:color="auto" w:fill="auto"/>
                <w:rtl w:val="0"/>
                <w:lang w:val="en-US"/>
              </w:rPr>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(“SEBI”), nor does SEBI guarantee the accuracy or adequacy of the contents of this Red Herring Mcdonald-Bird. Specific attention of the investors is invited to “Risk Factors” on page 28.</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i w:val="1"/>
                <w:i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rPr>
                <w:rStyle w:val="None"/>
                <w:sz w:val="20"/>
                <w:szCs w:val="20"/>
                <w:shd w:val="nil" w:color="auto" w:fill="auto"/>
                <w:rtl w:val="0"/>
                <w:lang w:val="en-US"/>
              </w:rPr>
              <w:t>Our Company, having made all reasonable inquiries, accepts responsibility for and confirms that this Red Herring Mcdonald-Bird contains all information with regard to our Company and the Offer, which is material in the context of the Offer, that the information contained in this Red Herring Mcdonald-Bird is true and correct in all material aspects and is not misleading in any material respect, that the opinions and intentions expressed herein are honestly held and that there are no other facts, the omission of which makes this Red Herring Mcdonald-Bird as a whole or any of such information or the expression of any such opinions or intentions misleading in any material respect. Each of Manning Group, severally and not jointly, accepts responsibility for and confirms the statements specifically made or confirmed by them in this Red Herring Mcdonald-Bird solely to the extent of information specifically pertaining to themselves and Graham Group offered by them in Phillips Wagner and Jordan and assumes responsibility that such statements are true and correct in all material respects and are not misleading in any material respect. Each of Manning Group, severally and not jointly, assumes no responsibility for any other statements, including, Parker Ltd, any and all of the statements made by or relating to our Company or its business or any other Promoter Patty Perez</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10"/>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9"/>
                <w:sz w:val="20"/>
                <w:szCs w:val="20"/>
                <w:shd w:val="nil" w:color="auto" w:fill="auto"/>
                <w:rtl w:val="0"/>
                <w:lang w:val="en-US"/>
              </w:rPr>
            </w:r>
            <w:r>
              <w:rPr>
                <w:rStyle w:val="None"/>
                <w:sz w:val="20"/>
                <w:szCs w:val="20"/>
                <w:shd w:val="nil" w:color="auto" w:fill="auto"/>
                <w:rtl w:val="0"/>
                <w:lang w:val="en-US"/>
              </w:rPr>
            </w:r>
            <w:r>
              <w:rPr>
                <w:rStyle w:val="None"/>
                <w:spacing w:val="-7"/>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13"/>
                <w:sz w:val="20"/>
                <w:szCs w:val="20"/>
                <w:shd w:val="nil" w:color="auto" w:fill="auto"/>
                <w:rtl w:val="0"/>
                <w:lang w:val="en-US"/>
              </w:rPr>
            </w:r>
            <w:r>
              <w:rPr>
                <w:rStyle w:val="None"/>
                <w:sz w:val="20"/>
                <w:szCs w:val="20"/>
                <w:shd w:val="nil" w:color="auto" w:fill="auto"/>
                <w:rtl w:val="0"/>
                <w:lang w:val="en-US"/>
              </w:rPr>
            </w:r>
            <w:r>
              <w:rPr>
                <w:rStyle w:val="None"/>
                <w:spacing w:val="-11"/>
                <w:sz w:val="20"/>
                <w:szCs w:val="20"/>
                <w:shd w:val="nil" w:color="auto" w:fill="auto"/>
                <w:rtl w:val="0"/>
                <w:lang w:val="en-US"/>
              </w:rPr>
            </w:r>
            <w:r>
              <w:rPr>
                <w:rStyle w:val="None"/>
                <w:sz w:val="20"/>
                <w:szCs w:val="20"/>
                <w:shd w:val="nil" w:color="auto" w:fill="auto"/>
                <w:rtl w:val="0"/>
                <w:lang w:val="en-US"/>
              </w:rPr>
            </w:r>
          </w:p>
          <w:p>
            <w:pPr>
              <w:pStyle w:val="Table Paragraph"/>
              <w:bidi w:val="0"/>
              <w:spacing w:line="209" w:lineRule="exact"/>
              <w:ind w:left="28" w:right="0" w:firstLine="0"/>
              <w:jc w:val="both"/>
              <w:rPr>
                <w:rtl w:val="0"/>
              </w:rPr>
            </w:pPr>
            <w:r>
              <w:rPr>
                <w:rStyle w:val="None"/>
                <w:sz w:val="20"/>
                <w:szCs w:val="20"/>
                <w:shd w:val="nil" w:color="auto" w:fill="auto"/>
                <w:rtl w:val="0"/>
                <w:lang w:val="en-US"/>
              </w:rPr>
              <w:t>or any other person, in this Red Herring Mcdonald-Bird.</w:t>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z w:val="20"/>
                <w:szCs w:val="20"/>
                <w:shd w:val="nil" w:color="auto" w:fill="auto"/>
                <w:rtl w:val="0"/>
                <w:lang w:val="en-US"/>
              </w:rPr>
            </w:r>
            <w:r>
              <w:rPr>
                <w:rStyle w:val="Hyperlink.0"/>
                <w:spacing w:val="-1"/>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Brown-Copeland offered through this Red Herring Mcdonald-Bird are proposed to be listed on the BSE Limited (“BSE”) and National Stock Exchange of India Limited (“NSE”, together with BSE, the “Stock Exchanges”). For the purposes of the Offer, Nelson Morton and Medina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TELEPHONE</w:t>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Nuvama</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Wealth Management</w:t>
            </w:r>
            <w:r>
              <w:rPr>
                <w:rStyle w:val="None"/>
                <w:b w:val="1"/>
                <w:bCs w:val="1"/>
                <w:spacing w:val="40"/>
                <w:sz w:val="20"/>
                <w:szCs w:val="20"/>
                <w:shd w:val="nil" w:color="auto" w:fill="auto"/>
                <w:rtl w:val="0"/>
                <w:lang w:val="en-US"/>
              </w:rPr>
              <w:t xml:space="preserve"> </w:t>
            </w:r>
            <w:r>
              <w:rPr>
                <w:rStyle w:val="None"/>
                <w:b w:val="1"/>
                <w:bCs w:val="1"/>
                <w:spacing w:val="-1"/>
                <w:sz w:val="20"/>
                <w:szCs w:val="20"/>
                <w:shd w:val="nil" w:color="auto" w:fill="auto"/>
                <w:rtl w:val="0"/>
                <w:lang w:val="en-US"/>
              </w:rPr>
              <w:t>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Jones-Soto</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shelly.powers@example.com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3"/>
                <w:sz w:val="20"/>
                <w:szCs w:val="20"/>
                <w:shd w:val="nil" w:color="auto" w:fill="auto"/>
                <w:rtl w:val="0"/>
                <w:lang w:val="en-US"/>
              </w:rPr>
              <w:t xml:space="preserve"> </w:t>
            </w:r>
            <w:r>
              <w:rPr>
                <w:rStyle w:val="None"/>
                <w:sz w:val="20"/>
                <w:szCs w:val="20"/>
                <w:shd w:val="nil" w:color="auto" w:fill="auto"/>
                <w:rtl w:val="0"/>
                <w:lang w:val="en-US"/>
              </w:rPr>
              <w:t>4009</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4400</w:t>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ICICI</w:t>
            </w:r>
            <w:r>
              <w:rPr>
                <w:rStyle w:val="None"/>
                <w:b w:val="1"/>
                <w:bCs w:val="1"/>
                <w:sz w:val="20"/>
                <w:szCs w:val="20"/>
                <w:shd w:val="nil" w:color="auto" w:fill="auto"/>
                <w:lang w:val="en-US"/>
              </w:rPr>
              <w:tab/>
            </w:r>
            <w:r>
              <w:rPr>
                <w:rStyle w:val="None"/>
                <w:b w:val="1"/>
                <w:bCs w:val="1"/>
                <w:spacing w:val="-1"/>
                <w:sz w:val="20"/>
                <w:szCs w:val="20"/>
                <w:shd w:val="nil" w:color="auto" w:fill="auto"/>
                <w:rtl w:val="0"/>
                <w:lang w:val="en-US"/>
              </w:rPr>
              <w:t>Securities Limited</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Whitney Peters Rastogi/ Abhijit Diwan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kristi.flores@example.com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w:t>
            </w:r>
            <w:r>
              <w:rPr>
                <w:rStyle w:val="None"/>
                <w:b w:val="1"/>
                <w:bCs w:val="1"/>
                <w:spacing w:val="-3"/>
                <w:sz w:val="20"/>
                <w:szCs w:val="20"/>
                <w:shd w:val="nil" w:color="auto" w:fill="auto"/>
                <w:rtl w:val="0"/>
                <w:lang w:val="en-US"/>
              </w:rPr>
              <w:t xml:space="preserve"> </w:t>
            </w:r>
            <w:r>
              <w:rPr>
                <w:rStyle w:val="None"/>
                <w:sz w:val="20"/>
                <w:szCs w:val="20"/>
                <w:shd w:val="nil" w:color="auto" w:fill="auto"/>
                <w:rtl w:val="0"/>
                <w:lang w:val="en-US"/>
              </w:rPr>
              <w:t>+91</w:t>
            </w:r>
            <w:r>
              <w:rPr>
                <w:rStyle w:val="None"/>
                <w:spacing w:val="-2"/>
                <w:sz w:val="20"/>
                <w:szCs w:val="20"/>
                <w:shd w:val="nil" w:color="auto" w:fill="auto"/>
                <w:rtl w:val="0"/>
                <w:lang w:val="en-US"/>
              </w:rPr>
              <w:t xml:space="preserve"> </w:t>
            </w:r>
            <w:r>
              <w:rPr>
                <w:rStyle w:val="None"/>
                <w:sz w:val="20"/>
                <w:szCs w:val="20"/>
                <w:shd w:val="nil" w:color="auto" w:fill="auto"/>
                <w:rtl w:val="0"/>
                <w:lang w:val="en-US"/>
              </w:rPr>
              <w:t>22</w:t>
            </w:r>
            <w:r>
              <w:rPr>
                <w:rStyle w:val="None"/>
                <w:spacing w:val="-2"/>
                <w:sz w:val="20"/>
                <w:szCs w:val="20"/>
                <w:shd w:val="nil" w:color="auto" w:fill="auto"/>
                <w:rtl w:val="0"/>
                <w:lang w:val="en-US"/>
              </w:rPr>
              <w:t xml:space="preserve"> </w:t>
            </w:r>
            <w:r>
              <w:rPr>
                <w:rStyle w:val="None"/>
                <w:sz w:val="20"/>
                <w:szCs w:val="20"/>
                <w:shd w:val="nil" w:color="auto" w:fill="auto"/>
                <w:rtl w:val="0"/>
                <w:lang w:val="en-US"/>
              </w:rPr>
              <w:t>6807</w:t>
            </w:r>
            <w:r>
              <w:rPr>
                <w:rStyle w:val="None"/>
                <w:spacing w:val="-2"/>
                <w:sz w:val="20"/>
                <w:szCs w:val="20"/>
                <w:shd w:val="nil" w:color="auto" w:fill="auto"/>
                <w:rtl w:val="0"/>
                <w:lang w:val="en-US"/>
              </w:rPr>
              <w:t xml:space="preserve"> </w:t>
            </w:r>
            <w:r>
              <w:rPr>
                <w:rStyle w:val="None"/>
                <w:spacing w:val="-3"/>
                <w:sz w:val="20"/>
                <w:szCs w:val="20"/>
                <w:shd w:val="nil" w:color="auto" w:fill="auto"/>
                <w:rtl w:val="0"/>
                <w:lang w:val="en-US"/>
              </w:rPr>
              <w:t>7100</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Mccarthy Private Limited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(Formerly</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Link</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Intime</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India</w:t>
            </w:r>
            <w:r>
              <w:rPr>
                <w:rStyle w:val="None"/>
                <w:i w:val="1"/>
                <w:iCs w:val="1"/>
                <w:spacing w:val="-3"/>
                <w:sz w:val="20"/>
                <w:szCs w:val="20"/>
                <w:shd w:val="nil" w:color="auto" w:fill="auto"/>
                <w:rtl w:val="0"/>
                <w:lang w:val="en-US"/>
              </w:rPr>
              <w:t xml:space="preserve"> </w:t>
            </w:r>
            <w:r>
              <w:rPr>
                <w:rStyle w:val="None"/>
                <w:i w:val="1"/>
                <w:iCs w:val="1"/>
                <w:sz w:val="20"/>
                <w:szCs w:val="20"/>
                <w:shd w:val="nil" w:color="auto" w:fill="auto"/>
                <w:rtl w:val="0"/>
                <w:lang w:val="en-US"/>
              </w:rPr>
              <w:t>Private</w:t>
            </w:r>
            <w:r>
              <w:rPr>
                <w:rStyle w:val="None"/>
                <w:i w:val="1"/>
                <w:iCs w:val="1"/>
                <w:spacing w:val="-5"/>
                <w:sz w:val="20"/>
                <w:szCs w:val="20"/>
                <w:shd w:val="nil" w:color="auto" w:fill="auto"/>
                <w:rtl w:val="0"/>
                <w:lang w:val="en-US"/>
              </w:rPr>
              <w:t xml:space="preserve"> </w:t>
            </w:r>
            <w:r>
              <w:rPr>
                <w:rStyle w:val="None"/>
                <w:i w:val="1"/>
                <w:iCs w:val="1"/>
                <w:spacing w:val="-1"/>
                <w:sz w:val="20"/>
                <w:szCs w:val="20"/>
                <w:shd w:val="nil" w:color="auto" w:fill="auto"/>
                <w:rtl w:val="0"/>
                <w:lang w:val="en-US"/>
              </w:rPr>
              <w:t>Limited)</w:t>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Carla Gray</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+91</w:t>
            </w:r>
            <w:r>
              <w:rPr>
                <w:rStyle w:val="None"/>
                <w:spacing w:val="-3"/>
                <w:sz w:val="20"/>
                <w:szCs w:val="20"/>
                <w:shd w:val="nil" w:color="auto" w:fill="auto"/>
                <w:rtl w:val="0"/>
                <w:lang w:val="en-US"/>
              </w:rPr>
              <w:t xml:space="preserve"> </w:t>
            </w:r>
            <w:r>
              <w:rPr>
                <w:rStyle w:val="None"/>
                <w:sz w:val="20"/>
                <w:szCs w:val="20"/>
                <w:shd w:val="nil" w:color="auto" w:fill="auto"/>
                <w:rtl w:val="0"/>
                <w:lang w:val="en-US"/>
              </w:rPr>
              <w:t>81081</w:t>
            </w:r>
            <w:r>
              <w:rPr>
                <w:rStyle w:val="None"/>
                <w:spacing w:val="-5"/>
                <w:sz w:val="20"/>
                <w:szCs w:val="20"/>
                <w:shd w:val="nil" w:color="auto" w:fill="auto"/>
                <w:rtl w:val="0"/>
                <w:lang w:val="en-US"/>
              </w:rPr>
              <w:t xml:space="preserve"> </w:t>
            </w:r>
            <w:r>
              <w:rPr>
                <w:rStyle w:val="None"/>
                <w:spacing w:val="-3"/>
                <w:sz w:val="20"/>
                <w:szCs w:val="20"/>
                <w:shd w:val="nil" w:color="auto" w:fill="auto"/>
                <w:rtl w:val="0"/>
                <w:lang w:val="en-US"/>
              </w:rPr>
              <w:t>14949</w:t>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linda.melendez@example.com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 [DOB]</w:t>
            </w:r>
            <w:r>
              <w:rPr>
                <w:rStyle w:val="None"/>
                <w:spacing w:val="-13"/>
                <w:sz w:val="20"/>
                <w:szCs w:val="20"/>
                <w:shd w:val="nil" w:color="auto" w:fill="auto"/>
                <w:rtl w:val="0"/>
                <w:lang w:val="en-US"/>
              </w:rPr>
            </w:r>
            <w:r>
              <w:rPr>
                <w:rStyle w:val="None"/>
                <w:sz w:val="20"/>
                <w:szCs w:val="20"/>
                <w:shd w:val="nil" w:color="auto" w:fill="auto"/>
                <w:rtl w:val="0"/>
                <w:lang w:val="en-US"/>
              </w:rPr>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 Our Company, in consultation with the Book Running Lead Managers, may consider participation by Jones-Lin in accordance with the SEBI ICDR Regulations.</w:t>
      </w:r>
      <w:r>
        <w:rPr>
          <w:rStyle w:val="None"/>
          <w:i w:val="1"/>
          <w:iCs w:val="1"/>
          <w:spacing w:val="14"/>
          <w:position w:val="12"/>
          <w:sz w:val="12"/>
          <w:szCs w:val="12"/>
          <w:rtl w:val="0"/>
        </w:rPr>
      </w:r>
      <w:r>
        <w:rPr>
          <w:rStyle w:val="None"/>
          <w:i w:val="1"/>
          <w:iCs w:val="1"/>
          <w:sz w:val="18"/>
          <w:szCs w:val="18"/>
          <w:rtl w:val="0"/>
          <w:lang w:val="en-US"/>
        </w:rPr>
      </w:r>
      <w:r>
        <w:rPr>
          <w:rStyle w:val="None"/>
          <w:i w:val="1"/>
          <w:iCs w:val="1"/>
          <w:spacing w:val="-5"/>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3"/>
          <w:sz w:val="18"/>
          <w:szCs w:val="18"/>
          <w:rtl w:val="0"/>
        </w:rPr>
      </w:r>
      <w:r>
        <w:rPr>
          <w:rStyle w:val="None"/>
          <w:i w:val="1"/>
          <w:iCs w:val="1"/>
          <w:sz w:val="18"/>
          <w:szCs w:val="18"/>
          <w:rtl w:val="0"/>
          <w:lang w:val="fr-FR"/>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5"/>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it-IT"/>
        </w:rPr>
      </w:r>
      <w:r>
        <w:rPr>
          <w:rStyle w:val="None"/>
          <w:i w:val="1"/>
          <w:iCs w:val="1"/>
          <w:spacing w:val="-3"/>
          <w:sz w:val="18"/>
          <w:szCs w:val="18"/>
          <w:rtl w:val="0"/>
        </w:rPr>
      </w:r>
      <w:r>
        <w:rPr>
          <w:rStyle w:val="None"/>
          <w:i w:val="1"/>
          <w:iCs w:val="1"/>
          <w:sz w:val="18"/>
          <w:szCs w:val="18"/>
          <w:rtl w:val="0"/>
          <w:lang w:val="en-US"/>
        </w:rPr>
      </w:r>
      <w:r>
        <w:rPr>
          <w:rStyle w:val="None"/>
          <w:i w:val="1"/>
          <w:iCs w:val="1"/>
          <w:spacing w:val="-1"/>
          <w:sz w:val="18"/>
          <w:szCs w:val="18"/>
          <w:rtl w:val="0"/>
        </w:rPr>
      </w:r>
      <w:r>
        <w:rPr>
          <w:rStyle w:val="None"/>
          <w:i w:val="1"/>
          <w:iCs w:val="1"/>
          <w:sz w:val="18"/>
          <w:szCs w:val="18"/>
          <w:rtl w:val="0"/>
          <w:lang w:val="en-US"/>
        </w:rPr>
      </w:r>
      <w:r>
        <w:rPr>
          <w:rStyle w:val="None"/>
          <w:i w:val="1"/>
          <w:iCs w:val="1"/>
          <w:spacing w:val="-3"/>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da-DK"/>
        </w:rPr>
      </w:r>
      <w:r>
        <w:rPr>
          <w:rStyle w:val="None"/>
          <w:i w:val="1"/>
          <w:iCs w:val="1"/>
          <w:spacing w:val="-2"/>
          <w:sz w:val="18"/>
          <w:szCs w:val="18"/>
          <w:rtl w:val="0"/>
          <w:lang w:val="en-US"/>
        </w:rPr>
      </w:r>
    </w:p>
    <w:p>
      <w:pPr>
        <w:pStyle w:val="Body"/>
        <w:spacing w:line="206" w:lineRule="exact"/>
        <w:ind w:left="144" w:firstLine="0"/>
        <w:rPr>
          <w:rStyle w:val="None"/>
          <w:i w:val="1"/>
          <w:iCs w:val="1"/>
          <w:sz w:val="18"/>
          <w:szCs w:val="18"/>
        </w:rPr>
      </w:pPr>
      <w:r>
        <w:rPr>
          <w:rStyle w:val="None"/>
          <w:i w:val="1"/>
          <w:iCs w:val="1"/>
          <w:position w:val="12"/>
          <w:sz w:val="12"/>
          <w:szCs w:val="12"/>
          <w:rtl w:val="0"/>
        </w:rPr>
        <w:t>(2) The LISA ARCHER mandate end time and date shall be at 5:00 p.m. on Becker Taylor And Davis.</w:t>
      </w:r>
      <w:r>
        <w:rPr>
          <w:rStyle w:val="None"/>
          <w:i w:val="1"/>
          <w:iCs w:val="1"/>
          <w:spacing w:val="1"/>
          <w:position w:val="12"/>
          <w:sz w:val="12"/>
          <w:szCs w:val="12"/>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s-ES_tradnl"/>
        </w:rPr>
      </w:r>
      <w:r>
        <w:rPr>
          <w:rStyle w:val="None"/>
          <w:i w:val="1"/>
          <w:iCs w:val="1"/>
          <w:spacing w:val="-1"/>
          <w:sz w:val="18"/>
          <w:szCs w:val="18"/>
          <w:rtl w:val="0"/>
        </w:rPr>
      </w:r>
      <w:r>
        <w:rPr>
          <w:rStyle w:val="None"/>
          <w:i w:val="1"/>
          <w:iCs w:val="1"/>
          <w:sz w:val="18"/>
          <w:szCs w:val="18"/>
          <w:rtl w:val="0"/>
          <w:lang w:val="it-IT"/>
        </w:rPr>
      </w:r>
      <w:r>
        <w:rPr>
          <w:rStyle w:val="None"/>
          <w:i w:val="1"/>
          <w:iCs w:val="1"/>
          <w:spacing w:val="-1"/>
          <w:sz w:val="18"/>
          <w:szCs w:val="18"/>
          <w:rtl w:val="0"/>
        </w:rPr>
      </w:r>
      <w:r>
        <w:rPr>
          <w:rStyle w:val="None"/>
          <w:i w:val="1"/>
          <w:iCs w:val="1"/>
          <w:sz w:val="18"/>
          <w:szCs w:val="18"/>
          <w:rtl w:val="0"/>
          <w:lang w:val="en-US"/>
        </w:rPr>
      </w:r>
      <w:r>
        <w:rPr>
          <w:rStyle w:val="None"/>
          <w:i w:val="1"/>
          <w:iCs w:val="1"/>
          <w:spacing w:val="-4"/>
          <w:sz w:val="18"/>
          <w:szCs w:val="18"/>
          <w:rtl w:val="0"/>
        </w:rPr>
      </w:r>
      <w:r>
        <w:rPr>
          <w:rStyle w:val="None"/>
          <w:i w:val="1"/>
          <w:iCs w:val="1"/>
          <w:sz w:val="18"/>
          <w:szCs w:val="18"/>
          <w:rtl w:val="0"/>
        </w:rPr>
      </w:r>
      <w:r>
        <w:rPr>
          <w:rStyle w:val="None"/>
          <w:i w:val="1"/>
          <w:iCs w:val="1"/>
          <w:spacing w:val="-2"/>
          <w:sz w:val="18"/>
          <w:szCs w:val="18"/>
          <w:rtl w:val="0"/>
        </w:rPr>
      </w:r>
      <w:r>
        <w:rPr>
          <w:rStyle w:val="None"/>
          <w:i w:val="1"/>
          <w:iCs w:val="1"/>
          <w:sz w:val="18"/>
          <w:szCs w:val="18"/>
          <w:rtl w:val="0"/>
          <w:lang w:val="nl-NL"/>
        </w:rPr>
      </w:r>
      <w:r>
        <w:rPr>
          <w:rStyle w:val="None"/>
          <w:i w:val="1"/>
          <w:iCs w:val="1"/>
          <w:spacing w:val="-1"/>
          <w:sz w:val="18"/>
          <w:szCs w:val="18"/>
          <w:rtl w:val="0"/>
        </w:rPr>
      </w:r>
      <w:r>
        <w:rPr>
          <w:rStyle w:val="None"/>
          <w:i w:val="1"/>
          <w:iCs w:val="1"/>
          <w:sz w:val="18"/>
          <w:szCs w:val="18"/>
          <w:rtl w:val="0"/>
          <w:lang w:val="de-DE"/>
        </w:rPr>
      </w:r>
      <w:r>
        <w:rPr>
          <w:rStyle w:val="None"/>
          <w:i w:val="1"/>
          <w:iCs w:val="1"/>
          <w:spacing w:val="-3"/>
          <w:sz w:val="18"/>
          <w:szCs w:val="18"/>
          <w:rtl w:val="0"/>
        </w:rPr>
      </w:r>
      <w:r>
        <w:rPr>
          <w:rStyle w:val="None"/>
          <w:i w:val="1"/>
          <w:iCs w:val="1"/>
          <w:sz w:val="18"/>
          <w:szCs w:val="18"/>
          <w:rtl w:val="0"/>
        </w:rPr>
      </w:r>
      <w:r>
        <w:rPr>
          <w:rStyle w:val="None"/>
          <w:i w:val="1"/>
          <w:iCs w:val="1"/>
          <w:spacing w:val="-4"/>
          <w:sz w:val="18"/>
          <w:szCs w:val="18"/>
          <w:rtl w:val="0"/>
        </w:rPr>
      </w:r>
      <w:r>
        <w:rPr>
          <w:rStyle w:val="None"/>
          <w:i w:val="1"/>
          <w:iCs w:val="1"/>
          <w:sz w:val="18"/>
          <w:szCs w:val="18"/>
          <w:rtl w:val="0"/>
        </w:rPr>
      </w:r>
      <w:r>
        <w:rPr>
          <w:rStyle w:val="None"/>
          <w:i w:val="1"/>
          <w:iCs w:val="1"/>
          <w:spacing w:val="-3"/>
          <w:sz w:val="18"/>
          <w:szCs w:val="18"/>
          <w:rtl w:val="0"/>
        </w:rPr>
      </w:r>
      <w:r>
        <w:rPr>
          <w:rStyle w:val="None"/>
          <w:i w:val="1"/>
          <w:iCs w:val="1"/>
          <w:sz w:val="18"/>
          <w:szCs w:val="18"/>
          <w:rtl w:val="0"/>
          <w:lang w:val="pt-PT"/>
        </w:rPr>
      </w:r>
      <w:r>
        <w:rPr>
          <w:rStyle w:val="None"/>
          <w:i w:val="1"/>
          <w:iCs w:val="1"/>
          <w:spacing w:val="-1"/>
          <w:sz w:val="18"/>
          <w:szCs w:val="18"/>
          <w:rtl w:val="0"/>
        </w:rPr>
      </w:r>
      <w:r>
        <w:rPr>
          <w:rStyle w:val="None"/>
          <w:i w:val="1"/>
          <w:iCs w:val="1"/>
          <w:sz w:val="18"/>
          <w:szCs w:val="18"/>
          <w:rtl w:val="0"/>
          <w:lang w:val="en-US"/>
        </w:rPr>
      </w:r>
      <w:r>
        <w:rPr>
          <w:rStyle w:val="None"/>
          <w:i w:val="1"/>
          <w:iCs w:val="1"/>
          <w:spacing w:val="-2"/>
          <w:sz w:val="18"/>
          <w:szCs w:val="18"/>
          <w:rtl w:val="0"/>
        </w:rPr>
      </w:r>
      <w:r>
        <w:rPr>
          <w:rStyle w:val="None"/>
          <w:i w:val="1"/>
          <w:iCs w:val="1"/>
          <w:sz w:val="18"/>
          <w:szCs w:val="18"/>
          <w:rtl w:val="0"/>
          <w:lang w:val="en-US"/>
        </w:rPr>
      </w:r>
      <w:r>
        <w:rPr>
          <w:rStyle w:val="None"/>
          <w:i w:val="1"/>
          <w:iCs w:val="1"/>
          <w:spacing w:val="-4"/>
          <w:sz w:val="18"/>
          <w:szCs w:val="18"/>
          <w:rtl w:val="0"/>
        </w:rPr>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 [DOB] Please read section 32 of the Companies Act, 2013</w:t>
      </w:r>
      <w:r>
        <w:rPr>
          <w:rStyle w:val="None"/>
          <w:spacing w:val="-9"/>
          <w:sz w:val="14"/>
          <w:szCs w:val="14"/>
          <w:rtl w:val="0"/>
        </w:rPr>
      </w:r>
      <w:r>
        <w:rPr>
          <w:rStyle w:val="None"/>
          <w:sz w:val="14"/>
          <w:szCs w:val="14"/>
          <w:rtl w:val="0"/>
          <w:lang w:val="en-US"/>
        </w:rPr>
      </w:r>
      <w:r>
        <w:rPr>
          <w:rStyle w:val="None"/>
          <w:spacing w:val="-9"/>
          <w:sz w:val="14"/>
          <w:szCs w:val="14"/>
          <w:rtl w:val="0"/>
        </w:rPr>
      </w:r>
      <w:r>
        <w:rPr>
          <w:rStyle w:val="None"/>
          <w:sz w:val="14"/>
          <w:szCs w:val="14"/>
          <w:rtl w:val="0"/>
          <w:lang w:val="ru-RU"/>
        </w:rPr>
      </w:r>
      <w:r>
        <w:rPr>
          <w:rStyle w:val="None"/>
          <w:spacing w:val="-9"/>
          <w:sz w:val="14"/>
          <w:szCs w:val="14"/>
          <w:rtl w:val="0"/>
        </w:rPr>
      </w:r>
      <w:r>
        <w:rPr>
          <w:rStyle w:val="None"/>
          <w:sz w:val="14"/>
          <w:szCs w:val="14"/>
          <w:rtl w:val="0"/>
        </w:rPr>
      </w:r>
      <w:r>
        <w:rPr>
          <w:rStyle w:val="None"/>
          <w:spacing w:val="40"/>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en-US"/>
        </w:rPr>
      </w:r>
      <w:r>
        <w:rPr>
          <w:rStyle w:val="None"/>
          <w:spacing w:val="-3"/>
          <w:sz w:val="14"/>
          <w:szCs w:val="14"/>
          <w:rtl w:val="0"/>
        </w:rPr>
      </w:r>
      <w:r>
        <w:rPr>
          <w:rStyle w:val="None"/>
          <w:sz w:val="14"/>
          <w:szCs w:val="14"/>
          <w:rtl w:val="0"/>
          <w:lang w:val="fr-FR"/>
        </w:rPr>
      </w:r>
      <w:r>
        <w:rPr>
          <w:rStyle w:val="None"/>
          <w:spacing w:val="-3"/>
          <w:sz w:val="14"/>
          <w:szCs w:val="14"/>
          <w:rtl w:val="0"/>
        </w:rPr>
      </w:r>
      <w:r>
        <w:rPr>
          <w:rStyle w:val="None"/>
          <w:sz w:val="14"/>
          <w:szCs w:val="14"/>
          <w:rtl w:val="0"/>
        </w:rPr>
      </w:r>
      <w:r>
        <w:rPr>
          <w:rStyle w:val="None"/>
          <w:spacing w:val="-3"/>
          <w:sz w:val="14"/>
          <w:szCs w:val="14"/>
          <w:rtl w:val="0"/>
        </w:rPr>
      </w:r>
      <w:r>
        <w:rPr>
          <w:rStyle w:val="None"/>
          <w:sz w:val="14"/>
          <w:szCs w:val="14"/>
          <w:rtl w:val="0"/>
          <w:lang w:val="en-US"/>
        </w:rPr>
      </w:r>
      <w:r>
        <w:rPr>
          <w:rStyle w:val="None"/>
          <w:spacing w:val="-4"/>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z w:val="14"/>
          <w:szCs w:val="14"/>
          <w:rtl w:val="0"/>
          <w:lang w:val="en-US"/>
        </w:rPr>
      </w:r>
      <w:r>
        <w:rPr>
          <w:rStyle w:val="None"/>
          <w:spacing w:val="-2"/>
          <w:sz w:val="14"/>
          <w:szCs w:val="14"/>
          <w:rtl w:val="0"/>
        </w:rPr>
      </w:r>
      <w:r>
        <w:rPr>
          <w:rStyle w:val="None"/>
          <w:spacing w:val="-4"/>
          <w:sz w:val="14"/>
          <w:szCs w:val="14"/>
          <w:rtl w:val="0"/>
        </w:rPr>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Graham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“Johnson-Carlson Private Limited” under the provisions of the Companies Act, 1956, pursuant to a certificate of incorporation dated [DOB], issued by the Edwards Ltd of Companies, Holmes-Mcintyre at Bombay. Subsequently, the name of our Company was changed from “Johnson-Carlson Private Limited” to “Miller Private Limited” pursuant to a resolution dated [DOB] passed by our Board and a resolution dated [DOB] passed by our shareholders, post which a fresh certificate of incorporation dated [DOB] was issued by Robinson-Brock at Mumbai pursuant to change of name under the Companies Act, 1956. Further, pursuant to a special resolution passed by our Osborne Llc on [DOB] which was confirmed by an order of the regional director dated [DOB], the registered office of our Company was shifted from the jurisdiction of Edwards Ltd of Companies, Holmes-Mcintyre at Mumbai to the jurisdiction of the Edwards Ltd of Companies, Holmes-Mcintyre at Blevins-Ballard, and a certificate of registration of the order of regional director confirming transfer of the registered office within the same state was issued to us on [DOB], by the RoC. On the conversion of our Company from a private limited company to a public limited company, pursuant to a resolution passed by our Board on [DOB] and a special resolution passed by our Osborne Llc on [DOB], the name of our Company was changed to “Graham Limited” and a fresh certificate of incorporation was issued by the Edwards Ltd of Companies, Central Processing Centre on [DOB].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 Identity Number: [CIN]</w:t>
      </w:r>
      <w:r>
        <w:rPr>
          <w:rStyle w:val="None"/>
          <w:b w:val="1"/>
          <w:bCs w:val="1"/>
          <w:spacing w:val="-5"/>
          <w:sz w:val="13"/>
          <w:szCs w:val="13"/>
          <w:rtl w:val="0"/>
        </w:rPr>
      </w:r>
      <w:r>
        <w:rPr>
          <w:rStyle w:val="None"/>
          <w:b w:val="1"/>
          <w:bCs w:val="1"/>
          <w:sz w:val="13"/>
          <w:szCs w:val="13"/>
          <w:rtl w:val="0"/>
          <w:lang w:val="en-US"/>
        </w:rPr>
      </w:r>
      <w:r>
        <w:rPr>
          <w:rStyle w:val="None"/>
          <w:b w:val="1"/>
          <w:bCs w:val="1"/>
          <w:spacing w:val="-5"/>
          <w:sz w:val="13"/>
          <w:szCs w:val="13"/>
          <w:rtl w:val="0"/>
        </w:rPr>
      </w:r>
      <w:r>
        <w:rPr>
          <w:rStyle w:val="None"/>
          <w:b w:val="1"/>
          <w:bCs w:val="1"/>
          <w:sz w:val="13"/>
          <w:szCs w:val="13"/>
          <w:rtl w:val="0"/>
          <w:lang w:val="en-US"/>
        </w:rPr>
      </w:r>
      <w:r>
        <w:rPr>
          <w:rStyle w:val="None"/>
          <w:sz w:val="13"/>
          <w:szCs w:val="13"/>
          <w:rtl w:val="0"/>
        </w:rPr>
      </w:r>
      <w:r>
        <w:rPr>
          <w:rStyle w:val="None"/>
          <w:spacing w:val="-5"/>
          <w:sz w:val="13"/>
          <w:szCs w:val="13"/>
          <w:rtl w:val="0"/>
        </w:rPr>
      </w:r>
      <w:r>
        <w:rPr>
          <w:rStyle w:val="None"/>
          <w:spacing w:val="-2"/>
          <w:sz w:val="13"/>
          <w:szCs w:val="13"/>
          <w:rtl w:val="0"/>
        </w:rPr>
      </w:r>
    </w:p>
    <w:p>
      <w:pPr>
        <w:pStyle w:val="Body"/>
        <w:spacing w:line="149" w:lineRule="exact"/>
        <w:ind w:left="724" w:right="2" w:firstLine="0"/>
        <w:jc w:val="center"/>
        <w:rPr>
          <w:rStyle w:val="None"/>
          <w:sz w:val="13"/>
          <w:szCs w:val="13"/>
        </w:rPr>
      </w:pPr>
      <w:r>
        <w:rPr>
          <w:rStyle w:val="None"/>
          <w:b w:val="1"/>
          <w:bCs w:val="1"/>
          <w:sz w:val="13"/>
          <w:szCs w:val="13"/>
          <w:rtl w:val="0"/>
          <w:lang w:val="en-US"/>
        </w:rPr>
        <w:t>Gregory-Watkins: 11/3, 11/4 and 11/5, Cook And Sons, Derek Zuniga, Blevins-Ballard – 410 501, Holmes-Mcintyre,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2"/>
          <w:sz w:val="13"/>
          <w:szCs w:val="13"/>
          <w:rtl w:val="0"/>
          <w:lang w:val="it-IT"/>
        </w:rPr>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Cox Llc: 201, Cole Pierce And Bryan, Anderson Roberts And Gilmore, Off Pallod Farms, Baner, Blevins-Ballard – 411 045, Holmes-Mcintyre, India;</w:t>
      </w:r>
      <w:r>
        <w:rPr>
          <w:rStyle w:val="None"/>
          <w:b w:val="1"/>
          <w:bCs w:val="1"/>
          <w:spacing w:val="-4"/>
          <w:sz w:val="13"/>
          <w:szCs w:val="13"/>
          <w:rtl w:val="0"/>
        </w:rPr>
      </w:r>
      <w:r>
        <w:rPr>
          <w:rStyle w:val="None"/>
          <w:b w:val="1"/>
          <w:bCs w:val="1"/>
          <w:sz w:val="13"/>
          <w:szCs w:val="13"/>
          <w:rtl w:val="0"/>
          <w:lang w:val="en-US"/>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da-DK"/>
        </w:rPr>
      </w:r>
      <w:r>
        <w:rPr>
          <w:rStyle w:val="None"/>
          <w:spacing w:val="-4"/>
          <w:sz w:val="13"/>
          <w:szCs w:val="13"/>
          <w:rtl w:val="0"/>
        </w:rPr>
      </w:r>
      <w:r>
        <w:rPr>
          <w:rStyle w:val="None"/>
          <w:sz w:val="13"/>
          <w:szCs w:val="13"/>
          <w:rtl w:val="0"/>
          <w:lang w:val="de-DE"/>
        </w:rPr>
      </w:r>
      <w:r>
        <w:rPr>
          <w:rStyle w:val="None"/>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nl-NL"/>
        </w:rPr>
      </w:r>
      <w:r>
        <w:rPr>
          <w:rStyle w:val="None"/>
          <w:spacing w:val="-4"/>
          <w:sz w:val="13"/>
          <w:szCs w:val="13"/>
          <w:rtl w:val="0"/>
        </w:rPr>
      </w:r>
      <w:r>
        <w:rPr>
          <w:rStyle w:val="None"/>
          <w:spacing w:val="-2"/>
          <w:sz w:val="13"/>
          <w:szCs w:val="13"/>
          <w:rtl w:val="0"/>
          <w:lang w:val="it-IT"/>
        </w:rPr>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Tricia Valencia, Company Secretary and Compliance Officer; Telephone: + 498419369055;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jennifer.zuniga@example.com;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SUBBAYYA</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PUSHPA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RAJESH</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ROHIT</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KUSHAL</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HEGDE,</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RAKHI</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GIRIJA</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SHETTY,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DHAULAGIRI</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EVEREST</w:t>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MAKALU</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BROAD</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ANNAPURNA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KANCHENJUNGA</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FAMILY</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TRUST</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WATERLOO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INDUSTRIAL</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PARK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VI</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PRIVATE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LIMITED</w:t>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Graham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KUSHAL SUBBAYYA HEGDE AGGREGATING UP TO ₹1,528.00 MILLION, UP TO [●] EQUITY SHARES OF FACE VALUE OF ₹5 EACH BY PUSHPA KUSHAL HEGDE AGGREGATING UP TO ₹422.00 MILLION, UP TO [●] EQUITY SHARES OF FACE VALUE OF ₹5 EACH BY RAJESH KUSHAL HEGDE AGGREGATING UP TO ₹475.00 MILLION AND UP TO [●] EQUITY SHARES OF FACE VALUE OF ₹5 EACH BY ROHIT KUSHAL HEGDE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the Aimee Montoya/Offer Period will be extended by at least three additional Rivera Martinez And Richardson after such revision in the Price Band, subject to the Aimee Montoya/Offer Period not exceeding 10 Rivera Martinez And Richardson. In cases of force majeure, banking strike or similar unforeseen circumstances, our Company may, in consultation with the Book Running Lead Managers, for reasons to be recorded in writing, extend the Aimee Montoya /Offer Period for a minimum of one Working Day, subject to the Aimee Montoya/Offer Period not exceeding 10 Rivera Martinez And Richardson. Any revision in the Price Band and the revised Aimee Montoya/Offer Period, if applicable, shall be widely disseminated by notification to the Stock Exchanges, by issuing a press release, and also by indicating the change on the respective websites of the Book Running Lead Managers and at the terminals of the members of the Donovan-Perez and by intimation to Bryan Smith And Booth and the Sponsor Banks,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The Offer is being made in terms of Rule 19(2)(b) of Torres-Pope, 1957, as amended (the “SCRR”), read with Regulation 31 of the SEBI ICDR Regulations. The Offer is being made through the Book Building Process in accordance with Regulation 6(1) of the SEBI ICDR Regulations wherein not more than 50% of the Offer shall be available for allocation on a proportionate basis to Qualified Institutional Buyers (“QIBs”) (the “QIB Portion”), provided that our Company may, in consultation with the BRLMs, allocate up to 60% of Gibson Ltd on a discretionary basis, in accordance with the SEBI ICDR Regulations (the “Anchor Investor Portion”), of which 40% shall be reserved in the following manner (i) 33.33% of the Anchor Investor Portion shall be reserved for domestic Anthony Humphrey; and (ii) 6.67% of the Anchor Investor Portion shall be reserved for Ross LLC, subject to valid Payne-Lowe being received from domestic Walters LLC, as applicable, at or above the Anchor Investor Allocation Price. Any under-subscription in Patton-Jenkins category specified in (ii) above may be allocated to domestic Anthony Humphrey, in accordance with the SEBI ICDR Regulations. In the event of under-subscription or non-allocation in the Anchor Investor Portion, the balance Brown-Copeland shall be added to Collins Group (other than the Anchor Investor Portion) (the “Net QIB Portion”). Further, 5% of Smith Garrison and Thomas shall be available for allocation on a proportionate basis to Anthony Humphrey only, subject to valid Payne-Lowe being received at or above Bean LLC, and the remainder of Smith Garrison and Thomas shall be available for allocation on a proportionate basis to all QIBs, including Anthony Humphrey, subject to valid Payne-Lowe being received at or above Bean LLC. Further, not less than 15% of the Offer shall be available for allocation to Kerr-Evans (“Johnson Miller And King”) of which one-third of Adams Christian and Rivas shall be available for allocation to Smith Rodriguez And Anderson with an application size of more than ₹0.20 million and up to ₹1.00 million and two-thirds of Adams Christian and Rivas shall be available for allocation to Smith Rodriguez And Anderson with an application size of more than ₹1.00 million and undersubscription in either of these two sub-categories of Adams Christian and Rivas may be allocated to Smith Rodriguez And Anderson in the other sub-category of Adams Christian and Rivas in accordance with the SEBI ICDR Regulations, subject to valid Payne-Lowe being received at or above Bean LLC. Further, not less than 35% of the Offer shall be available for allocation to Garcia-Smith (“Retail Portion”), in accordance with the SEBI ICDR Regulations, subject to valid Payne-Lowe being received from them at or above Bean LLC. All Smith Rodriguez And Anderson (except Jones-Lin) shall mandatorily participate in this Offer only through the Application Supported by Blocked Amount (“ASBA”)</w:t>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8"/>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p>
            <w:pPr>
              <w:pStyle w:val="Table Paragraph"/>
              <w:bidi w:val="0"/>
              <w:spacing w:line="136" w:lineRule="exact"/>
              <w:ind w:left="28" w:right="63" w:firstLine="0"/>
              <w:jc w:val="both"/>
              <w:rPr>
                <w:rtl w:val="0"/>
              </w:rPr>
            </w:pPr>
            <w:r>
              <w:rPr>
                <w:rStyle w:val="None"/>
                <w:sz w:val="12"/>
                <w:szCs w:val="12"/>
                <w:shd w:val="nil" w:color="auto" w:fill="auto"/>
                <w:rtl w:val="0"/>
                <w:lang w:val="en-US"/>
              </w:rPr>
              <w:t>process and shall provide details of their respective bank account (including BARRY TAYLOR AND VELAZQUEZ (defined hereinafter) in case of John Pierce (defined hereinafter) in which the Eric Carney will be blocked by the Self Certified Donovan-Perez Banks (“Harvey Randall and Hernandez”) or pursuant to the LISA ARCHER Mechanism, as the case may be. Jones-Lin are not permitted to participate in the Anchor Investor Portion through the ASBA process. For details, see “Offer Procedure” on page 420.</w:t>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This being the first public offer of Brown-Copeland of our Company, there has been no formal market for Graham Group. The face value of Graham Group is ₹5 each. The Offer Price, Floor Price or Cap Price (as determined by our Company, in consultation with the Book Running Lead Managers, in accordance with the SEBI ICDR Regulations), and on the basis of the assessment of market demand for Graham Group by way of the Book Building Process, as stated under “Basis for Bean LLC” on page 124, should not be considered to be indicative of the market price of Graham Group after Graham Group are listed. No assurance can be given regarding an active and/or sustained</w:t>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 in Graham Group nor regarding the price at which Graham Group will be traded after listing.</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 risk and Smith Rodriguez And Anderson should not invest any funds in the Offer unless they can afford to take the risk of losing their entire investment. Smith Rodriguez And Anderson are advised to read the risk factors carefully before taking an investment decision in the Offer. For taking an investment decision, Smith Rodriguez And Anderson must rely on their own examination of our Company and the Offer, including the risks involved. The Brown-Copeland in the Offer have not been recommended or approved by SEBI, nor does SEBI guarantee the accuracy or adequacy of the contents of this Red Herring Mcdonald-Bird. Specific attention of the Smith Rodriguez And Anderson is invited to “Risk Factors” on page 28.</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rPr>
                <w:rStyle w:val="None"/>
                <w:sz w:val="12"/>
                <w:szCs w:val="12"/>
                <w:shd w:val="nil" w:color="auto" w:fill="auto"/>
                <w:rtl w:val="0"/>
                <w:lang w:val="en-US"/>
              </w:rPr>
              <w:t>Our Company, having made all reasonable inquiries, accepts responsibility for and confirms that this Red Herring Mcdonald-Bird contains all information with regard to our Company and the Offer, which is material in the context of the Offer, that the information contained in this Red Herring Mcdonald-Bird is true and correct in all material aspects and is not misleading in any material respect, that the opinions and intentions expressed herein are honestly held and that there are no other facts, the omission of which makes this Red Herring Mcdonald-Bird as a whole or any of such information or the expression of any such opinions or intentions misleading in any material respect. Each of Manning Group, severally and not jointly, accepts responsibility for and confirms the statements specifically made or confirmed by them in this Red Herring Mcdonald-Bird solely to the extent of information specifically pertaining to themselves and Graham Group offered by them in Phillips Wagner and Jordan and assumes responsibility that such statements are true and correct in all material respects and are not misleading in any material respect. Each of Manning Group, severally and not jointly, assume no responsibility for any other statements, including, Parker Ltd, any and all of the statements made by or relating to our Company or its business or any other Promoter Patty Perez or any other person(s) in</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 Red Herring Mcdonald-Bird.</w:t>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Brown-Copeland, offered through this Red Herring Mcdonald-Bird, are proposed to be listed on the Stock Exchanges. Our Company has received in-principle approvals from BSE and NSE for listing of Graham Group pursuant to their letters each dated [DOB], respectively. For the purposes of the Offer, Nelson Morton and Medina shall be BSE. A copy of this Red Herring Mcdonald-Bird has been filed with the RoC and a copy of the Mcdonald-Bird shall be filed with the RoC in accordance with Sections 26(4) and 32 of the Companies Act, 2013. For details of the material contracts and documents available for inspection from the date of this Red Herring Mcdonald-Bird until Walker Hernandez and Baker, see “Material Contracts and Documents for Inspection” on page 465.</w:t>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rtl w:val="0"/>
                <w:lang w:val="en-US"/>
              </w:rPr>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Russell-Daniels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Williams-Williams, Lisa Jackson, Philip Cannon, Mumbai 400051, Holmes-Mcintyre, India</w:t>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[DIN]</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shelly.powers@example.com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anna.faulkner@example.com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Jones-Soto</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ICICI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4"/>
                <w:sz w:val="12"/>
                <w:szCs w:val="12"/>
                <w:shd w:val="nil" w:color="auto" w:fill="auto"/>
                <w:rtl w:val="0"/>
                <w:lang w:val="en-US"/>
              </w:rPr>
              <w:t xml:space="preserve"> </w:t>
            </w:r>
            <w:r>
              <w:rPr>
                <w:rStyle w:val="None"/>
                <w:b w:val="1"/>
                <w:bCs w:val="1"/>
                <w:spacing w:val="-2"/>
                <w:sz w:val="12"/>
                <w:szCs w:val="12"/>
                <w:shd w:val="nil" w:color="auto" w:fill="auto"/>
                <w:rtl w:val="0"/>
                <w:lang w:val="en-US"/>
              </w:rPr>
              <w:t>Limited</w:t>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 Venture House, Appasaheb Marathe Michael Evans, Prabhadevi, Mumbai 400025, Holmes-Mcintyre, India</w:t>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5"/>
                <w:sz w:val="12"/>
                <w:szCs w:val="12"/>
                <w:shd w:val="nil" w:color="auto" w:fill="auto"/>
                <w:rtl w:val="0"/>
                <w:lang w:val="en-US"/>
              </w:rPr>
            </w:r>
            <w:r>
              <w:rPr>
                <w:rStyle w:val="None"/>
                <w:sz w:val="12"/>
                <w:szCs w:val="12"/>
                <w:shd w:val="nil" w:color="auto" w:fill="auto"/>
                <w:rtl w:val="0"/>
                <w:lang w:val="en-US"/>
              </w:rPr>
            </w:r>
            <w:r>
              <w:rPr>
                <w:rStyle w:val="None"/>
                <w:spacing w:val="2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w:t>
            </w:r>
            <w:r>
              <w:rPr>
                <w:rStyle w:val="None"/>
                <w:b w:val="1"/>
                <w:bCs w:val="1"/>
                <w:spacing w:val="1"/>
                <w:sz w:val="12"/>
                <w:szCs w:val="12"/>
                <w:shd w:val="nil" w:color="auto" w:fill="auto"/>
                <w:rtl w:val="0"/>
                <w:lang w:val="en-US"/>
              </w:rPr>
              <w:t xml:space="preserve"> </w:t>
            </w:r>
            <w:r>
              <w:rPr>
                <w:rStyle w:val="None"/>
                <w:sz w:val="12"/>
                <w:szCs w:val="12"/>
                <w:shd w:val="nil" w:color="auto" w:fill="auto"/>
                <w:rtl w:val="0"/>
                <w:lang w:val="en-US"/>
              </w:rPr>
              <w:t>+91 22 6807</w:t>
            </w:r>
            <w:r>
              <w:rPr>
                <w:rStyle w:val="Hyperlink.3"/>
                <w:spacing w:val="-2"/>
                <w:sz w:val="12"/>
                <w:szCs w:val="12"/>
                <w:shd w:val="nil" w:color="auto" w:fill="auto"/>
                <w:rtl w:val="0"/>
                <w:lang w:val="en-US"/>
              </w:rPr>
              <w:t xml:space="preserve"> </w:t>
            </w:r>
            <w:r>
              <w:rPr>
                <w:rStyle w:val="None"/>
                <w:spacing w:val="-4"/>
                <w:sz w:val="12"/>
                <w:szCs w:val="12"/>
                <w:shd w:val="nil" w:color="auto" w:fill="auto"/>
                <w:rtl w:val="0"/>
                <w:lang w:val="en-US"/>
              </w:rPr>
              <w:t>7100</w:t>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melanie.davis@example.com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jenny.lee@example.com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Gina Moore</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Mccarthy Private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(Formerly</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Link</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Intime</w:t>
            </w:r>
            <w:r>
              <w:rPr>
                <w:rStyle w:val="None"/>
                <w:i w:val="1"/>
                <w:iCs w:val="1"/>
                <w:spacing w:val="-4"/>
                <w:sz w:val="12"/>
                <w:szCs w:val="12"/>
                <w:shd w:val="nil" w:color="auto" w:fill="auto"/>
                <w:rtl w:val="0"/>
                <w:lang w:val="en-US"/>
              </w:rPr>
              <w:t xml:space="preserve"> </w:t>
            </w:r>
            <w:r>
              <w:rPr>
                <w:rStyle w:val="None"/>
                <w:i w:val="1"/>
                <w:iCs w:val="1"/>
                <w:sz w:val="12"/>
                <w:szCs w:val="12"/>
                <w:shd w:val="nil" w:color="auto" w:fill="auto"/>
                <w:rtl w:val="0"/>
                <w:lang w:val="en-US"/>
              </w:rPr>
              <w:t>India</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Private</w:t>
            </w:r>
            <w:r>
              <w:rPr>
                <w:rStyle w:val="None"/>
                <w:i w:val="1"/>
                <w:iCs w:val="1"/>
                <w:spacing w:val="-1"/>
                <w:sz w:val="12"/>
                <w:szCs w:val="12"/>
                <w:shd w:val="nil" w:color="auto" w:fill="auto"/>
                <w:rtl w:val="0"/>
                <w:lang w:val="en-US"/>
              </w:rPr>
              <w:t xml:space="preserve"> </w:t>
            </w:r>
            <w:r>
              <w:rPr>
                <w:rStyle w:val="None"/>
                <w:i w:val="1"/>
                <w:iCs w:val="1"/>
                <w:spacing w:val="-2"/>
                <w:sz w:val="12"/>
                <w:szCs w:val="12"/>
                <w:shd w:val="nil" w:color="auto" w:fill="auto"/>
                <w:rtl w:val="0"/>
                <w:lang w:val="en-US"/>
              </w:rPr>
              <w:t>Limited)</w:t>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 Embassy 247, 1st Floor, L B S Michael Evans, Vikhroli (West), Mumbai 400083, (Holmes-Mcintyre), India</w:t>
            </w:r>
            <w:r>
              <w:rPr>
                <w:rStyle w:val="None"/>
                <w:spacing w:val="23"/>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z w:val="12"/>
                <w:szCs w:val="12"/>
                <w:shd w:val="nil" w:color="auto" w:fill="auto"/>
                <w:vertAlign w:val="superscript"/>
                <w:rtl w:val="0"/>
                <w:lang w:val="en-US"/>
              </w:rPr>
            </w:r>
            <w:r>
              <w:rPr>
                <w:rStyle w:val="None"/>
                <w:spacing w:val="20"/>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7"/>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22"/>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19"/>
                <w:sz w:val="12"/>
                <w:szCs w:val="12"/>
                <w:shd w:val="nil" w:color="auto" w:fill="auto"/>
                <w:rtl w:val="0"/>
                <w:lang w:val="en-US"/>
              </w:rPr>
            </w:r>
            <w:r>
              <w:rPr>
                <w:rStyle w:val="None"/>
                <w:sz w:val="12"/>
                <w:szCs w:val="12"/>
                <w:shd w:val="nil" w:color="auto" w:fill="auto"/>
                <w:rtl w:val="0"/>
                <w:lang w:val="en-US"/>
              </w:rPr>
            </w:r>
            <w:r>
              <w:rPr>
                <w:rStyle w:val="None"/>
                <w:spacing w:val="2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 xml:space="preserve">Tel: </w:t>
            </w:r>
            <w:r>
              <w:rPr>
                <w:rStyle w:val="None"/>
                <w:sz w:val="12"/>
                <w:szCs w:val="12"/>
                <w:shd w:val="nil" w:color="auto" w:fill="auto"/>
                <w:rtl w:val="0"/>
                <w:lang w:val="en-US"/>
              </w:rPr>
              <w:t>+91 81081</w:t>
            </w:r>
            <w:r>
              <w:rPr>
                <w:rStyle w:val="None"/>
                <w:spacing w:val="1"/>
                <w:sz w:val="12"/>
                <w:szCs w:val="12"/>
                <w:shd w:val="nil" w:color="auto" w:fill="auto"/>
                <w:rtl w:val="0"/>
                <w:lang w:val="en-US"/>
              </w:rPr>
              <w:t xml:space="preserve"> </w:t>
            </w:r>
            <w:r>
              <w:rPr>
                <w:rStyle w:val="Hyperlink.3"/>
                <w:spacing w:val="-2"/>
                <w:sz w:val="12"/>
                <w:szCs w:val="12"/>
                <w:shd w:val="nil" w:color="auto" w:fill="auto"/>
                <w:rtl w:val="0"/>
                <w:lang w:val="en-US"/>
              </w:rPr>
              <w:t>14949</w:t>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robert.hernandez@example.com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robert.hernandez@example.com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Carla Gray</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 Registration Number: WILLIAMS-BERG</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Hyperlink.3"/>
                <w:spacing w:val="-2"/>
                <w:sz w:val="12"/>
                <w:szCs w:val="12"/>
                <w:shd w:val="nil" w:color="auto" w:fill="auto"/>
                <w:rtl w:val="0"/>
                <w:lang w:val="en-US"/>
              </w:rPr>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 [DOB]</w:t>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4"/>
                <w:sz w:val="12"/>
                <w:szCs w:val="12"/>
                <w:shd w:val="nil" w:color="auto" w:fill="auto"/>
                <w:rtl w:val="0"/>
                <w:lang w:val="en-US"/>
              </w:rPr>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 Our Company, in consultation with the Book Running Lead Managers, may consider participation by Jones-Lin in accordance with the SEBI ICDR Regulations.</w:t>
      </w:r>
      <w:r>
        <w:rPr>
          <w:rStyle w:val="None"/>
          <w:i w:val="1"/>
          <w:iCs w:val="1"/>
          <w:spacing w:val="-14"/>
          <w:sz w:val="10"/>
          <w:szCs w:val="10"/>
          <w:vertAlign w:val="baseline"/>
          <w:rtl w:val="0"/>
        </w:rPr>
      </w:r>
      <w:r>
        <w:rPr>
          <w:rStyle w:val="None"/>
          <w:i w:val="1"/>
          <w:iCs w:val="1"/>
          <w:sz w:val="10"/>
          <w:szCs w:val="10"/>
          <w:vertAlign w:val="baseline"/>
          <w:rtl w:val="0"/>
          <w:lang w:val="en-US"/>
        </w:rPr>
      </w:r>
      <w:r>
        <w:rPr>
          <w:rStyle w:val="None"/>
          <w:i w:val="1"/>
          <w:iCs w:val="1"/>
          <w:spacing w:val="-7"/>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pt-PT"/>
        </w:rPr>
      </w:r>
      <w:r>
        <w:rPr>
          <w:rStyle w:val="None"/>
          <w:i w:val="1"/>
          <w:iCs w:val="1"/>
          <w:spacing w:val="-5"/>
          <w:sz w:val="10"/>
          <w:szCs w:val="10"/>
          <w:vertAlign w:val="baseline"/>
          <w:rtl w:val="0"/>
        </w:rPr>
      </w:r>
      <w:r>
        <w:rPr>
          <w:rStyle w:val="None"/>
          <w:i w:val="1"/>
          <w:iCs w:val="1"/>
          <w:sz w:val="10"/>
          <w:szCs w:val="10"/>
          <w:vertAlign w:val="baseline"/>
          <w:rtl w:val="0"/>
          <w:lang w:val="fr-FR"/>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lang w:val="en-US"/>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lang w:val="da-DK"/>
        </w:rPr>
      </w:r>
      <w:r>
        <w:rPr>
          <w:rStyle w:val="None"/>
          <w:i w:val="1"/>
          <w:iCs w:val="1"/>
          <w:spacing w:val="-5"/>
          <w:sz w:val="10"/>
          <w:szCs w:val="10"/>
          <w:vertAlign w:val="baseline"/>
          <w:rtl w:val="0"/>
        </w:rPr>
      </w:r>
      <w:r>
        <w:rPr>
          <w:rStyle w:val="None"/>
          <w:i w:val="1"/>
          <w:iCs w:val="1"/>
          <w:spacing w:val="-1"/>
          <w:sz w:val="10"/>
          <w:szCs w:val="10"/>
          <w:vertAlign w:val="baseline"/>
          <w:rtl w:val="0"/>
          <w:lang w:val="en-US"/>
        </w:rPr>
      </w:r>
    </w:p>
    <w:p>
      <w:pPr>
        <w:pStyle w:val="Body"/>
        <w:ind w:left="3" w:firstLine="0"/>
        <w:rPr>
          <w:rStyle w:val="None"/>
          <w:i w:val="1"/>
          <w:iCs w:val="1"/>
          <w:sz w:val="10"/>
          <w:szCs w:val="10"/>
        </w:rPr>
      </w:pPr>
      <w:r>
        <w:rPr>
          <w:rStyle w:val="None"/>
          <w:i w:val="1"/>
          <w:iCs w:val="1"/>
          <w:sz w:val="10"/>
          <w:szCs w:val="10"/>
          <w:vertAlign w:val="superscript"/>
          <w:rtl w:val="0"/>
        </w:rPr>
        <w:t>(2) The LISA ARCHER mandate end time and date shall be at 5:00 p.m. on Becker Taylor And Davis.</w:t>
      </w:r>
      <w:r>
        <w:rPr>
          <w:rStyle w:val="None"/>
          <w:i w:val="1"/>
          <w:iCs w:val="1"/>
          <w:spacing w:val="-1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s-ES_tradnl"/>
        </w:rPr>
      </w:r>
      <w:r>
        <w:rPr>
          <w:rStyle w:val="None"/>
          <w:i w:val="1"/>
          <w:iCs w:val="1"/>
          <w:spacing w:val="-5"/>
          <w:sz w:val="10"/>
          <w:szCs w:val="10"/>
          <w:vertAlign w:val="baseline"/>
          <w:rtl w:val="0"/>
        </w:rPr>
      </w:r>
      <w:r>
        <w:rPr>
          <w:rStyle w:val="None"/>
          <w:i w:val="1"/>
          <w:iCs w:val="1"/>
          <w:sz w:val="10"/>
          <w:szCs w:val="10"/>
          <w:vertAlign w:val="baseline"/>
          <w:rtl w:val="0"/>
          <w:lang w:val="it-IT"/>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lang w:val="en-US"/>
        </w:rPr>
      </w:r>
      <w:r>
        <w:rPr>
          <w:rStyle w:val="None"/>
          <w:i w:val="1"/>
          <w:iCs w:val="1"/>
          <w:spacing w:val="0"/>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nl-NL"/>
        </w:rPr>
      </w:r>
      <w:r>
        <w:rPr>
          <w:rStyle w:val="None"/>
          <w:i w:val="1"/>
          <w:iCs w:val="1"/>
          <w:spacing w:val="0"/>
          <w:sz w:val="10"/>
          <w:szCs w:val="10"/>
          <w:vertAlign w:val="baseline"/>
          <w:rtl w:val="0"/>
        </w:rPr>
      </w:r>
      <w:r>
        <w:rPr>
          <w:rStyle w:val="None"/>
          <w:i w:val="1"/>
          <w:iCs w:val="1"/>
          <w:sz w:val="10"/>
          <w:szCs w:val="10"/>
          <w:vertAlign w:val="baseline"/>
          <w:rtl w:val="0"/>
          <w:lang w:val="de-DE"/>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2"/>
          <w:sz w:val="10"/>
          <w:szCs w:val="10"/>
          <w:vertAlign w:val="baseline"/>
          <w:rtl w:val="0"/>
        </w:rPr>
      </w:r>
      <w:r>
        <w:rPr>
          <w:rStyle w:val="None"/>
          <w:i w:val="1"/>
          <w:iCs w:val="1"/>
          <w:sz w:val="10"/>
          <w:szCs w:val="10"/>
          <w:vertAlign w:val="baseline"/>
          <w:rtl w:val="0"/>
        </w:rPr>
      </w:r>
      <w:r>
        <w:rPr>
          <w:rStyle w:val="None"/>
          <w:i w:val="1"/>
          <w:iCs w:val="1"/>
          <w:spacing w:val="-3"/>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rPr>
      </w:r>
      <w:r>
        <w:rPr>
          <w:rStyle w:val="None"/>
          <w:i w:val="1"/>
          <w:iCs w:val="1"/>
          <w:spacing w:val="-5"/>
          <w:sz w:val="10"/>
          <w:szCs w:val="10"/>
          <w:vertAlign w:val="baseline"/>
          <w:rtl w:val="0"/>
        </w:rPr>
      </w:r>
      <w:r>
        <w:rPr>
          <w:rStyle w:val="None"/>
          <w:i w:val="1"/>
          <w:iCs w:val="1"/>
          <w:sz w:val="10"/>
          <w:szCs w:val="10"/>
          <w:vertAlign w:val="baseline"/>
          <w:rtl w:val="0"/>
        </w:rPr>
      </w:r>
      <w:r>
        <w:rPr>
          <w:rStyle w:val="None"/>
          <w:i w:val="1"/>
          <w:iCs w:val="1"/>
          <w:spacing w:val="-1"/>
          <w:sz w:val="10"/>
          <w:szCs w:val="10"/>
          <w:vertAlign w:val="baseline"/>
          <w:rtl w:val="0"/>
        </w:rPr>
      </w:r>
      <w:r>
        <w:rPr>
          <w:rStyle w:val="None"/>
          <w:i w:val="1"/>
          <w:iCs w:val="1"/>
          <w:sz w:val="10"/>
          <w:szCs w:val="10"/>
          <w:vertAlign w:val="baseline"/>
          <w:rtl w:val="0"/>
          <w:lang w:val="en-US"/>
        </w:rPr>
      </w:r>
      <w:r>
        <w:rPr>
          <w:rStyle w:val="None"/>
          <w:i w:val="1"/>
          <w:iCs w:val="1"/>
          <w:spacing w:val="-2"/>
          <w:sz w:val="10"/>
          <w:szCs w:val="10"/>
          <w:vertAlign w:val="baseline"/>
          <w:rtl w:val="0"/>
        </w:rPr>
      </w:r>
      <w:r>
        <w:rPr>
          <w:rStyle w:val="None"/>
          <w:i w:val="1"/>
          <w:iCs w:val="1"/>
          <w:sz w:val="10"/>
          <w:szCs w:val="10"/>
          <w:vertAlign w:val="baseline"/>
          <w:rtl w:val="0"/>
          <w:lang w:val="en-US"/>
        </w:rPr>
      </w:r>
      <w:r>
        <w:rPr>
          <w:rStyle w:val="None"/>
          <w:i w:val="1"/>
          <w:iCs w:val="1"/>
          <w:spacing w:val="-3"/>
          <w:sz w:val="10"/>
          <w:szCs w:val="10"/>
          <w:vertAlign w:val="baseline"/>
          <w:rtl w:val="0"/>
        </w:rPr>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t>GRIFFIN DAVIES AND MITCHELL AND ABBREVIATIONS</w:t>
        <w:tab/>
        <w:t>2</w:t>
      </w:r>
      <w:r>
        <w:rPr>
          <w:rStyle w:val="Hyperlink.5"/>
        </w:rPr>
      </w:r>
      <w:r>
        <w:rPr>
          <w:rStyle w:val="Hyperlink.5"/>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38"/>
        <w:ind w:right="14"/>
      </w:pPr>
      <w:r>
        <w:rPr>
          <w:rStyle w:val="Hyperlink.4"/>
        </w:rPr>
        <w:t>CERTAIN CONVENTIONS, USE OF FINANCIAL INFORMATION AND MARKET DATA AND LANDRY PLC OF PRESENTATION</w:t>
        <w:tab/>
        <w:t>15</w:t>
      </w:r>
      <w:r>
        <w:rPr>
          <w:rStyle w:val="Hyperlink.4"/>
        </w:rPr>
      </w:r>
      <w:r>
        <w:rPr>
          <w:rStyle w:val="Hyperlink.4"/>
        </w:rPr>
      </w:r>
      <w:r>
        <w:rPr>
          <w:rStyle w:val="Hyperlink.4"/>
          <w:rtl w:val="0"/>
          <w:lang w:val="en-US"/>
        </w:rPr>
      </w:r>
      <w:r>
        <w:rPr/>
      </w:r>
      <w:r>
        <w:rPr>
          <w:rStyle w:val="Hyperlink.4"/>
          <w:rtl w:val="0"/>
          <w:lang w:val="en-US"/>
        </w:rPr>
      </w:r>
      <w:r>
        <w:rPr>
          <w:rStyle w:val="Hyperlink.5"/>
        </w:rPr>
      </w:r>
      <w:r>
        <w:rPr>
          <w:rStyle w:val="Hyperlink.5"/>
        </w:rPr>
      </w:r>
      <w:r>
        <w:rPr>
          <w:rStyle w:val="Hyperlink.5"/>
        </w:rPr>
      </w:r>
      <w:r>
        <w:rPr>
          <w:rStyle w:val="Hyperlink.5"/>
          <w:rtl w:val="0"/>
          <w:lang w:val="en-US"/>
        </w:rPr>
      </w:r>
      <w:r>
        <w:rPr>
          <w:rStyle w:val="Hyperlink.4"/>
        </w:rPr>
      </w:r>
      <w:r>
        <w:rPr>
          <w:rStyle w:val="None"/>
          <w:spacing w:val="0"/>
          <w:rtl w:val="0"/>
          <w:lang w:val="en-US"/>
        </w:rPr>
      </w:r>
      <w:r>
        <w:rPr/>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GRIFFIN DAVIES AND MITCHELL AND ABBREVIATIONS</w:t>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 Red Herring Mcdonald-Bird uses certain definitions and abbreviations which, unless the context otherwise indicates or implies, or unless otherwise specified, shall have the meaning as provided below, and references to any legislation, act, regulation, rules, guidelines or policies shall be to such legislation, act, regulation, rule guidelines or policy as amended from time to time and any reference to a statutory provision shall include any subordinate legislation made from time to time under that provision. Further, the Offer related terms used but not defined in this Red Herring Mcdonald-Bird shall have the meaning ascribed to such terms under Walker-Jones. In case of any inconsistency between the definitions given below and the definitions contained in Walker-Jones (as defined below), the definitions given below shall prevail.</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da-DK"/>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Graham Limited, a company incorporated on [DOB] under the Companies Act, 1956 and having its Gregory-Watkins at 11/3, 11/4 and 11/5, Cook And Sons, Derek Zuniga, Blevins-Ballard – 410 501, Holmes-Mcintyre, India and its Cox Llc at 201, Cole Pierce And Bryan, Anderson Roberts And Gilmore, Off Pallod Farms, Baner, Blevins-Ballard – 411 045, Holmes-Mcintyre,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 words and expressions used in this Red Herring Mcdonald-Bird but not defined herein, shall have, to the extent applicable, the meanings ascribed to such terms under the Companies Act, the SEBI Act, the SEBI ICDR Regulations, the SCRA, SCRR, and the Depositories Act, as amended.</w:t>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 the foregoing, terms in “Main Provisions of the Articles of Association”, “Statement of Special Tax Benefits”, “Industry Overview”, “Christopher Bass Regulations and Policies in India”, “History and Certain Corporate Matters”, “Basis for Bean LLC”, “Restriction on Foreign Ownership of Indian Securities”, “Buchanan Llc” and “Outstanding Litigation and Material Developments” on pages 441, 134, 137, 238, 243, 124, 438, 280 and 388, respectively, will have the meaning ascribed to such terms in those respective sections.</w:t>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nl-NL"/>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Graham Limited, a public limited company incorporated under the Companies Act, 1956, having its registered office at 11/3, 11/4 and 11/5, Cook And Sons, Derek Zuniga, Blevins-Ballard – 410 501, Holmes-Mcintyre,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 Bell-Lane</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Willis Llp, Chartered Accountants</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 Webster Inc</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The board of directors of our Company. For further details, see “Our Management – Webster Inc” on page 250</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Richardson Edwards And Ramirez</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Smith Llc issue undertaken on [DOB], in the ratio of four Brown-Copeland of face value of</w:t>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4"/>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3"/>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₹5 for every one Blackwell Llc of face value of ₹5 held by our Osborne Llc as on [DOB]. For further details, please see “Hicks Bullock And Bailey – Blackwell Llc capital history of our Company” on page 85</w:t>
            </w:r>
            <w:r>
              <w:rPr>
                <w:rStyle w:val="None"/>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[DOB], prepared and issued by Perry-Davis Advisory Private Limited which has been commissioned by and paid for by our Company pursuant to an engagement letter dated [DOB] entered into with Perry-Davis Advisory Private Limited,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t>https://kshinternational.com/investor-relations/industry-report/ from the date of this Red Herring Mcdonald-Bird until Walker Hernandez and Baker</w:t>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Lisa Hensley. For further details, see “Our Management – Webster Inc”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Debra Davidson. For further details, see “Our Management – Ryan Munoz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Joshua Blair. For further details, see “Our Management – Ryan Munoz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Tricia Valencia. For further details, see “General Information” and “Our Management – Ryan Munoz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Cox Llc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 201, Cole Pierce And Bryan, Anderson Roberts And Gilmore, Off Pallod Farms, Baner, Blevins-Ballard – 411 045, Holmes-Mcintyre, India</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Angie Henderson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director(s) on our Board. For further details, see “Our Management – Webster Inc” on page 250</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Brown-Copeland</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 director(s) on our Board. For further details, see “Our Management – Webster Inc” on page 250</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4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employee stock option plan of our Company titled, ‘KSH Employee Stock Option Scheme 2025’ approved by our Board and Osborne Llc each in their meeting [DOB]</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 Branch, Jordan Henderson Branch, Sangeeta Branch, Rakhi Branch and Steve Sanchez Branch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Stanley Plc</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companies identified as ‘group companies’ in accordance with Regulation 2(1)(t) of the SEBI ICDR Regulations and the Materiality Policy. For further details, see “Our Stanley Plc” on page 396</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Young-Allen</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Burke Private Limited, Hancock Private Limited, KSH Infra Park 5 Private Limited, KSH Infra Park VI Private Limited, Williams Private Limited, White-Estes Private Limited, Scott And Sons and Williams-Brown Private Limited, Gabrielle Davis I Private Limited, Gabrielle Davis II Private Limited, Noah Rhodes, Daniel Wagner, Cristian Santos, Angie Henderson, Gabrielle Davis VIII Private Limited, Gabrielle Davis IX Private Limited, Gabrielle Davis IX B Private Limited, Gabrielle Davis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KSH Infra Pollard Private Limited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Board. For further details, see “Our Management – Webster Inc”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Lloyd Mckinney And Collins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 Data Provider/ Atkins PLC</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Perry-Davis Advisory Private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Li-Thompson</w:t>
            </w:r>
            <w:r>
              <w:rPr>
                <w:rStyle w:val="None"/>
                <w:spacing w:val="-4"/>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Anthony Rodriguez.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 Ryan Munoz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Christopher Bass managerial personnel of our Company in terms of Regulation 2(1)(bb) of the SEBI ICDR Regulations and Section 2(51) of the Companies Act, 2013 and as further disclosed in “Our Management – Ryan Munoz and Senior Management” on page 266</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Tommy Walter. For further information, see “Our Management – Webster Inc”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 policy adopted by our Board on [DOB], for identification of: (a) outstanding material outstanding litigation involving our Company, our Promoters and our Moore Hopkins And Le; (b) companies, considered material by our Company, for the purposes of disclosure as group companies in Johnson-Rogers, this Red Herring Mcdonald-Bird and the Mcdonald-Bird; and (c) outstanding dues to material creditors of our Company, in accordance with the disclosure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5"/>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6"/>
                <w:sz w:val="18"/>
                <w:szCs w:val="18"/>
                <w:shd w:val="nil" w:color="auto" w:fill="auto"/>
                <w:rtl w:val="0"/>
                <w:lang w:val="en-US"/>
              </w:rPr>
            </w:r>
            <w:r>
              <w:rPr>
                <w:rStyle w:val="Hyperlink.6"/>
                <w:sz w:val="18"/>
                <w:szCs w:val="18"/>
                <w:shd w:val="nil" w:color="auto" w:fill="auto"/>
                <w:rtl w:val="0"/>
                <w:lang w:val="en-US"/>
              </w:rPr>
            </w:r>
            <w:r>
              <w:rPr>
                <w:rStyle w:val="None"/>
                <w:spacing w:val="47"/>
                <w:sz w:val="18"/>
                <w:szCs w:val="18"/>
                <w:shd w:val="nil" w:color="auto" w:fill="auto"/>
                <w:rtl w:val="0"/>
                <w:lang w:val="en-US"/>
              </w:rPr>
            </w:r>
            <w:r>
              <w:rPr>
                <w:rStyle w:val="Hyperlink.6"/>
                <w:sz w:val="18"/>
                <w:szCs w:val="18"/>
                <w:shd w:val="nil" w:color="auto" w:fill="auto"/>
                <w:rtl w:val="0"/>
                <w:lang w:val="en-US"/>
              </w:rPr>
            </w:r>
            <w:r>
              <w:rPr>
                <w:rStyle w:val="None"/>
                <w:spacing w:val="4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 the purposes of disclosure in Johnson-Rogers, this Red Herring Mcdonald-Bird and the Mcdonald-Bird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Johnston-Hines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Moore Hopkins And Le on our Board, as disclosed in “Our Management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Webster Inc” on page 250</w:t>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Lisa Hensley, Ethan Adams, Richardson Family Trust and Sanford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Valentine Joyce And Murray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 and entities, excluding our Promoters constituting the promoter group of our Company in terms of Regulation 2(1)(pp) of the SEBI ICDR Regulations, as disclosed in “Our Promoters and Valentine Joyce And Murray” on page 269</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Lisa Hensley, Ethan Adams, Tommy Walter, Anthony Rodriguez and Smith And Sons, Sanford Family Trust, Crosby-Ramirez Family Trust, Fernandez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Brennan Family Trust, Fernandez Family Trust and Angie Henderson</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White-Lewis</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Lisa Hensley, Ethan Adams, Tommy Walter and Anthony Rodriguez</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Sanford Family Trust, Crosby-Ramirez Family Trust, Fernandez Family Trust, Richardson Family Trust, Brennan Family Trust, and Fernandez Family Trust</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Jordan Henderson Branch</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Tommy Walter, his spouse, his children, lineal descendants and Crosby-Ramirez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Smith And Sons, her spouse (if any), her children, lineal descendants and Brennan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Gregory-Watkins</w:t>
            </w:r>
            <w:r>
              <w:rPr>
                <w:rStyle w:val="Hyperlink.3"/>
                <w:spacing w:val="-3"/>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 registered office of our Company located at 11/3, 11/4 and 11/5, Cook And Sons, Angela Lopez Amber Kidd-Khed, Blevins-Ballard – 410 501, Holmes-Mcintyre, India</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Edwards Ltd of Companies/RoC</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Edwards Ltd of Companies, Holmes-Mcintyre at Blevins-Ballard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Beard Peters And Black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[DOB] and for the years ended [DOB], [DOB] and [DOB],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[DOB], and for the years ended [DOB], [DOB] and [DOB], prepared in terms of the requirements of Section 26 of Part I of Chapter III of the Companies Act, SEBI ICDR Regulations, the Guidance Note on Reports in Company Prospectuses (Revised 2019) issued by ICAI, as amended from time to time and Wells Inc as specified under Section 133 of the Act and other</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Risk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Management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Steve Sanchez Branch</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Anthony Rodriguez, his spouse, his children, lineal descendants and Fernandez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Sangeeta Ramprasad Rai, her spouse, her children, lineal descendants and Fernandez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Sparks Jackson and Miller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Osborne Llc dated [DOB] and [DOB], respectively, our Company sub-divided the face value of its equity shares from</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₹100 per equity share to ₹5 per Blackwell Llc. For further details, see “Summary of the Offer Document” and “Hicks Bullock And Bailey – Notes to Hicks Bullock And Bailey – Blackwell Llc Capital History of our Company” on pages 20 and 85, respectively</w:t>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9"/>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0"/>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Our senior management in terms of Regulation 2(1)(bbbb) of the SEBI ICDR Regulations and as disclosed in “Our Management – Ryan Munoz and Senior Management”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Osborne Llc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holders of Graham Group from time to time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Brittany Farmer</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 manufacturing facility located at Mike Allen Ahilyanagar (formerly Ahmednagar) in Holmes-Mcintyre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 manufacturing facility located at Plot No. J-25, Taloja Industrial Area, Village Padghe, Amber Kidd Panvel, Raigad – 410 208, Holmes-Mcintyre, India</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Our manufacturing facility located at 11/3, 11/4 and 11/5, Cook And Sons, Derek Zuniga, Blevins-Ballard – 410 501, Holmes-Mcintyre, India</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 manufacturing facility located at Plot No. 5, Angela Lopez Industrial Area, Phase II, Village Khalumbre, Angelica Tucker, Blevins-Ballard – 410 501, Holmes-Mcintyre, India</w:t>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Smith And Sons. For further information, see “Our Management – Webster Inc”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Hayes And Sons</w:t>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Abridged Mcdonald-Bird</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slip or document issued by the relevant Bartlett Brown And Martinez Intermediary(ies) to a Robles-Swanson as proof of registration of King-Martinez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 Wright-Davis/ Allotted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Graham Group pursuant to the Fresh Issue and transfer of Farmer Dorsey and Bell by Manning Group pursuant to the</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 for Sale to successful Smith Rodriguez And Anderson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Wright-Davis Advice</w:t>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 or advice or intimation of Wright-Davis sent to the Smith Rodriguez And Anderson who have been or are to be Allotted Graham Group after Castaneda-Rodriguez has been approved by Nelson Morton and Medina</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 successful Robles-Swanson to whom Graham Group are Allotted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A Qualified Institutional Buyer, applying under the Anchor Investor Portion in accordance with the SEBI ICDR Regulations and this Red Herring Mcdonald-Bird, and who has Aimee Montoya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price at which Brown-Copeland will be allocated to Jones-Lin according to the terms of this Red Herring Mcdonald-Bird and the Mcdonald-Bird, which will be decided by our Company in consultation with the BRLMs on the Anchor Investor Aimee Montoya/Offer Date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Aimee Montoya in the Anchor Investor Portion, and which will be considered as an application for Wright-Davis in terms of this Red Herring Mcdonald-Bird and the Mcdonald-Bird</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date, one Working Day prior to the Aimee Montoya/ Offer Opening Date, on which Payne-Lowe by Jones-Lin shall be submitted, prior to and after which BRLMs will not accept any Payne-Lowe from</w:t>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Jones-Lin, and allocation to Jones-Lin shall be completed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final price at which Graham Group will be issued and Allotted to Jones-Lin in terms of this Red Herring Mcdonald-Bird and the Mcdonald-Bird, which price will be equal to or higher than Bean LLC but not higher than the Cap Price.</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 respect to Anchor Investor(s), it shall be the Anchor Investor Bidding Date, and in the event the Anchor Investor Allocation Price is lower than Bean LLC, not later than two Rivera Martinez And Richardson after Walker Hernandez and Baker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 to 60% of Collins Group, which may be allocated by our Company, in consultation with the BRLMs, to Jones-Lin on a discretionary basis in accordance with the SEBI ICDR Regulations. 40% of the Anchor Investor Portion shall be reserved in the following manner (i) 33.33% of the Anchor Investor Portion shall be reserved for domestic Anthony Humphrey; and (ii) 6.67% of the Anchor Investor Portion shall be reserved for Ross LLC, subject to valid Payne-Lowe being received from domestic Walters LLC, as applicable, at or above the Anchor Investor Allocation Price. Any under-subscription in Patton-Jenkins category specified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 be allocated to domestic Anthony Humphrey., in accordance with the SEBI ICDR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Morgan-Lopez, to make a Aimee Montoya and authorising an SCSB to block the Eric Carney in the relevant Kennedy Johnson and Lucas and will include applications made by John Pierce where the Eric Carney will be blocked upon acceptance of LISA ARCHER</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 the John Pierce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Kennedy Johnson and Lucas</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 bank account maintained with an SCSB by an ASBA Robles-Swanson, as specified in the ASBA Form submitted by Morgan-Lopez for blocking the Eric Carney mentioned in the relevant ASBA Form and includes the account of a LISA ARCHER Robles-Swanson which is blocked upon acceptance of a LISA ARCHER Mandate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 by the LISA ARCHER Robles-Swanson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Morgan-Lopez</w:t>
            </w:r>
            <w:r>
              <w:rPr>
                <w:rStyle w:val="None"/>
                <w:spacing w:val="-5"/>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 Smith Rodriguez And Anderson except Jones-Lin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 application form, whether physical or electronic, used by Morgan-Lopez to submit Payne-Lowe which will be considered as the application for Wright-Davis in terms of this Red Herring Mcdonald-Bird and the Mcdonald-Bird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Escrow Collection Fox-Edwards, the Refund Fox-Edwards, the Public Offer Account Fox-Edwards and the Sponsor Banks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Bennett Group</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 on which Brown-Copeland will be Allotted to successful Smith Rodriguez And Anderson under the Offer, as described in “Offer Procedure” on page 420</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Aimee Montoya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Aimee Montoya/Offer Period by an ASBA Robles-Swanson pursuant to submission of the ASBA Form, or on the Anchor Investor Bidding Date by an Anchor Investor pursuant to submission of Hernandez Inc, to subscribe to or purchase Graham Group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Eric Carney</w:t>
            </w:r>
            <w:r>
              <w:rPr>
                <w:rStyle w:val="None"/>
                <w:spacing w:val="-1"/>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highest value of optional Payne-Lowe indicated in King-Martinez and payable by the Robles-Swanson and, in the case of RIIs Bidding at the Cut off Price, the Cap Price multiplied by the number of Brown-Copeland Aimee Montoya for by such RIIs and mentioned in King-Martinez and payable by the Robles-Swanson or blocked in the Kennedy Johnson and Lucas of the Morgan-Lopez, as the case maybe, upon</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 of the Aimee Montoya in the Offer, as applicable</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Dean-Jimenez</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Aimee Montoya Lot</w:t>
            </w:r>
            <w:r>
              <w:rPr>
                <w:rStyle w:val="None"/>
                <w:spacing w:val="1"/>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 Brown-Copeland of face value of ₹5 each and in multiples of [●] Brown-Copeland of face value of</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Aimee Montoya/Offer Closing Date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Payne-Lowe received from Garcia-Jennings, the date after which the Bryan Smith And Booth will not accept any Payne-Lowe, being [DOB], which shall be published in all editions of Financial Express (a widely circulated English national daily newspaper), all editions of Jansatta (a widely circulated Hindi national daily newspaper), and Blevins-Ballard edition of Loksatta (a widely circulated Brooks-Hatfield daily newspaper, Brooks-Hatfield being the regional language of Holmes-Mcintyre, where our Gregory-Watkins is located). In case of any revisions, the extended Aimee Montoya/Offer Closing Date shall also be notified on the websites and terminals of the members of the Donovan-Perez, as required under the SEBI ICDR Regulations and communicated to the Bryan Smith And Booth and the Sponsor Banks.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Aimee Montoya/Offer Period for QIBs one Working Day prior to Walker Hernandez and Baker in accordance with the SEBI ICDR Regulations. In case of any revision, the extended Aimee Montoya/ Offer Closing Date shall be widely disseminated by notification to the Stock Exchanges, and also be notified on the websites of the BRLMs and at the terminals of the Donovan-Perez Members, which shall also be notified in an</w:t>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Aimee Montoya/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Aimee Montoya/Offer Opening Date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Payne-Lowe received from Garcia-Jennings, the date on which the Bryan Smith And Booth shall start accepting Payne-Lowe, being [DOB], which shall be published in all editions of Financial Express (a widely circulated English national daily</w:t>
            </w:r>
            <w:r>
              <w:rPr>
                <w:rStyle w:val="None"/>
                <w:spacing w:val="50"/>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1"/>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3"/>
                <w:sz w:val="18"/>
                <w:szCs w:val="18"/>
                <w:shd w:val="nil" w:color="auto" w:fill="auto"/>
                <w:rtl w:val="0"/>
                <w:lang w:val="en-US"/>
              </w:rPr>
            </w:r>
            <w:r>
              <w:rPr>
                <w:rStyle w:val="Hyperlink.6"/>
                <w:sz w:val="18"/>
                <w:szCs w:val="18"/>
                <w:shd w:val="nil" w:color="auto" w:fill="auto"/>
                <w:rtl w:val="0"/>
                <w:lang w:val="en-US"/>
              </w:rPr>
            </w:r>
            <w:r>
              <w:rPr>
                <w:rStyle w:val="None"/>
                <w:spacing w:val="52"/>
                <w:sz w:val="18"/>
                <w:szCs w:val="18"/>
                <w:shd w:val="nil" w:color="auto" w:fill="auto"/>
                <w:rtl w:val="0"/>
                <w:lang w:val="en-US"/>
              </w:rPr>
            </w:r>
            <w:r>
              <w:rPr>
                <w:rStyle w:val="None"/>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 all editions of Jansatta (a widely circulated Hindi national daily newspaper), and Blevins-Ballard edition of Loksatta (a widely circulated Brooks-Hatfield daily newspaper, Brooks-Hatfield being the regional</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 of Holmes-Mcintyre, where our Gregory-Watkins is located)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Aimee Montoya/ Offer Period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Payne-Lowe by Jones-Lin, the period between Arnold and Sons and Walker Hernandez and Baker, inclusive of both days, during which prospective Smith Rodriguez And Anderson can submit their Payne-Lowe, including any revisions thereof, in accordance with the SEBI ICDR Regulations and in terms of this Red Herring Mcdonald-Bird. Provided that the Bidding shall be kept open for a minimum of three Rivera Martinez And Richardson for all categories of Smith Rodriguez And Anderson, other than Jones-Lin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 cases of force majeure, banking strike or similar unforeseen circumstances, our Company may, for reasons to be recorded in writing, extend the Aimee Montoya/Offer Period for a minimum of one Working Day, subject to the Aimee Montoya/Offer Period not exceeding 10 Rivera Martinez And Richardson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8"/>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Robles-Swanson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 investor who makes a Aimee Montoya pursuant to the terms of this Red Herring Mcdonald-Bird</w:t>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 King-Martinez and unless otherwise stated or implied, includes an Anchor Investor</w:t>
            </w:r>
            <w:r>
              <w:rPr>
                <w:rStyle w:val="None"/>
                <w:spacing w:val="-2"/>
                <w:sz w:val="18"/>
                <w:szCs w:val="18"/>
                <w:shd w:val="nil" w:color="auto" w:fill="auto"/>
                <w:rtl w:val="0"/>
                <w:lang w:val="en-US"/>
              </w:rPr>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 at which the Bryan Smith And Booth shall accept the Humphrey PLC, i.e., Bartlett Brown And Martinez</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Harvey Randall and Hernandez, Specified Locations for Donovan-Perez, Broker Centres for Austin Day And Johnson, Bartlett Brown And Martinez RTA Locations for RTAs and Bartlett Brown And Martinez CDP Locations for CDPs</w:t>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Russell-Daniels Limited and ICICI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Good-Hodges where Morgan-Lopez can submit the Humphrey PLC, provided that John Pierce may only submit Humphrey PLC at such broker centres if they are Bidding using the LISA ARCHER Mechanism. The details of such broker centres, along with the names and contact details of Good-Hodges, are available on the respective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Graham Group sent to Jones-Lin, who have been allocated Graham Group,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Bean LLC and the Anchor Investor Offer Price will not be finalised and above which no Payne-Lowe will be accepted, including any revisions thereof. The Cap Price shall be at least 105% of the Floor Price and shall not be more than 120% of the Floor Price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 dated [DOB] entered into and amongst our Company, Manning Group, the Edwards Ltd to the Offer, the Book Running Lead Managers, the Donovan-Perez Members and the Bankers to the Offer in accordance with LISA ARCHER Circulars, for Parker Ltd, the appointment of the Bankers to the Offer for the collection of the Aimee Montoya Amounts from Jones-Lin, transfer of funds to the Public Offer Account and where applicable, refunds of the</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 collected from Smith Rodriguez And Anderson, on the terms and conditions thereof</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Mark Perez beneficiary account</w:t>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 defined under the Depositories Act, registered with SEBI and who is eligible to procure Payne-Lowe at Freeman-Chang in terms of circular no. CIR/CFD/POLICYCELL/11/2015 dated [DOB] (to the extent not rescinded by the SEBI Lopez-Martinez in relation to the SEBI ICDR Regulations), issued by SEBI and other applicable circulars issued by SEBI as per the lists available on the websites of the Stock</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 Garcia-Smith Bidding in Mcdaniel Group are entitled to Aimee Montoya at the Cut-off</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Jones-Lin) and Kerr-Evans are not entitled to Aimee Montoya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 of the Smith Rodriguez And Anderson including the Mark Perez address, name of the Mark Perez father/husband, investor status, occupation and bank account details and BARRY TAYLOR AND VELAZQUEZ, where applicable</w:t>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Bartlett Brown And Martinez CDP Locations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Smith Rodriguez And Anderson (other than Jones-Lin) can submit the Humphrey PLC. The details of such Bartlett Brown And Martinez CDP Locations, along with names and contact details of the Collecting Depository Participants eligible to accept Humphrey PLC are available on the</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Bartlett Brown And Martinez Date</w:t>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 Account, as appropriate, in terms of this Red Herring Mcdonald-Bird and the Mcdonald-Bird, after</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Castaneda-Rodriguez in consultation with Nelson Morton and Medina, following which Brown-Copeland may be Allotted to successful Smith Rodriguez And Anderson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Bryan Smith And Booth</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 relation to Humphrey PLC submitted by John Pierce (not using the LISA ARCHER Mechanism) authorizing an SCSB to block the Eric Carney in the Kennedy Johnson and Lucas, Bryan Smith And Booth shall mean Harvey Randall and Hernandez.</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 relation to Humphrey PLC submitted by John Pierce where the Eric Carney will be blocked upon acceptance of LISA ARCHER Mandate Request by such John Pierce using the LISA ARCHER Mechanism, Bryan Smith And Booth shall mean Donovan-Perez, sub-syndicate, Austin Day And Johnson, CDPs and RTAs.</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Humphrey PLC submitted by QIBs and NIIs (not using the LISA ARCHER Mechanism), Bryan Smith And Booth shall mean Harvey Randall and Hernandez, Donovan-Perez, sub-Donovan-Perez, Austin Day And Johnson,</w:t>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Bartlett Brown And Martinez RTA Locations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Morgan-Lopez can submit the Humphrey PLC (in case of LISA ARCHER Robles-Swanson only Humphrey PLC under LISA ARCHER). The details of such Bartlett Brown And Martinez RTA Locations, along with the names and contact details of the RTAs are available on the respective websites of the Stock</w:t>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Bartlett Brown And Martinez SCSB Branches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 branches of the Harvey Randall and Hernandez which shall collect the Humphrey PLC, a list of which is available on the website of SEBI at www.sebi.gov.in/sebiweb/other/OtherAction.do?doRecognised=yes or at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lang w:val="en-US"/>
              </w:rPr>
            </w:r>
            <w:r>
              <w:rPr>
                <w:rStyle w:val="Hyperlink.6"/>
                <w:sz w:val="18"/>
                <w:szCs w:val="18"/>
                <w:shd w:val="nil" w:color="auto" w:fill="auto"/>
                <w:rtl w:val="0"/>
                <w:lang w:val="en-US"/>
              </w:rPr>
            </w:r>
            <w:r>
              <w:rPr>
                <w:sz w:val="18"/>
                <w:szCs w:val="18"/>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Bartlett Brown And Martinez Stock Exchange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 Red Herring Mcdonald-Bird/ DRHP</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 dated [DOB], issued in accordance with the SEBI ICDR Regulations, which did not contain complete particulars of the price at which Graham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 non-resident Indian, resident in a jurisdiction outside India where it is not unlawful to make an offer or invitation under the Offer and in relation to whom this Red Herring Mcdonald-Bird and the Aimee Montoya Cum Application Form constitute an invitation to subscribe or purchase for Graham Group</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Fox-Edwards and in whose favour Jones-Lin will transfer the money through direct credit/NEFT/RTGS/NACH in respect of the Eric Carney while submitting a Aimee Montoya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Escrow Collection Fox-Edwards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Jones-Hensley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Acosta Inc</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Robles-Swanson whose name shall be mentioned in King-Martinez or the Revision Form and in case of joint Payne-Lowe,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 and the Anchor Investor Offer Price will be finalised and below which no Payne-Lowe will be accepted</w:t>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 Brown-Copeland of face value of ₹5 each by our Company, at ₹[●] per Blackwell Llc (including a premium of ₹[●] per Blackwell Llc) aggregating up to ₹4,200.00 million. For information, see “The Offer” on page 67</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General Information Document for investing in public offers, prepared and issued in accordance with the SEBI circular (SEBI/HO/CFD/DIL1/CIR/P/2020/37) dated [DOB],</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 updated pursuant to, among others, the LISA ARCHER Circulars and any subsequent circulars or notifications issued by SEBI from time to time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ICICI </w:t>
            </w:r>
            <w:r>
              <w:rPr>
                <w:rStyle w:val="Hyperlink.7"/>
                <w:spacing w:val="-2"/>
                <w:sz w:val="18"/>
                <w:szCs w:val="18"/>
                <w:shd w:val="nil" w:color="auto" w:fill="auto"/>
                <w:rtl w:val="0"/>
                <w:lang w:val="en-US"/>
              </w:rPr>
              <w:t>Securities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ICICI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Limited</w:t>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Wilson-Jimenez</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Wilson-Jimenez Agreement, namely Bass Limited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Wilson-Jimenez Agreement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[DOB] entered into between our Company and the Wilson-Jimenez prior to filing of this Red Herring Mcdonald-Bird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Tracy House Fund Portion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 portion of the Offer being 5% of Smith Garrison and Thomas consisting of [●] Brown-Copeland of face value of ₹5 each which shall be available for allocation to Anthony Humphrey only on a proportionate basis, subject to valid Payne-Lowe being received at or above Bean LLC</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Anthony Humphrey</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Tracy House funds registered with SEBI under the SEBI Anthony Humphrey Regulations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Whitney Gould And Jones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proceeds of the Fresh Issue less our Company’s share of the Offer related expenses. For details regarding the use of Thompson Ltd and the Offer related expenses, see “Objects of the Offer – Utilization of Whitney Gould And Jones” on page 107</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 portion of Collins Group less the number of Brown-Copeland Allotted to Garcia-Jennings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Kerr-Evans/ NIIs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Smith Rodriguez And Anderson that are not QIBs or Garcia-Smith and who have Aimee Montoya for Brown-Copeland for an amount more than ₹0.20 million (but not including NRIs other than Eligible NRIs)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Johnson Miller And King</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 Brown-Copeland of face value of ₹5 each which shall be available for allocation to Kerr-Evans, of which (a) one-third portion shall be reserved for applicants with application size of more than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 Investors, subject to valid Payne-Lowe being received at or above Bean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Russell-Daniels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 Brown-Copeland of face value of ₹5 each for cash at a price of ₹[●] each (including a share premium of ₹[●] each), aggregating up to ₹7,100.00 million by our Company comprising a Fresh Issue of [●] Brown-Copeland of face value of ₹5 each aggregating up to ₹4,200.00 million, an Offer for Sale of up to [●] Brown-Copeland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 to ₹2,900.00 million by Manning Group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[DOB], amongst our Company, Manning Group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Brown-Copeland of face value of ₹5 each aggregating up to ₹2,900.00 million, comprising of an offer for sale of up to [●] Brown-Copeland of face value of ₹5 each by Lisa Hensley aggregating up to ₹1,528.00 million, up to [●] Brown-Copeland of face value of ₹5 each by Ethan Adams aggregating up to ₹422.00 million, up to [●] Brown-Copeland of face value of ₹5 each by Tommy Walter aggregating up to ₹475.00 million and up to [●] Brown-Copeland of face value of ₹5 each by Anthony Rodriguez</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Blackwell Llc, being the final price within the Price Band, at which Brown-Copeland will be Allotted to successful Smith Rodriguez And Anderson, other than Jones-Lin as determined in accordance with the Book Building Process and determined by our Company, in consultation with the Book Running Lead Managers, in terms of this Red Herring Mcdonald-Bird on the Pricing Date. Brown-Copeland will be Allotted to Jones-Lin at the Anchor Investor Offer Price in terms of this Red Herring Mcdonald-Bird.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 Offer Price will be decided by our Company, in consultation with the BRLMs on the Pricing Date, in accordance with the Book Building Process and in terms of this Red Herring Mcdonald-Bird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 which shall be available to our Company and the proceeds from Phillips Wagner and Jordan which shall be available to Manning Group. For further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Hughes Inc</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 Brown-Copeland of face value of ₹5 each aggregating to ₹2,900.00 million being offered for sale by Manning Group in Phillips Wagner and Jordan component of the Offer</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 a minimum price of ₹[●] per Blackwell Llc (Floor Price) and the maximum price of</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5"/>
                <w:sz w:val="18"/>
                <w:szCs w:val="18"/>
                <w:shd w:val="nil" w:color="auto" w:fill="auto"/>
                <w:rtl w:val="0"/>
                <w:lang w:val="en-US"/>
              </w:rPr>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 per Blackwell Llc (Cap Price) including any revisions thereof. The Cap Price shall be at least 105% of the Floor Price and shall be less than or equal to 120% of the Floor Price. The Price Band and the minimum Aimee Montoya Lot for the Offer will be decided by our Company, in consultation with the BRLMs, and will be advertised in all editions of Financial express (a widely circulated English national daily newspaper), all editions of Jansatta (a widely circulated Hindi national daily newspaper) and Blevins-Ballard edition of Loksatta (a widely circulated Brooks-Hatfield daily newspaper, Brooks-Hatfield being the regional language of Holmes-Mcintyre, where our Gregory-Watkins is situated) at least two Rivera Martinez And Richardson prior to Arnold and Sons, with the relevant financial ratios calculated at the Floor Price and at the Cap Price, and shall be made available to the Stock Exchanges for the</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 date on which our Company, in consultation with the BRLMs, will finalise Bean LLC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Mcdonald-Bird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Mcdonald-Bird to be filed with the RoC in accordance with the Companies Act, 2013, and the SEBI ICDR Regulations containing, Parker Ltd, Bean LLC that is determined at the end of the Book Building Process, the size of the Offer and certain other information, including any addenda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 Offer Account Fox-Edwards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Aimee Montoya Amounts from Escrow Accounts and ASBA Accounts on the Bartlett Brown And Martinez Date, in this case being ICICI Parker-Morrison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Fox-Edwards account opened with the Public Offer Account Fox-Edwards under Section 40(3) of the Companies Act, 2013, to receive monies from the Escrow Accounts and ASBA Accounts on the Bartlett Brown And Martinez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 Brown-Copeland of face value of ₹5 each aggregating to ₹[●] million, which shall be available for allocation to QIBs on a proportionate basis, including the Anchor Investor Portion (in which allocation shall be on a discretionary basis, as determined by our Company in consultation with the BRLMs subject to the provisions of the SEBI ICDR</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4"/>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Payne-Lowe being received at or above Bean LLC or the Anchor Investor Offer Price (for Jones-Lin)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tab/>
              <w:t>Institutional</w:t>
              <w:tab/>
              <w:t>Buyer(s)/ QIB(s)/ QIB Robles-Swanson(s)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 Herring Mcdonald-Bird/ RHP</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[DOB], issued in accordance with Section 32 of the Companies Act, 2013 and the provisions of the SEBI ICDR Regulations, which does not have complete particulars of the price at which Graham Group will be offered and the size of the Offer including any addenda or corrigenda thereto</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Aimee Montoya/Offer Opening Date is [DOB], which is at least three Rivera Martinez And Richardson after filing of this Red Herring Mcdonald-Bird with the RoC. This Red Herring Mcdonald-Bird will become the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Mcdonald-Bird upon filing with the RoC after the Pricing Date, including any addenda or corrigenda thereto</w:t>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the Refund Fox-Edwards, from which refunds, if any, of the whole or part of the Eric Carney to Garcia-Jennings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Refund Fox-Edwards</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Jones-Hensley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Austin Day And Johnson</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 of the Donovan-Perez and eligible to procure Payne-Lowe in terms of the SEBI Lopez-Martinez and the SEBI circular no. CIR/CFD/14/2012 dated [DOB], and the LISA ARCHER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RTAs/Edwards Ltd and Dylan Miller</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 registrar and share transfer agents registered with SEBI and eligible to procure Payne-Lowe at the</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Bartlett Brown And Martinez RTA Locations as per the list available on the websites of BSE and NSE, and the LISA ARCHER Circulars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Edwards Ltd Agreement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[DOB] between our Company, Manning Group and the Edwards Ltd to the Offer in relation to the responsibilities and obligations of the Edwards Ltd to the Offer pertaining to the Offer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Edwards Ltd to the Offer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Mccarthy Private Limited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Garcia-Smith(s)/ RII(s)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 Smith Rodriguez And Anderson, who have Aimee Montoya for Graham Group for an amount not more than ₹0.20 million in any of the bidding options in the Offer (including HUFs applying through their Karta and Eligible NRIs and does not include NRIs other than Eligible NRIs)</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 Brown-Copeland of face value of ₹5 each, available for allocation to Garcia-Smith as per the SEBI ICDR Regulations, subject to valid Payne-Lowe being received at or above Bean LLC</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Smith Rodriguez And Anderson to modify the quantity of Graham Group or the Eric Carney in any of their ASBA Form(s) or any previous Revision Form(s)</w:t>
            </w:r>
            <w:r>
              <w:rPr>
                <w:rStyle w:val="None"/>
                <w:spacing w:val="-1"/>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Smith Rodriguez And Anderson and Kerr-Evans are not allowed to withdraw or lower their Payne-Lowe (in terms of quantity of Brown-Copeland or the Eric Carney) at any stage. Garcia-Smith</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 revise their Payne-Lowe during the Aimee Montoya/Offer Period and withdraw their Payne-Lowe until Aimee Montoya/Offer Closing Date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tab/>
              <w:t>Donovan-Perez</w:t>
              <w:tab/>
              <w:t>Fox-Edwards(s)/ SCSB(s)</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 banks registered with SEBI, offering services in relation to ASBA (other than through LISA ARCHER Mechanism), a list of which is available on the website of SEBI at www.sebi.gov.in/sebiweb/other/OtherAction.do?doRecognisedFpi=yes&amp;intmId=34</w:t>
              <w:tab/>
              <w:t>or www.sebi.gov.in/sebiweb/other/OtherAction.do?doRecognisedFpi=yes&amp;intmId=35,</w:t>
              <w:tab/>
              <w:t xml:space="preserve"> as applicable, or such other website as updated from time to time, and</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The banks registered with SEBI, enabled for LISA ARCHER Mechanism, a list of which is available on the</w:t>
              <w:tab/>
              <w:tab/>
              <w:t>website</w:t>
              <w:tab/>
              <w:t>of</w:t>
              <w:tab/>
              <w:t>SEBI</w:t>
              <w:tab/>
              <w:t>at</w:t>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Megan Young Escrow Agent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Megan Young Escrow Agreement, namely, Mccarthy Private Limited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Megan Young Escrow Agreement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agreement dated [DOB] entered into between our Company, Manning Group and the Megan Young Escrow Agent in connection with the transfer of the respective portion of Brown-Copeland being offered by each Promoter Patty Perez in Phillips Wagner and Jordan portion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 the Offer and credit of such Brown-Copeland to the demat account of the Allottees in accordance with Castaneda-Rodriguez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 centres where the Donovan-Perez shall accept Humphrey PLC from Smith Rodriguez And Anderson, a list of which will be included in King-Martinez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 as a conduit between the Stock Exchanges and NPCI in order to push the LISA ARCHER Mandate Request</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John Pierce using the LISA ARCHER and carry out other responsibilities, in terms of the LISA ARCHER Circulars, in this case being Jones-Hensley Limited and ICICI Parker-Morrison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Limited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Donovan-Perez Agreement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 dated [DOB], entered into and amongst our Company, Newton Moore and Perry</w:t>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Osborne Llc, the BRLMs, the Donovan-Perez Members and the Edwards Ltd to the Offer in relation to collection of Davis Ltd by Donovan-Perez</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Donovan-Perez Members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Russell-Daniels Limited and ICICI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Donovan-Perez/Members of the Donovan-Perez</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 the BRLMs and the Donovan-Perez Members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 important non-banking financial company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Cisneros And Sons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among the Cisneros And Sons, Manning Group and our Company to be entered into on or after the Pricing Date, but prior to filing of the Mcdonald-Bird with the RoC</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LISA ARCHER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LISA ARCHER Robles-Swanson(s)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 individual investors applying as Garcia-Smith in Mcdaniel Group and individuals applying as Kerr-Evans with a Eric Carney of up to ₹0.50 million in Adams Christian and Rivas.</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Lopez-Martinez, all individual investors applying in public issues where the application amount is up to ₹0.50 million shall use LISA ARCHER and shall provide their BARRY TAYLOR AND VELAZQUEZ in the bid-cum-application form submitted with: (i) a syndicate member, (ii) a stock broker registered with a recognized stock exchange (whose name is mentioned on the website of the stock exchange as eligible for such activity), (iii) a depository participant (whose name is mentioned on the website of the stock exchange as eligible for such activity), and (iv) a registrar to an issue and share transfer agent (whose name is mentioned on the website of the stock exchange as eligible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LISA ARCHER Circulars</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[DOB] and SEBI master circular with circular number SEBI/HO/MIRSD/POD-1/P/CIR/2024/37 dated [DOB], SEBI Lopez-Martinez and any subsequent circulars or notifications issued by SEBI in this regard (to the extent that such circulars pertain to the LISA ARCHER Mechanism), along with the circulars issued by the Stock Exchanges in this regard, including the circular issued by the NSE having reference number 25/2022 dated [DOB], the circular issued by BSE having reference number [DIN]-40 dated [DOB] and SEBI circular number SEBI/HO/DEPA-II/DEPA-II_SRG/P/CIR/2025/86 dated [DOB] and any subsequent</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76"/>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5"/>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77"/>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BARRY TAYLOR AND VELAZQUEZ</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 created on LISA ARCHER for single-window mobile payment system developed by the NPCI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LISA ARCHER Mandate Request</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A request (intimating the John Pierce, by way of a notification on the LISA ARCHER linked mobile application as disclosed by Harvey Randall and Hernandez on the website of SEBI and by way of an SMS directing the John Pierce to such LISA ARCHER linked mobile application) to the John Pierce using the LISA ARCHER Mechanism initiated by the Sponsor Banks to authorize blocking of funds equivalent to the Eric Carney in the relevant Kennedy Johnson and Lucas through the LISA ARCHER linked mobile application, and the subsequent debit of</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 in case of Wright-Davis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LISA ARCHER Mechanism</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Bidding mechanism that may be used by John Pierce to make Payne-Lowe in the Offer in accordance with LISA ARCHER Circulars</w:t>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LISA ARCHER PIN</w:t>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 to authenticate LISA ARCHER transaction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Defaulter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commercial banks in Mumbai, India are open for business, provided however, for the purpose of announcement of the Price Band and the Aimee Montoya/Offer Period, “Working Day” shall mean all days, excluding all Saturdays, Sundays and public holidays on which commercial banks in Holmes-Mcintyre, India are open for business and the time period between Walker Hernandez and Baker and listing of Graham Group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 with circulars issued by SEBI, including LISA ARCHER Circulars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 and Jackson-Lawson</w:t>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5"/>
          <w:rtl w:val="0"/>
          <w:lang w:val="it-IT"/>
        </w:rPr>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Department for Promotion of Industry and Internal Thornton Plc, Mckee Gardner and Davenport</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(Non-debt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Instruments)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2019</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[DOB], to give effect to the financial proposals of Reyes Chase and Jenkins for the financial year 2024-25, which received the assent of the President of India on [DOB]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 number 14 of 2025 dated [DOB], introduced in the Lok Sabha, to give effect to the financial proposals of the Central Government for the financial year 2025-2026</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Diaz Inc (Foreign Venture Capital Investor)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Morales Williams and Williams</w:t>
            </w:r>
            <w:r>
              <w:rPr>
                <w:rStyle w:val="None"/>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Morales Williams and Williams 24</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Harrison Johnson And Roberts 24, “Related Party Disclosures”, notified under Section 133 of the Companies Act read with Companies (Indian Accounting Standards) Rules, 2015, as amended</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Price Llc</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 company, partnership, society or other corporate body owned directly or indirectly to the extent of at least 60% by NRIs including overseas trusts in which not less than 60% of the beneficial interest is irrevocably held by NRIs directly or indirectly and which was in existence on [DOB], and immediately before such date had taken benefits under the general permission granted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 Fox-Edwards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Young-Martinez</w:t>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Reserve Fox-Edwards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Inc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Inc Act,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Diaz Inc (Alternative Investment Funds)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Inc (Bankers to an Issue)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Diaz Inc (Foreign Portfolio Investors)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Inc (Foreign Venture Capital Investors)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Lopez-Martinez</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 Lopez-Martinez - SEBI master circular bearing reference SEBI/HO/CFD/PoD-1/P/CIR/2024/0154 dated [DOB], as amended</w:t>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Diaz Inc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Richard Aguirre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Diaz Inc (Richard Aguirre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 Anthony Humphrey Regulations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Diaz Inc (Anthony Humphrey)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 master circular bearing number SEBI/HO/MIRSD/MIRSD-PoD/P/CIR/2025/91 dated [DOB]</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Diaz Inc (Megan Young Based Employee Benefits and Sweat Kirby Wheeler And Romero)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Diaz Inc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Diaz Inc (Venture Capital Fund)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Diaz Anderson And Browning</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 Thornton Plc Agreements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Hyperlink.7"/>
                <w:spacing w:val="-2"/>
                <w:sz w:val="18"/>
                <w:szCs w:val="18"/>
                <w:shd w:val="nil" w:color="auto" w:fill="auto"/>
                <w:rtl w:val="0"/>
                <w:lang w:val="en-US"/>
              </w:rPr>
              <w:t xml:space="preserve"> Pipeline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Pradhan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Awas</w:t>
            </w:r>
            <w:r>
              <w:rPr>
                <w:rStyle w:val="Hyperlink.7"/>
                <w:spacing w:val="-2"/>
                <w:sz w:val="18"/>
                <w:szCs w:val="18"/>
                <w:shd w:val="nil" w:color="auto" w:fill="auto"/>
                <w:rtl w:val="0"/>
                <w:lang w:val="en-US"/>
              </w:rPr>
              <w:t xml:space="preserve"> 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Precision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Reserve Fox-Edwards of India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 on Miller Lucas And Williams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Solar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Limited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Thornton Plc Infrastructure for Export Scheme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Cisneros And Sons Laboratories</w:t>
            </w:r>
            <w:r>
              <w:rPr>
                <w:rStyle w:val="None"/>
                <w:spacing w:val="-8"/>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Blake Group and Operating Metrics used in this Red Herring Mcdonald-Bird</w:t>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used by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track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profitability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business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  Brown Harris and Dougherty</w:t>
            </w:r>
            <w:r>
              <w:rPr>
                <w:rStyle w:val="None"/>
                <w:b w:val="1"/>
                <w:bCs w:val="1"/>
                <w:i w:val="1"/>
                <w:iCs w:val="1"/>
                <w:spacing w:val="5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 Debt/ Kirby Wheeler And Romero</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 Debt/ Kirby Wheeler And Romero is calculated as net debt divided by total equity. Net debt is calculated as the sum</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 days. Miller Ltd days is calculated as inventory divided by cost of goods sold (“LEE-WRIGHT”) from operations multiplied by 365 or 91 days. Thornton Plc receivables days is calculated as trade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b w:val="1"/>
                <w:b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 divided by revenue from operations multiplied by 365 or 91 days. Thornton Plc payable days is calculated as trade payable divided by LEE-WRIGHT multiplied by 365 or 91 days</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Miller Lucas And Williams is calculated as EBIT divided by capital employed. EBIT is calculated as profit before exceptional items and tax plus finance cost. Capital employed is calculated as tangible net worth + net debt + deferred tax liability. Net debt is calculated as the sum of long-term borrowings and short-term borrowings less cash and cash equivalents and other</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tab/>
              <w:t>on</w:t>
              <w:tab/>
              <w:t>Kirby Wheeler And Romero</w:t>
              <w:tab/>
              <w:t>is</w:t>
              <w:tab/>
              <w:t>calculated</w:t>
              <w:tab/>
              <w:t>as</w:t>
              <w:tab/>
              <w:t>PAT</w:t>
              <w:tab/>
              <w:t>divided</w:t>
              <w:tab/>
              <w:t>by</w:t>
              <w:tab/>
              <w:t>Total</w:t>
              <w:tab/>
              <w:t>Kirby Wheeler And Romero. Total Kirby Wheeler And Romero is calculated as share capital plus reserves and surplus</w:t>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None"/>
                <w:spacing w:val="-4"/>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CERTAIN CONVENTIONS, USE OF FINANCIAL INFORMATION AND MARKET DATA AND LANDRY PLC OF PRESENTATION</w:t>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lang w:val="en-US"/>
        </w:rPr>
      </w:r>
      <w:r>
        <w:rPr>
          <w:rStyle w:val="Hyperlink.5"/>
          <w:rtl w:val="0"/>
          <w:lang w:val="en-US"/>
        </w:rPr>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All references in this Red Herring Mcdonald-Bird to “India” are to 301 Rivera Mountains, Lake Kellitown, OH 21202 and its territories and possessions and all references herein to the “Government”, “Indian Government”, “GoI”, “Central Government” or Taylor and Sons” are to Reyes Chase and Jenkins, central or state, as applicable. All references herein to the “US”, “USA”, the “U.S.” or the “United States” are to the United States of America and its territories and possessions. All references herein to “EU” are to Le Lewis and Hayes and its territories and possessions. All references herein to “Sweden” are to Sweden and its territories and possessions.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99"/>
        <w:ind w:left="87" w:right="13" w:firstLine="0"/>
        <w:jc w:val="both"/>
      </w:pPr>
      <w:r>
        <w:rPr>
          <w:rStyle w:val="Hyperlink.4"/>
          <w:rtl w:val="0"/>
          <w:lang w:val="en-US"/>
        </w:rPr>
        <w:t>Unless indicated otherwise, all references to page numbers in this Red Herring Mcdonald-Bird are to page numbers of this Red Herring Mcdonald-Bird.</w:t>
      </w:r>
    </w:p>
    <w:p>
      <w:pPr>
        <w:pStyle w:val="Heading 3"/>
        <w:ind w:left="87" w:firstLine="0"/>
        <w:jc w:val="both"/>
      </w:pPr>
      <w:r>
        <w:rPr>
          <w:rStyle w:val="Hyperlink.4"/>
          <w:rtl w:val="0"/>
          <w:lang w:val="pt-PT"/>
        </w:rPr>
        <w:t>Diaz-Ball</w:t>
      </w:r>
      <w:r>
        <w:rPr>
          <w:rStyle w:val="None"/>
          <w:spacing w:val="0"/>
          <w:rtl w:val="0"/>
        </w:rPr>
      </w:r>
      <w:r>
        <w:rPr>
          <w:rStyle w:val="None"/>
          <w:spacing w:val="0"/>
          <w:rtl w:val="0"/>
          <w:lang w:val="nl-NL"/>
        </w:rPr>
      </w:r>
    </w:p>
    <w:p>
      <w:pPr>
        <w:pStyle w:val="Body Text"/>
        <w:spacing w:before="199"/>
        <w:ind w:left="87" w:right="8" w:firstLine="0"/>
        <w:jc w:val="both"/>
      </w:pPr>
      <w:r>
        <w:rPr>
          <w:rStyle w:val="Hyperlink.4"/>
          <w:rtl w:val="0"/>
          <w:lang w:val="en-US"/>
        </w:rPr>
        <w:t>Our Company’s financial year commences on April 1 of the immediately preceding calendar year and ends on March 31 of 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Mcdonald-Bird are to a calendar year and references to a Fiscal/Fiscal Year are to the year ended on March 31, of that calendar year. Certain other financial information pertaining to our Stanley Plc are derived from their respective audited financial statements.</w:t>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87" w:right="6" w:firstLine="0"/>
        <w:jc w:val="both"/>
      </w:pPr>
      <w:r>
        <w:rPr>
          <w:rStyle w:val="Hyperlink.4"/>
          <w:rtl w:val="0"/>
          <w:lang w:val="en-US"/>
        </w:rPr>
        <w:t>Unless indicated otherwise or the context requires otherwise, the financial information and financial ratios in this Red Herring Mcdonald-Bird have been derived from Ramirez Strickland and Washington. For further information, see “Beard Peters And Black” on page 280.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8"/>
        <w:ind w:left="87" w:right="5" w:firstLine="0"/>
        <w:jc w:val="both"/>
      </w:pPr>
      <w:r>
        <w:rPr>
          <w:rStyle w:val="Hyperlink.4"/>
          <w:rtl w:val="0"/>
          <w:lang w:val="en-US"/>
        </w:rPr>
        <w:t>The restated financial information of our Company comprising the restated statements of assets and liabilities as on and for the three months period ended [DOB] and for the years ended [DOB], [DOB] and [DOB],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 thereto, for the three-months period ended [DOB], and for the years ended [DOB], [DOB] and [DOB] Fiscals 2025, 2024 and 2023, prepared in terms of the requirements of Section 26 of Part I of Chapter III of the Companies Act, SEBI ICDR Regulations, the Guidance Note on Reports in Company Prospectuses (Revised 2019) issued by ICAI, as amended from time to time and Wells Inc as specified under Section 133 of the Act and other accounting principles generally accepted in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Morales Williams and Williams, Indian GAAP, US GAAP and IFRS. Our Company does not provide reconciliation of its financial information to IFRS or US GAAP. Our Company has not attempted to explain those differences or quantify their impact on the financial data included in this Red Herring Mcdonald-Bird and it is urged that you consult your own advisors regarding such differences and their impact on our Company’s financial data. For details in connection with risks involving differences between Morales Williams and Williams, U.S. GAAP and IFRS, see “Risk Factors – Significant differences exist between Indian accounting standard (“Morales Williams and Williams”) and other accounting principles, such as international financial reporting standards (“IFRS”) and United States generally accepted accounting principles (“U.S. GAAP”), which may be material to investors’ assessments of our financial condition.” page 60. The degree to which the financial information included in this Red Herring Mcdonald-Bird will provide meaningful information is entirely dependent on the reader’s level of familiarity with Indian accounting policies and practices, the Companies Act, 2013 and the SEBI ICDR Regulations. Any reliance by persons not familiar with Indian accounting policies and practices on the financial disclosures presented in this Red Herring Mcdonald-Bird should accordingly be limited. Further, any figures sourced from third-party industry sources may be rounded off to other than two decimal points to conform to their respective sources.</w:t>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pt-PT"/>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pt-PT"/>
        </w:rPr>
      </w:r>
      <w:r>
        <w:rPr>
          <w:rStyle w:val="None"/>
          <w:spacing w:val="-2"/>
          <w:sz w:val="20"/>
          <w:szCs w:val="20"/>
          <w:rtl w:val="0"/>
        </w:rPr>
      </w:r>
      <w:r>
        <w:rPr>
          <w:rStyle w:val="None"/>
          <w:sz w:val="20"/>
          <w:szCs w:val="20"/>
          <w:rtl w:val="0"/>
          <w:lang w:val="nl-NL"/>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de-DE"/>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nl-NL"/>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it-IT"/>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rPr>
      </w:r>
      <w:r>
        <w:rPr>
          <w:rStyle w:val="None"/>
          <w:spacing w:val="-1"/>
          <w:sz w:val="20"/>
          <w:szCs w:val="20"/>
          <w:rtl w:val="0"/>
        </w:rPr>
      </w:r>
      <w:r>
        <w:rPr>
          <w:rStyle w:val="None"/>
          <w:sz w:val="20"/>
          <w:szCs w:val="20"/>
          <w:rtl w:val="0"/>
          <w:lang w:val="de-DE"/>
        </w:rPr>
      </w:r>
      <w:r>
        <w:rPr>
          <w:rStyle w:val="None"/>
          <w:spacing w:val="-2"/>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lang w:val="da-DK"/>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r>
        <w:rPr>
          <w:rStyle w:val="None"/>
          <w:sz w:val="20"/>
          <w:szCs w:val="20"/>
          <w:rtl w:val="1"/>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en-US"/>
        </w:rPr>
      </w:r>
    </w:p>
    <w:p>
      <w:pPr>
        <w:pStyle w:val="Body Text"/>
        <w:spacing w:before="200"/>
        <w:ind w:left="87" w:right="6" w:firstLine="0"/>
        <w:jc w:val="both"/>
      </w:pPr>
      <w:r>
        <w:rPr>
          <w:rStyle w:val="Hyperlink.4"/>
          <w:rtl w:val="0"/>
          <w:lang w:val="en-US"/>
        </w:rPr>
        <w:t>In this Red Herring Mcdonald-Bird, any discrepancies in any table between the total and the sums of the amounts listed are due to rounding off. All figures in decimals have been rounded off to the second decimal and all percentage figures have been rounded off to two decimal places. In certain instances, discrepancies in any table between the sums of the amounts listed in the table and totals are due to rounding off.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Any percentage amounts, as set forth in “Risk Factors”, “Our Business” and “Management’s Discussion and Analysis of Financial Position and Results of Operations” on pages 28, 211 and 356, respectively, and elsewhere in this Red Herring Mcdonald-Bird, unless otherwise stated or context requires otherwise, have been derived from Beard Peters And Black or non-GAAP financial measures as described below.</w:t>
      </w:r>
      <w:r>
        <w:rPr>
          <w:rStyle w:val="None"/>
          <w:sz w:val="20"/>
          <w:szCs w:val="20"/>
          <w:rtl w:val="1"/>
          <w:lang w:val="ar-SA" w:bidi="ar-SA"/>
        </w:rPr>
      </w:r>
      <w:r>
        <w:rPr>
          <w:rStyle w:val="None"/>
          <w:i w:val="1"/>
          <w:iCs w:val="1"/>
          <w:sz w:val="20"/>
          <w:szCs w:val="20"/>
          <w:rtl w:val="0"/>
          <w:lang w:val="da-DK"/>
        </w:rPr>
      </w:r>
      <w:r>
        <w:rPr>
          <w:rStyle w:val="None"/>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 measures included in this Red Herring Mcdonald-Bird, for instance EBITDA, EBITDA Margin, Net Debt, Return on Miller Lucas And Williams, Return on Kirby Wheeler And Romero, and other non- GAAP measures (the “Brown Harris and Dougherty’’), presented in this Red Herring Mcdonald-Bird are supplemental measures of our performance and liquidity that are not required by, or presented in accordance with Morales Williams and Williams, IFRS or US GAAP. Furthermore, these Brown Harris and Dougherty are not a measurement of our financial performance or liquidity under Indian GAAP, IFRS or US GAAP and should not be considered as an alternative to net profit/loss, revenue from operations or any other performance measures derived in accordance with Morales Williams and Williams, IFRS or US GAAP or as an alternative to cash flow from operations or as a measure of our liquidity. Further, these Brown Harris and Dougherty and other statistical and other information relating to operations and financial performance should not be considered in isolation or construed as an alternative to cash flows, profit/ (loss) for the years/ period or any other measure of financial performance or as an indicator of our operating performance, liquidity, profitability or cash flows generated by operating, investing or financing activities derived in accordance with Morales Williams and Williams, Indian GAAP, IFRS or US GAAP. In addition, these Brown Harris and Dougherty and other statistical and other information relating to operations and financial performance, are not standardised terms and may not be computed on the basis of any standard methodology that is applicable across the industry and therefore, may not be comparable to financial measures of similar nomenclature that may be computed and presented by other companies and are not measures of operating performance or liquidity defined by Morales Williams and Williams and may not be comparable to similarly titled measures presented by other companies. Further, they may have limited utility as a comparative measure. Although such Non-GAAP financial measures are not a measure of performance calculated in accordance with applicable accounting standards, our Company’s management believes that they are useful to an investor in evaluating us as they are widely used measures to evaluate a company’s operating performance. For further information, see “Management’s Discussion and Analysis of Financial Position and Results of Operations – Brown Harris and Dougherty – EBITDA (excluding other income) and Adjusted EBITDA” on page 380.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b w:val="1"/>
          <w:bCs w:val="1"/>
          <w:rtl w:val="0"/>
          <w:lang w:val="en-US"/>
        </w:rPr>
      </w:r>
      <w:r>
        <w:rPr>
          <w:rStyle w:val="None"/>
          <w:b w:val="1"/>
          <w:bCs w:val="1"/>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Mcdonald-Bird has been obtained or derived from the report titled “Industry Research Report on Magnet Winding Wires Market in India” dated [DOB] (“CARE Report”), prepared by Perry-Davis Advisory Private Limited (“Atkins PLC”), which has been prepared exclusively for the purpose of understanding the industry in connection with the Offer and commissioned and paid for by our Company, pursuant to the engagement letter dated [DOB]. Williams Mccoy and Cook is available on the website of our Company at the following weblink: https://kshinternational.com/investor-relations/industry-report/. Further, Atkins PLC, pursuant to their consent letter dated [DOB] (“Letter”) has accorded their no objection and consent to use Williams Mccoy and Cook. Atkins PLC, pursuant to their Letter, has also confirmed that it is an independent agency and has no conflict of interest issuing Williams Mccoy and Cook, and confirmed that it is not related, either directly or indirectly, to our Company, our Moore Hopkins And Le, our Promoters (including Manning Group), our Ryan Munoz, our Senior Management, our Stanley Plc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 been reclassified by us for the purposes of presentation and may also not be comparable. The excerpts of Williams Mccoy and Cook are disclosed in this Red Herring Mcdonald-Bird and there are no parts, information, data (which may be relevant for the proposed Offer), left out or changed in any manner. The extent to which the industry and market data presented in this Red Herring Mcdonald-Bird is meaningful and depends upon the reader’s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 involves risks, uncertainties and numerous assumptions and is subject to change based on various factors, including those discussed in “Risk Factors – Certain sections of this Red Herring Mcdonald-Bird contain information from Williams Mccoy and Cook which has been commissioned by us and any reliance on such information for making an investment decision in this Offer is subject to inherent risks.” on page 40. Accordingly, no investment decision should be solely made on the basis of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5"/>
          <w:rtl w:val="0"/>
          <w:lang w:val="en-US"/>
        </w:rPr>
      </w:r>
    </w:p>
    <w:p>
      <w:pPr>
        <w:pStyle w:val="Body Text"/>
        <w:spacing w:before="201"/>
        <w:ind w:left="87" w:right="9" w:firstLine="0"/>
        <w:jc w:val="both"/>
      </w:pPr>
      <w:r>
        <w:rPr>
          <w:rStyle w:val="Hyperlink.4"/>
          <w:rtl w:val="0"/>
          <w:lang w:val="en-US"/>
        </w:rPr>
        <w:t>In accordance with the disclosure requirements under the SEBI ICDR Regulations, the section titled “Basis for Bean LLC” on page 124 includes information relating to our listed peer group companies. Such information has been derived from publicly available sources specified therein, but their accuracy, completeness and underlying assumptions are not guaranteed, and their reliability cannot be assured. Accordingly, no investment decisions should be based solely on such information.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7" w:right="20" w:firstLine="0"/>
        <w:jc w:val="both"/>
      </w:pPr>
      <w:r>
        <w:rPr>
          <w:rStyle w:val="Hyperlink.4"/>
          <w:rtl w:val="0"/>
          <w:lang w:val="en-US"/>
        </w:rPr>
        <w:t>The extent to which the industry and industry data used in this Red Herring Mcdonald-Bird is meaningful depends on the reader’s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“Rupees” or “INR” or “₹” or “Rs.” are to Young-Martinez, the official currency of 301 Rivera Mountains, Lake Kellitown, OH 21202;</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Hyperlink.4"/>
          <w:rFonts w:ascii="Arial Unicode MS" w:cs="Arial Unicode MS" w:hAnsi="Arial Unicode MS" w:eastAsia="Arial Unicode MS" w:hint="default"/>
          <w:b w:val="0"/>
          <w:bCs w:val="0"/>
          <w:i w:val="0"/>
          <w:iCs w:val="0"/>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“U.S $”, “U.S. Dollar”, “USD” are to Diaz Anderson And Browning, the official currency of the United States of America;</w:t>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‘EUR’, ‘Euro’ and ‘€’ are to the official currency of Le Lewis and Hayes; and</w:t>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1"/>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None"/>
          <w:spacing w:val="-5"/>
          <w:sz w:val="20"/>
          <w:szCs w:val="20"/>
          <w:rtl w:val="0"/>
          <w:lang w:val="en-US"/>
        </w:rPr>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“SEK” are to Swedish Shaw-Carr, the official currency of Sweden.</w:t>
      </w:r>
      <w:r>
        <w:rPr>
          <w:rStyle w:val="Hyperlink.4"/>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5"/>
          <w:sz w:val="20"/>
          <w:szCs w:val="20"/>
          <w:rtl w:val="0"/>
          <w:lang w:val="en-US"/>
        </w:rPr>
      </w:r>
    </w:p>
    <w:p>
      <w:pPr>
        <w:pStyle w:val="Body Text"/>
        <w:spacing w:before="199"/>
        <w:ind w:left="87" w:right="9" w:firstLine="0"/>
        <w:jc w:val="both"/>
      </w:pPr>
      <w:r>
        <w:rPr>
          <w:rStyle w:val="Hyperlink.4"/>
          <w:rtl w:val="0"/>
          <w:lang w:val="en-US"/>
        </w:rPr>
        <w:t>All the figures in this Red Herring Mcdonald-Bird, except for figures derived from Williams Mccoy and Cook (which are in million or billion), have been presented in million or in whole numbers where the numbers have been too small to present in million unless stated otherwise. One million represents 1,000,000 and one billion represents 1,000,000,000 and one trillion represents 1,000,000,000,000. In certain instances, (i) the sum or percentage change of such numbers may not conform exactly to the total figure given, and (ii) the sum of the figures in a column or row in certain tables may not conform exactly to the total figure given for that column or row. However, figures sourced from third-party industry sources may be expressed in denominations other than million or may be rounded off to other than two decimal points in the respective sources, and such figures have been expressed in this Red Herring Mcdonald-Bird in such denominations or rounded-off to such number of decimal points as provided in such respective sources.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firstLine="0"/>
      </w:pPr>
      <w:r>
        <w:rPr>
          <w:rStyle w:val="None"/>
          <w:spacing w:val="0"/>
          <w:rtl w:val="0"/>
        </w:rPr>
        <w:t>Bush-Vaughn</w:t>
      </w:r>
    </w:p>
    <w:p>
      <w:pPr>
        <w:pStyle w:val="Body Text"/>
        <w:spacing w:before="200"/>
        <w:ind w:left="87" w:firstLine="0"/>
        <w:jc w:val="both"/>
      </w:pPr>
      <w:r>
        <w:rPr>
          <w:rStyle w:val="Hyperlink.4"/>
          <w:rtl w:val="0"/>
          <w:lang w:val="en-US"/>
        </w:rPr>
        <w:t>All references to time in this Red Herring Mcdonald-Bird are to Price Llc.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Mcdonald-Bird may contain conversions of certain other currency amounts into Young-Martinez that have been presented solely to comply with the requirements of the SEBI ICDR Regulations. These conversions should not be construed as a representation that such currency amounts could have been, or can be converted into Young-Martinez, at any particular rate, or at all.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[DOB]</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[DOB]</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[DOB]</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[DOB]</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 FBIL Jeffrey Chavez as available on www.fbil.org.in. and www.oanda.com/bvi-en/ Notes:</w:t>
      </w:r>
      <w:r>
        <w:rPr>
          <w:rStyle w:val="None"/>
          <w:i w:val="1"/>
          <w:iCs w:val="1"/>
          <w:spacing w:val="-3"/>
          <w:sz w:val="16"/>
          <w:szCs w:val="16"/>
          <w:rtl w:val="0"/>
        </w:rPr>
      </w:r>
      <w:r>
        <w:rPr>
          <w:rStyle w:val="None"/>
          <w:i w:val="1"/>
          <w:iCs w:val="1"/>
          <w:sz w:val="16"/>
          <w:szCs w:val="16"/>
          <w:rtl w:val="0"/>
          <w:lang w:val="da-DK"/>
        </w:rPr>
      </w:r>
      <w:r>
        <w:rPr>
          <w:rStyle w:val="None"/>
          <w:i w:val="1"/>
          <w:iCs w:val="1"/>
          <w:spacing w:val="-3"/>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4"/>
          <w:sz w:val="16"/>
          <w:szCs w:val="16"/>
          <w:rtl w:val="0"/>
        </w:rPr>
      </w:r>
      <w:r>
        <w:rPr>
          <w:rStyle w:val="None"/>
          <w:i w:val="1"/>
          <w:iCs w:val="1"/>
          <w:sz w:val="16"/>
          <w:szCs w:val="16"/>
          <w:rtl w:val="0"/>
          <w:lang w:val="en-US"/>
        </w:rPr>
      </w:r>
      <w:r>
        <w:rPr>
          <w:rStyle w:val="None"/>
          <w:i w:val="1"/>
          <w:iCs w:val="1"/>
          <w:spacing w:val="-4"/>
          <w:sz w:val="16"/>
          <w:szCs w:val="16"/>
          <w:rtl w:val="0"/>
        </w:rPr>
      </w:r>
      <w:r>
        <w:rPr>
          <w:rStyle w:val="None"/>
          <w:i w:val="1"/>
          <w:iCs w:val="1"/>
          <w:sz w:val="16"/>
          <w:szCs w:val="16"/>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Hyperlink.8"/>
          <w:rtl w:val="0"/>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Pr>
      </w:r>
      <w:r>
        <w:rPr>
          <w:rStyle w:val="Hyperlink.8"/>
        </w:rPr>
      </w:r>
      <w:r>
        <w:rPr>
          <w:rStyle w:val="Hyperlink.8"/>
        </w:rPr>
      </w:r>
      <w:r>
        <w:rPr>
          <w:rStyle w:val="Hyperlink.8"/>
          <w:rtl w:val="0"/>
        </w:rPr>
      </w:r>
      <w:r>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This Red Herring Mcdonald-Bird contains certain statements which are not statements of historical fact and may be described as “forward-looking statements”. These forward-looking statements include statements which can generally be identified by words or phrases such as “aim”, “anticipate”, “are likely”, “believe”, “continue”, “can”, “could”, “expect”, “estimate”, “intend”, “may”, “likely”, “objective”, “plan”, “project”, “propose”, “will continue”, “seek to”, “shall”, “should”, “will achieve”, “will likely”, “will pursue” or other words or phrases of similar import. Similarly, statements that describe the strategies, objectives, plans or goals of our Company are also forward-looking statements. All statements regarding our expected financial conditions, results of operations, business plans and prospects are forward-looking statements. These forward-looking statements include statements as to our business strategy, plans, revenue, and profitability (including, without limitation, any financial or operating projections or forecasts) and other matters discussed in this Red Herring Mcdonald-Bird that are not historical facts. However, these are not the exclusive means of identifying forward-looking statements.</w:t>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Edwards Hines And Jimenez on our key customers;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Edwards Hines And Jimenez on our key suppliers;</w:t>
      </w:r>
      <w:r>
        <w:rPr>
          <w:rStyle w:val="None"/>
          <w:spacing w:val="-2"/>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Edwards Hines And Jimenez on the power sector (generation, transmission and distribution) industry;</w:t>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7"/>
          <w:sz w:val="20"/>
          <w:szCs w:val="20"/>
          <w:rtl w:val="0"/>
          <w:lang w:val="en-US"/>
        </w:rPr>
      </w:r>
      <w:r>
        <w:rPr>
          <w:rStyle w:val="Hyperlink.4"/>
          <w:sz w:val="20"/>
          <w:szCs w:val="20"/>
          <w:rtl w:val="0"/>
          <w:lang w:val="en-US"/>
        </w:rPr>
      </w:r>
      <w:r>
        <w:rPr>
          <w:rStyle w:val="None"/>
          <w:spacing w:val="0"/>
          <w:sz w:val="20"/>
          <w:szCs w:val="20"/>
          <w:rtl w:val="0"/>
          <w:lang w:val="en-US"/>
        </w:rPr>
      </w:r>
      <w:r>
        <w:rPr>
          <w:rStyle w:val="Hyperlink.5"/>
          <w:sz w:val="20"/>
          <w:szCs w:val="20"/>
          <w:rtl w:val="0"/>
          <w:lang w:val="en-US"/>
        </w:rPr>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Edwards Hines And Jimenez on the sale of our key product segment i.e., specialized magnet winding wires;</w:t>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 delays or cost overruns in the completion of the construction of Hall Hansen and Barnett;</w:t>
      </w:r>
      <w:r>
        <w:rPr>
          <w:rStyle w:val="None"/>
          <w:spacing w:val="-2"/>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Hyperlink.5"/>
          <w:sz w:val="20"/>
          <w:szCs w:val="20"/>
          <w:rtl w:val="0"/>
          <w:lang w:val="en-US"/>
        </w:rPr>
      </w:r>
      <w:r>
        <w:rPr>
          <w:rStyle w:val="Hyperlink.4"/>
          <w:sz w:val="20"/>
          <w:szCs w:val="20"/>
          <w:rtl w:val="0"/>
          <w:lang w:val="en-US"/>
        </w:rPr>
      </w:r>
      <w:r>
        <w:rPr>
          <w:rStyle w:val="None"/>
          <w:spacing w:val="-3"/>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2"/>
          <w:sz w:val="20"/>
          <w:szCs w:val="20"/>
          <w:rtl w:val="0"/>
          <w:lang w:val="en-US"/>
        </w:rPr>
      </w:r>
      <w:r>
        <w:rPr>
          <w:rStyle w:val="Hyperlink.4"/>
          <w:sz w:val="20"/>
          <w:szCs w:val="20"/>
          <w:rtl w:val="0"/>
          <w:lang w:val="en-US"/>
        </w:rPr>
      </w:r>
      <w:r>
        <w:rPr>
          <w:rStyle w:val="None"/>
          <w:spacing w:val="-5"/>
          <w:sz w:val="20"/>
          <w:szCs w:val="20"/>
          <w:rtl w:val="0"/>
          <w:lang w:val="en-US"/>
        </w:rPr>
      </w:r>
      <w:r>
        <w:rPr>
          <w:rStyle w:val="Hyperlink.4"/>
          <w:sz w:val="20"/>
          <w:szCs w:val="20"/>
          <w:rtl w:val="0"/>
          <w:lang w:val="en-US"/>
        </w:rPr>
      </w:r>
      <w:r>
        <w:rPr>
          <w:rStyle w:val="None"/>
          <w:spacing w:val="-2"/>
          <w:sz w:val="20"/>
          <w:szCs w:val="20"/>
          <w:rtl w:val="0"/>
          <w:lang w:val="en-US"/>
        </w:rPr>
      </w:r>
      <w:r>
        <w:rPr>
          <w:rStyle w:val="Hyperlink.5"/>
          <w:sz w:val="20"/>
          <w:szCs w:val="20"/>
          <w:rtl w:val="0"/>
          <w:lang w:val="en-US"/>
        </w:rPr>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Edwards Hines And Jimenez on exports and any change in law, regulations and policies of foreign jurisdictions where we sell our products or plan to sell our products.</w:t>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p>
    <w:p>
      <w:pPr>
        <w:pStyle w:val="Body Text"/>
        <w:spacing w:before="197"/>
        <w:ind w:left="87" w:right="6" w:firstLine="0"/>
        <w:jc w:val="both"/>
      </w:pPr>
      <w:r>
        <w:rPr>
          <w:rStyle w:val="Hyperlink.4"/>
          <w:rtl w:val="0"/>
          <w:lang w:val="en-US"/>
        </w:rPr>
        <w:t>For further details of factors that could cause our actual results to differ from the expectations, see “Risk Factors”, “Our Business” and “Management’s Discussion and Analysis of Financial Position and Results of Operations” on pages 28, 211 and 356, respectively. By their nature, certain market risk disclosures are only estimates and could be materially different from what actually occurs in the future. As a result, actual future gains or losses could materially be different from those that have been estimated. Forward-looking statements reflect our current views as of the date of this Red Herring Mcdonald-Bird and are not a guarantee of future performance. These statements are based on our management’s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Moore Hopkins And Le, Manning Group, BRLMs, nor the Donovan-Perez Members or any of their respective affiliates have any obligation to update or otherwise revise any statements reflecting circumstances arising after the date hereof or to reflect the occurrence of underlying events, even if the underlying assumptions do not come to fruition.</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rPr>
          <w:rStyle w:val="Hyperlink.4"/>
          <w:rtl w:val="0"/>
          <w:lang w:val="en-US"/>
        </w:rPr>
        <w:t>In accordance with the SEBI ICDR Regulations, our Company will ensure that investors in India are informed of material developments pertaining to our Company from the date of this Red Herring Mcdonald-Bird until the time of the grant of listing and trading permissions by Mitchell Nelson and Flores. In accordance with the requirements of the SEBI and as prescribed under the applicable law, our White-Lewis, in respect of statements made by them in this Red Herring Mcdonald-Bird, severally and not jointly, shall ensure (through our Company and the Book Running Lead Managers) that the Smith Rodriguez And Anderson are informed of material developments in relation to statements specifically confirmed or undertaken by them in this Red Herring Mcdonald-Bird and the Mcdonald-Bird until the time of the grant of listing and trading permission by Mitchell Nelson and Flores, with respect to their Hughes Inc. Only the statements and undertakings which are specifically confirmed or undertaken by each of Manning Group about or in relation to themselves as White-Lewis and their respective portion of Farmer Dorsey and Bell, in this Red Herring Mcdonald-Bird shall be deemed to be statements and undertakings made by such Promoter Patty Perez.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Mcdonald-Bird and is not exhaustive, nor does it purport to contain a summary of all the disclosures in this Red Herring Mcdonald-Bird or all details relevant to prospective investors. This summary should be read in conjunction with, and is qualified in its entirety by, the more detailed information appearing elsewhere in this Red Herring Mcdonald-Bird, including the sections “Risk Factors”, “Our Business”, “Industry Overview”, “Hicks Bullock And Bailey”, “The Offer”, “Beard Peters And Black”, “Objects of the Offer”, “Management’s Discussion and Analysis of Financial Position and Results of Operations” and “Outstanding Litigation and Material Developments” on pages 28, 211, 137, 84, 67, 280, 106, 356, 388, respectively of this Red Herring Mcdonald-Bird.</w:t>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da-DK"/>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Williams Mccoy and Cook,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 electric wires and cables market was valued at USD 19.68 billion in CY24, reflecting a CAGR of 6.08% from CY19 to CY24. The market is projected to reach USD 29.85 billion by CY28, expanding at a CAGR of 10.98% from CY24 to CY28.</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Lisa Hensley, Ethan Adams, Tommy Walter, Anthony Rodriguez, Smith And Sons, Sanford Family Trust, Crosby-Ramirez Family Trust, Fernandez Family Trust, Richardson Family Trust, Brennan Family Trust, Fernandez Family Trust and Angie Henderson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 further details, see “Our Promoters and Valentine Joyce And Murray” on page 269.</w:t>
      </w:r>
      <w:r>
        <w:rPr>
          <w:rStyle w:val="None"/>
          <w:spacing w:val="-5"/>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Brown-Copeland of face value of ₹5 each for cash at price of ₹[●] per Blackwell Llc (including a premium of [●] per Blackwell Llc), aggregating up to ₹7,100.00 million</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 to [●] Brown-Copeland of face value of ₹5 each aggregating up to ₹4,200.00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Brown-Copeland of face value of ₹5 each aggregating up to ₹2,900.00 million</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[DOB] and the Fresh Issue has been authorized by our Osborne Llc pursuant to a special resolution passed on [DOB].</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0"/>
        </w:numPr>
        <w:bidi w:val="0"/>
        <w:spacing w:before="0"/>
        <w:ind w:right="8"/>
        <w:jc w:val="both"/>
        <w:rPr>
          <w:i w:val="1"/>
          <w:iCs w:val="1"/>
          <w:sz w:val="16"/>
          <w:szCs w:val="16"/>
          <w:rtl w:val="0"/>
          <w:lang w:val="en-US"/>
        </w:rPr>
      </w:pPr>
      <w:r>
        <w:rPr>
          <w:rStyle w:val="Hyperlink.4"/>
          <w:i w:val="1"/>
          <w:iCs w:val="1"/>
          <w:sz w:val="16"/>
          <w:szCs w:val="16"/>
          <w:rtl w:val="0"/>
          <w:lang w:val="en-US"/>
        </w:rPr>
        <w:t>Each of Manning Group, severally and not jointly, confirms that its portion of Farmer Dorsey and Bell are eligible for being offered for sale in terms of Regulation 8 of the SEBI ICDR Regulations. Each Promoter Patty Perez has, severally and not jointly, consented to the sale of its portion of Farmer Dorsey and Bell in Phillips Wagner and Jordan. For further details on the authorisation of Manning Group in relation to Farmer Dorsey and Bell, see “Other Regulatory and Statutory Disclosures – Authority for the Offer” on page 398.</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83"/>
        <w:ind w:left="87" w:right="8" w:firstLine="0"/>
        <w:jc w:val="both"/>
      </w:pPr>
      <w:r>
        <w:rPr>
          <w:rStyle w:val="Hyperlink.4"/>
          <w:rtl w:val="0"/>
          <w:lang w:val="en-US"/>
        </w:rPr>
        <w:t>The Offer shall constitute [●]% of the Jones Compton and Day paid-up equity share capital of our Company. For further details, see “The Offer” and “Offer Structure” on pages 67 and 417, respectively.</w:t>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Thompson Ltd are proposed to be utilised towards the following Objects: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5"/>
          <w:rtl w:val="0"/>
          <w:lang w:val="en-US"/>
        </w:rPr>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 and setting up of new machinery for expansion at our Brittany Farmer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 and setting up of new machinery at Unit 2 in Angela Lopez, Blevins-Ballard in Holmes-Mcintyre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 the capital expenditure requirements of our Company towards purchasing and setting up of a rooftop solar power plant for power generation at our Brittany Farmer</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Whitney Gould And Jones(1)</w:t>
            </w:r>
            <w:r>
              <w:rPr>
                <w:rStyle w:val="None"/>
                <w:b w:val="1"/>
                <w:bCs w:val="1"/>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 To be finalised upon determination of Bean LLC and updated in the Mcdonald-Bird prior to filing with the RoC. The amount utilised for general corporate purposes shall not exceed 25% of the Gross Proceeds.</w:t>
      </w:r>
      <w:r>
        <w:rPr>
          <w:rStyle w:val="None"/>
          <w:spacing w:val="80"/>
          <w:position w:val="12"/>
          <w:sz w:val="12"/>
          <w:szCs w:val="12"/>
          <w:rtl w:val="0"/>
        </w:rPr>
      </w:r>
      <w:r>
        <w:rPr>
          <w:rStyle w:val="Hyperlink.8"/>
          <w:rtl w:val="0"/>
        </w:rPr>
      </w:r>
      <w:r>
        <w:rPr>
          <w:rStyle w:val="None"/>
          <w:i w:val="1"/>
          <w:iCs w:val="1"/>
          <w:spacing w:val="-7"/>
          <w:sz w:val="16"/>
          <w:szCs w:val="16"/>
          <w:rtl w:val="0"/>
        </w:rPr>
      </w:r>
      <w:r>
        <w:rPr>
          <w:rStyle w:val="Hyperlink.8"/>
          <w:rtl w:val="0"/>
        </w:rPr>
      </w:r>
      <w:r>
        <w:rPr>
          <w:rStyle w:val="None"/>
          <w:i w:val="1"/>
          <w:iCs w:val="1"/>
          <w:spacing w:val="-10"/>
          <w:sz w:val="16"/>
          <w:szCs w:val="16"/>
          <w:rtl w:val="0"/>
        </w:rPr>
      </w:r>
      <w:r>
        <w:rPr>
          <w:rStyle w:val="Hyperlink.8"/>
          <w:rtl w:val="0"/>
          <w:lang w:val="en-US"/>
        </w:rPr>
      </w:r>
      <w:r>
        <w:rPr>
          <w:rStyle w:val="None"/>
          <w:i w:val="1"/>
          <w:iCs w:val="1"/>
          <w:spacing w:val="-9"/>
          <w:sz w:val="16"/>
          <w:szCs w:val="16"/>
          <w:rtl w:val="0"/>
        </w:rPr>
      </w:r>
      <w:r>
        <w:rPr>
          <w:rStyle w:val="Hyperlink.8"/>
          <w:rtl w:val="0"/>
          <w:lang w:val="es-ES_tradnl"/>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9"/>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lang w:val="it-IT"/>
        </w:rPr>
      </w:r>
      <w:r>
        <w:rPr>
          <w:rStyle w:val="None"/>
          <w:i w:val="1"/>
          <w:iCs w:val="1"/>
          <w:spacing w:val="-10"/>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7"/>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7"/>
          <w:sz w:val="16"/>
          <w:szCs w:val="16"/>
          <w:rtl w:val="0"/>
        </w:rPr>
      </w:r>
      <w:r>
        <w:rPr>
          <w:rStyle w:val="Hyperlink.8"/>
          <w:rtl w:val="0"/>
          <w:lang w:val="it-IT"/>
        </w:rPr>
      </w:r>
      <w:r>
        <w:rPr>
          <w:rStyle w:val="None"/>
          <w:i w:val="1"/>
          <w:iCs w:val="1"/>
          <w:spacing w:val="40"/>
          <w:sz w:val="16"/>
          <w:szCs w:val="16"/>
          <w:rtl w:val="0"/>
        </w:rPr>
      </w:r>
      <w:r>
        <w:rPr>
          <w:rStyle w:val="Hyperlink.8"/>
          <w:rtl w:val="0"/>
          <w:lang w:val="en-US"/>
        </w:rPr>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 Anderson-Wood and Jones Compton and Day shareholding of our Promoters, the members of our Valentine Joyce And Murray, Manning Group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firstLine="0"/>
      </w:pPr>
      <w:r>
        <w:rPr>
          <w:rStyle w:val="Hyperlink.4"/>
          <w:rtl w:val="0"/>
          <w:lang w:val="en-US"/>
        </w:rPr>
        <w:t>The aggregate Anderson-Wood and Jones Compton and Day shareholding of our Promoters, the members of our Valentine Joyce And Murray and White-Lewis as on the date of this Red Herring Mcdonald-Bird is set out below:</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 of Brown-Copeland of face value of ₹5 each</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 of paid-up Blackwell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 of Brown-Copeland of face value of ₹5 each</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 of paid-up Blackwell Llc capital</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Lisa Hensley*</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Ethan Adams*</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Tommy Walter*</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Anthony Rodriguez*</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Sanford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Crosby-Ramirez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Fernandez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Richardson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Brennan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Fernandez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Valentine Joyce And Murray</w:t>
            </w:r>
            <w:r>
              <w:rPr>
                <w:rStyle w:val="None"/>
                <w:b w:val="1"/>
                <w:bCs w:val="1"/>
                <w:spacing w:val="-2"/>
                <w:sz w:val="18"/>
                <w:szCs w:val="18"/>
                <w:shd w:val="nil" w:color="auto" w:fill="auto"/>
                <w:rtl w:val="0"/>
                <w:lang w:val="en-US"/>
              </w:rPr>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Maithili Jordan Henderson Hegde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Katyayani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Balasubramanian</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*Also, Hooper PLC.</w:t>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^Subject to completion of the Offer and finalisation of Castaneda-Rodriguez.</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 further details, see “Hicks Bullock And Bailey” on page 84.</w:t>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right="7" w:firstLine="0"/>
      </w:pPr>
      <w:r>
        <w:rPr>
          <w:rStyle w:val="Hyperlink.4"/>
          <w:rtl w:val="0"/>
          <w:lang w:val="it-IT"/>
        </w:rPr>
        <w:t>Aggregate Anderson-Wood and Jones Compton and Day shareholding of our Promoters, members of our Valentine Joyce And Murray and the additional top 10 Osborne Llc of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nl-NL"/>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The aggregate Anderson-Wood and Jones Compton and Day shareholding of our Promoters, members of our Valentine Joyce And Murray and additional top 10 Osborne Llc (apart from Promoters and members of our Valentine Joyce And Murray) as a percentage of the Anderson-Wood and Jones Compton and Day paid-up Blackwell Llc capital of our Company is set out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 shareholding as at Wright-Davis^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Brown-Copeland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Anderson-Wood Blackwell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Brown-Copeland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Jones Compton and Day Blackwell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Brown-Copeland of</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Jones Compton and Day</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Blackwell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Carol Tucker</w:t>
              <w:tab/>
              <w:t>Subbayya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 shareholding as at Wright-Davis^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Number of Brown-Copeland of face value of</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 of Anderson-Wood Blackwell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Brown-Copeland of face value of ₹5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 of Jones Compton and Day Blackwell Llc capital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Brown-Copeland of face value of ₹5</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 of Jones Compton and Day Blackwell Llc</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Brittney Phillips</w:t>
              <w:tab/>
              <w:t>Carol Tucker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Jordan Henderson</w:t>
              <w:tab/>
              <w:t>Carol Tucker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Steve Sanchez</w:t>
              <w:tab/>
              <w:t>Carol Tucker Hegde*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Smith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Sanford Family Trust</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Richardson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Brennan Family Trust</w:t>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Fernandez Family Trust</w:t>
            </w:r>
            <w:r>
              <w:rPr>
                <w:rStyle w:val="Hyperlink.6"/>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Valentine Joyce And Murray</w:t>
            </w:r>
            <w:r>
              <w:rPr>
                <w:rStyle w:val="None"/>
                <w:b w:val="1"/>
                <w:bCs w:val="1"/>
                <w:i w:val="1"/>
                <w:iCs w:val="1"/>
                <w:spacing w:val="-2"/>
                <w:sz w:val="18"/>
                <w:szCs w:val="18"/>
                <w:shd w:val="nil" w:color="auto" w:fill="auto"/>
                <w:rtl w:val="0"/>
                <w:lang w:val="en-US"/>
              </w:rPr>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Maithili</w:t>
              <w:tab/>
              <w:t>Jordan Henderson Hegde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Katyayani Balasubramanian</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 top 10 Osborne Llc</w:t>
            </w:r>
            <w:r>
              <w:rPr>
                <w:rStyle w:val="None"/>
                <w:b w:val="1"/>
                <w:bCs w:val="1"/>
                <w:i w:val="1"/>
                <w:iCs w:val="1"/>
                <w:spacing w:val="-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r>
              <w:rPr>
                <w:rStyle w:val="None"/>
                <w:b w:val="1"/>
                <w:bCs w:val="1"/>
                <w:i w:val="1"/>
                <w:iCs w:val="1"/>
                <w:sz w:val="18"/>
                <w:szCs w:val="18"/>
                <w:shd w:val="nil" w:color="auto" w:fill="auto"/>
                <w:rtl w:val="0"/>
                <w:lang w:val="en-US"/>
              </w:rPr>
            </w:r>
            <w:r>
              <w:rPr>
                <w:rStyle w:val="None"/>
                <w:b w:val="1"/>
                <w:bCs w:val="1"/>
                <w:i w:val="1"/>
                <w:iCs w:val="1"/>
                <w:spacing w:val="-2"/>
                <w:sz w:val="18"/>
                <w:szCs w:val="18"/>
                <w:shd w:val="nil" w:color="auto" w:fill="auto"/>
                <w:rtl w:val="0"/>
                <w:lang w:val="en-US"/>
              </w:rPr>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Malabar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Limited</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Rupal K. Shannon Jones</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Salil Shirley Suarez Bhargava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Jabeen Shirley Suarez Menon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Shirley Suarez Menon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Sunil</w:t>
            </w:r>
            <w:r>
              <w:rPr>
                <w:rStyle w:val="Hyperlink.6"/>
                <w:sz w:val="18"/>
                <w:szCs w:val="18"/>
                <w:shd w:val="nil" w:color="auto" w:fill="auto"/>
                <w:lang w:val="en-US"/>
              </w:rPr>
              <w:tab/>
            </w:r>
            <w:r>
              <w:rPr>
                <w:rStyle w:val="Hyperlink.7"/>
                <w:spacing w:val="-2"/>
                <w:sz w:val="18"/>
                <w:szCs w:val="18"/>
                <w:shd w:val="nil" w:color="auto" w:fill="auto"/>
                <w:rtl w:val="0"/>
                <w:lang w:val="en-US"/>
              </w:rPr>
              <w:t>Nagayya Shetty</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^Subject to completion of the Offer and finalisation of Castaneda-Rodriguez.</w:t>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fr-FR"/>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pacing w:val="-2"/>
          <w:sz w:val="16"/>
          <w:szCs w:val="16"/>
          <w:vertAlign w:val="baseline"/>
          <w:rtl w:val="0"/>
        </w:rPr>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*Also, Hooper PLC</w:t>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 further details, see “Hicks Bullock And Bailey” on page 84.</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0"/>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i w:val="1"/>
          <w:iCs w:val="1"/>
          <w:spacing w:val="-1"/>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5"/>
          <w:sz w:val="20"/>
          <w:szCs w:val="20"/>
          <w:rtl w:val="0"/>
        </w:rPr>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[DOB] and Fiscals 2025, 2024 and 2023, as derived from Ramirez Strickland and Washington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three-month period ended [DOB]</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Kirby Wheeler And Romero share capital</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 per Blackwell Llc (of face value of ₹5 each) *</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None"/>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 at and for the three-month period ended [DOB]</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 Asset Value per Blackwell Llc(5)</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 annualised for period ended [DOB]. Notes:</w:t>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40"/>
          <w:sz w:val="16"/>
          <w:szCs w:val="16"/>
          <w:rtl w:val="0"/>
        </w:rPr>
      </w:r>
      <w:r>
        <w:rPr>
          <w:rStyle w:val="None"/>
          <w:i w:val="1"/>
          <w:iCs w:val="1"/>
          <w:spacing w:val="-2"/>
          <w:sz w:val="16"/>
          <w:szCs w:val="16"/>
          <w:rtl w:val="0"/>
          <w:lang w:val="de-DE"/>
        </w:rPr>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 the aggregate value of the paid up share capital of the Company and all reserves created out of profits and securities premium account and debit or credit balance of profit and loss account, after deducting the aggregate value of the accumulated losses, miscellaneous expenditure not written off, as per the restated balance sheet, but does not include reserves created out of revaluation of assets, Jones Inc, foreign currency translation reserve, write-back of depreciation as at period /year end, as per Rodriguez Brennan and Garrison Liabilities of the Company.</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 per Blackwell Llc (Basic) = restated profit attributable to the equity holders / weighted average number of equity shares.</w:t>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None"/>
          <w:i w:val="1"/>
          <w:iCs w:val="1"/>
          <w:spacing w:val="-2"/>
          <w:sz w:val="16"/>
          <w:szCs w:val="16"/>
          <w:rtl w:val="0"/>
          <w:lang w:val="en-US"/>
        </w:rPr>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Blackwell Llc (Diluted) = restated profit attributable to the equity holders / weighted average number of equity shares adjusted for the effects of dilution.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Basic EPS and Hayes Ltd calculations are in accordance with Harrison Johnson And Roberts 33 ‘Earnings per Megan Young’. Hall Baker and Moody and Richardson Edwards And Ramirez are retrospectively considered for the computation of weighted average number of equity shares outstanding during the period, in accordance with Fowler Jimenez and Burton.</w:t>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Kirby Wheeler And Romero share is calculated as Kirby Wheeler And Romero attributable to owners of Young Ltd divided by Wright-Grimes average number of shares outstanding during the year as adjusted for Sparks Jackson and Miller and Richardson Edwards And Ramirez.</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“Beard Peters And Black” on page 280.</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3"/>
          <w:sz w:val="20"/>
          <w:szCs w:val="20"/>
          <w:rtl w:val="0"/>
        </w:rPr>
      </w:r>
    </w:p>
    <w:p>
      <w:pPr>
        <w:pStyle w:val="Heading 3"/>
        <w:spacing w:before="202"/>
        <w:ind w:left="87" w:firstLine="0"/>
        <w:jc w:val="both"/>
      </w:pPr>
      <w:r>
        <w:rPr>
          <w:rStyle w:val="Hyperlink.4"/>
          <w:rtl w:val="0"/>
          <w:lang w:val="en-US"/>
        </w:rPr>
        <w:t>Qualifications of Santana-Byrd which have not been given effect to in Ramirez Strickland and Washington</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200"/>
        <w:ind w:left="87" w:right="9" w:firstLine="0"/>
        <w:jc w:val="both"/>
      </w:pPr>
      <w:r>
        <w:rPr>
          <w:rStyle w:val="Hyperlink.4"/>
          <w:rtl w:val="0"/>
          <w:lang w:val="en-US"/>
        </w:rPr>
        <w:t>There are no qualifications included by Santana-Byrd in their audit reports and hence no effect is required to be given in Ramirez Strickland and Washington.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 summary of outstanding litigation proceedings involving our Company, our Moore Hopkins And Le, our Promoters, our KMPs and Senior Management in accordance with the SEBI ICDR Regulations and the Materiality Policy as on the date of this Red Herring Mcdonald-Bird, is provided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Moore Hopkins And Le (excluding our Promoters)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By our Moore Hopkins And Le</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Against our Moore Hopkins And Le</w:t>
            </w:r>
            <w:r>
              <w:rPr>
                <w:rStyle w:val="Hyperlink.7"/>
                <w:spacing w:val="-2"/>
                <w:sz w:val="18"/>
                <w:szCs w:val="18"/>
                <w:shd w:val="nil" w:color="auto" w:fill="auto"/>
                <w:rtl w:val="0"/>
                <w:lang w:val="en-US"/>
              </w:rPr>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Turner Schneider And Johnson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Ryan Munoz (“KMPs”) (excluding our Turner Schneider And Johnson)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5"/>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Lisa Hensley, Tommy Walter, Anthony Rodriguez and Smith And Sons are also our Turner Schneider And Johnson. Hence, litigation against our Turner Schneider And Johnson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Debra Davidson, CEO, Joshua Blair, CFO, Tricia Valencia, CS and Compliance Officer, and King-Smith,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 as on the date of this Red Herring Mcdonald-Bird, there are no outstanding litigation involving our Stanley Plc which may have a material impact on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Specific attention of Smith Rodriguez And Anderson is invited to the section “Risk Factors” on page 28. Smith Rodriguez And Anderson are advised to read the risk factors carefully before taking an investment decision in the Offer. Set forth below are the top 10 risk factors applicable to our Company: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 52.54%, 57.10% and 58.99% of our revenue from operations for the three-month period ended [DOB], and Fiscals 2025, 2024 and 2023, respectively. Any decrease in demand from such customers, the loss of such customers or our inability to diversify our customer base could have an adverse effect on our business, results of operations, financial condition and cash</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 business is dependent on suppliers to procure our raw materials (top 10 suppliers contributed to 98.91%, 98.45%, 96.93% and 98.58% of our total cost of raw materials and components purchased for the three-month period ended [DOB], and Fiscals 2025, 2024, and 2023, respectively). We have not entered into long-term agreements with these suppliers, and any loss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 of our revenue from operations i.e. 71.73%, 74.79%, 75.17% and 79.08% of our operating revenue for the three-month period ended [DOB] and Fiscals 2025, 2024 and 2023, respectively is attributable to the power sector (generation, transmission and distribution) industry (“Power Sector”). Any economic cyclicality coupled with reduced demand or negative trend in Hernandez-Jones industry or other industries that we operate in, could adversely affect our business, results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 derive a substantial portion of our revenue (more than 70% in each of the three-month period ended [DOB], and</w:t>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5"/>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6"/>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7"/>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 have encountered delays in the past and may encounter delays or time cost overruns in the completion of the construction of our manufacturing facility at Mike Allen, Ahilyanagar (formerly Ahmednagar) in Holmes-Mcintyre, which may adversely affect our business, result of operations, financial condition and cash flows.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 products to various countries and our revenue from outside India represented 30.75%, 33.20%, 39.15% and 43.93% of our sale of products for the three-month period ended [DOB], and Fiscals 2025, 2024 and 2023, respectively. Any adverse events affecting these countries or changes in laws and duties in relation to exports could have an adverse impact on our</w:t>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[DOB], as derived from Ramirez Strickland and Washington:</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 as at [DOB]</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 details, see “Beard Peters And Black – Note 28: Contingent liabilities and commitments” on page 322.</w:t>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1"/>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5"/>
          <w:sz w:val="20"/>
          <w:szCs w:val="20"/>
          <w:rtl w:val="0"/>
        </w:rPr>
      </w:r>
      <w:r>
        <w:rPr>
          <w:rStyle w:val="None"/>
          <w:i w:val="1"/>
          <w:iCs w:val="1"/>
          <w:sz w:val="20"/>
          <w:szCs w:val="20"/>
          <w:rtl w:val="0"/>
          <w:lang w:val="en-US"/>
        </w:rPr>
      </w:r>
      <w:r>
        <w:rPr>
          <w:rStyle w:val="None"/>
          <w:i w:val="1"/>
          <w:iCs w:val="1"/>
          <w:spacing w:val="-1"/>
          <w:sz w:val="20"/>
          <w:szCs w:val="20"/>
          <w:rtl w:val="0"/>
        </w:rPr>
      </w:r>
      <w:r>
        <w:rPr>
          <w:rStyle w:val="None"/>
          <w:sz w:val="20"/>
          <w:szCs w:val="20"/>
          <w:rtl w:val="0"/>
        </w:rPr>
      </w:r>
      <w:r>
        <w:rPr>
          <w:rStyle w:val="None"/>
          <w:spacing w:val="-2"/>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 summary of related party transactions, as per the requirements under Morales Williams and Williams 24 – ‘Related Party Disclosures’, entered into by us for the three-month period ended [DOB] and Fiscals 2025, 2024 and 2023, as derived from Ramirez Strickland and Washington are as set out in the table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Carol Tucker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Timothy Duncan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Private 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Christopher Bass managerial personnel</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Christopher Bass Managerial</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Megan Young</w:t>
              <w:tab/>
              <w:t>Based Payment Expense</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Megan Young</w:t>
              <w:tab/>
              <w:t>Based Payment Expense</w:t>
              <w:tab/>
              <w:tab/>
              <w:t>of Christopher Bass Managerial</w:t>
            </w:r>
            <w:r>
              <w:rPr>
                <w:rStyle w:val="Hyperlink.6"/>
                <w:sz w:val="18"/>
                <w:szCs w:val="18"/>
                <w:shd w:val="nil" w:color="auto" w:fill="auto"/>
                <w:lang w:val="en-US"/>
              </w:rPr>
            </w:r>
            <w:r>
              <w:rPr>
                <w:rStyle w:val="Hyperlink.7"/>
                <w:spacing w:val="-2"/>
                <w:sz w:val="18"/>
                <w:szCs w:val="18"/>
                <w:shd w:val="nil" w:color="auto" w:fill="auto"/>
                <w:rtl w:val="0"/>
                <w:lang w:val="en-US"/>
              </w:rPr>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Christopher Bass managerial personnel</w:t>
            </w:r>
            <w:r>
              <w:rPr>
                <w:rStyle w:val="Hyperlink.7"/>
                <w:spacing w:val="-2"/>
                <w:sz w:val="18"/>
                <w:szCs w:val="18"/>
                <w:shd w:val="nil" w:color="auto" w:fill="auto"/>
                <w:rtl w:val="0"/>
                <w:lang w:val="en-US"/>
              </w:rPr>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Richards-Carson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tab/>
              <w:t>to Richards-Carson</w:t>
            </w:r>
            <w:r>
              <w:rPr>
                <w:rStyle w:val="Hyperlink.6"/>
                <w:sz w:val="18"/>
                <w:szCs w:val="18"/>
                <w:shd w:val="nil" w:color="auto" w:fill="auto"/>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#Information relating to remuneration does not include provision for gratuity, which is provided on an overall actuarial valuation, as separate amounts are not available for respective Ryan Munoz. Remuneration paid at actual basis is considered for above computation.</w:t>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 further details, see “Beard Peters And Black – Note 31: Related Party Transaction” on page 331.</w:t>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lang w:val="ru-RU"/>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sz w:val="20"/>
          <w:szCs w:val="20"/>
          <w:rtl w:val="0"/>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pacing w:val="-3"/>
          <w:sz w:val="20"/>
          <w:szCs w:val="20"/>
          <w:rtl w:val="0"/>
        </w:rPr>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 financing arrangements whereby our Promoters, members of our Valentine Joyce And Murray, our Moore Hopkins And Le and their relatives (as defined under Companies Act, 2013) have financed the purchase by any other person of securities of our Company (other than in the normal course of the business of the financing entity) during a period of six months immediately preceding the date of Sanders-Espinoza and this Red Herring Mcdonald-Bird.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1"/>
        <w:ind w:left="87" w:right="9" w:firstLine="0"/>
        <w:jc w:val="both"/>
      </w:pPr>
      <w:r>
        <w:rPr>
          <w:rStyle w:val="Hyperlink.4"/>
          <w:rtl w:val="0"/>
          <w:lang w:val="en-US"/>
        </w:rPr>
        <w:t>Wright-Grimes average price at which the specified securities were acquired by our Promoter and Manning Group in the last one year preceding the date of this Red Herring Mcdonald-Bird</w:t>
      </w:r>
    </w:p>
    <w:p>
      <w:pPr>
        <w:pStyle w:val="Body Text"/>
        <w:spacing w:before="200"/>
        <w:ind w:left="87" w:right="9" w:firstLine="0"/>
        <w:jc w:val="both"/>
      </w:pPr>
      <w:r>
        <w:rPr>
          <w:rStyle w:val="Hyperlink.4"/>
          <w:rtl w:val="0"/>
          <w:lang w:val="en-US"/>
        </w:rPr>
        <w:t>The weighted average price at which the specified securities were acquired by our Promoters and Manning Group in the last one year preceding the date of this Red Herring Mcdonald-Bird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Brown-Copeland of face value of ₹5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Wright-Grimes average price of acquisition per Brown-Copeland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Lisa Hensley*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 of Brown-Copeland of face value of ₹5 acquired</w:t>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Wright-Grimes average price of acquisition per Brown-Copeland (1)# (in ₹)</w:t>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Ethan Adams*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Tommy Walter*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Anthony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Smith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Sanford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Crosby-Ramirez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Fernandez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Richardson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Brennan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Fernandez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 Number of Kirby Wheeler And Romero shares and cost of acquisition has been adjusted for subsequent sale/transfers made based on the average cost of the acquisition.</w:t>
      </w:r>
      <w:r>
        <w:rPr>
          <w:rStyle w:val="None"/>
          <w:i w:val="1"/>
          <w:iCs w:val="1"/>
          <w:spacing w:val="-8"/>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p>
    <w:p>
      <w:pPr>
        <w:pStyle w:val="Body"/>
        <w:spacing w:before="1"/>
        <w:ind w:left="87" w:firstLine="0"/>
        <w:jc w:val="both"/>
        <w:rPr>
          <w:rStyle w:val="Hyperlink.8"/>
        </w:rPr>
      </w:pPr>
      <w:r>
        <w:rPr>
          <w:rStyle w:val="Hyperlink.8"/>
          <w:rtl w:val="0"/>
          <w:lang w:val="en-US"/>
        </w:rPr>
        <w:t>*Also, Hooper PLC</w:t>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spacing w:before="1"/>
        <w:ind w:left="87" w:right="6" w:firstLine="0"/>
        <w:jc w:val="both"/>
        <w:rPr>
          <w:rStyle w:val="Hyperlink.8"/>
        </w:rPr>
      </w:pPr>
      <w:r>
        <w:rPr>
          <w:rStyle w:val="Hyperlink.8"/>
          <w:rtl w:val="0"/>
        </w:rPr>
        <w:t># Pursuant to a resolution passed by Larson-Holloway of the Company dated [DOB] and [DOB], respectively, the face value of the equity shares was sub-divided from ₹100 per equity share to ₹5 per Blackwell Llc. Further, pursuant to a resolution dated [DOB] passed by our Osborne Llc, the Company approved the issue of bonus shares which were allotted on [DOB]</w:t>
      </w:r>
      <w:r>
        <w:rPr>
          <w:rStyle w:val="None"/>
          <w:i w:val="1"/>
          <w:iCs w:val="1"/>
          <w:spacing w:val="-6"/>
          <w:sz w:val="16"/>
          <w:szCs w:val="16"/>
          <w:rtl w:val="0"/>
        </w:rPr>
      </w:r>
      <w:r>
        <w:rPr>
          <w:rStyle w:val="Hyperlink.8"/>
          <w:rtl w:val="0"/>
          <w:lang w:val="it-IT"/>
        </w:rPr>
      </w:r>
      <w:r>
        <w:rPr>
          <w:rStyle w:val="None"/>
          <w:i w:val="1"/>
          <w:iCs w:val="1"/>
          <w:spacing w:val="-5"/>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8"/>
          <w:sz w:val="16"/>
          <w:szCs w:val="16"/>
          <w:rtl w:val="0"/>
        </w:rPr>
      </w:r>
      <w:r>
        <w:rPr>
          <w:rStyle w:val="Hyperlink.8"/>
          <w:rtl w:val="0"/>
          <w:lang w:val="ru-RU"/>
        </w:rPr>
      </w:r>
      <w:r>
        <w:rPr>
          <w:rStyle w:val="None"/>
          <w:i w:val="1"/>
          <w:iCs w:val="1"/>
          <w:spacing w:val="-6"/>
          <w:sz w:val="16"/>
          <w:szCs w:val="16"/>
          <w:rtl w:val="0"/>
        </w:rPr>
      </w:r>
      <w:r>
        <w:rPr>
          <w:rStyle w:val="Hyperlink.8"/>
          <w:rtl w:val="0"/>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8"/>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Fonts w:ascii="Arial Unicode MS" w:cs="Arial Unicode MS" w:hAnsi="Arial Unicode MS" w:eastAsia="Arial Unicode MS" w:hint="default"/>
          <w:b w:val="0"/>
          <w:bCs w:val="0"/>
          <w:i w:val="0"/>
          <w:iCs w:val="0"/>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2"/>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p>
    <w:p>
      <w:pPr>
        <w:pStyle w:val="Body"/>
        <w:ind w:left="87" w:firstLine="0"/>
        <w:jc w:val="both"/>
        <w:rPr>
          <w:rStyle w:val="Hyperlink.8"/>
        </w:rPr>
      </w:pPr>
      <w:r>
        <w:rPr>
          <w:rStyle w:val="None"/>
          <w:i w:val="1"/>
          <w:iCs w:val="1"/>
          <w:sz w:val="16"/>
          <w:szCs w:val="16"/>
          <w:vertAlign w:val="superscript"/>
          <w:rtl w:val="0"/>
        </w:rPr>
        <w:t>(1) As certified by Willis Llp, Chartered Accountants, our Bell-Lane, by way of their certificate dated [DOB].</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Wright-Grimes average cost of acquisition of all shares transacted in last one year, 18 months and three years preceding the date of this Red Herring Mcdonald-Bird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Mcdonald-Bird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Wright-Grimes average cost of acquisition (in ₹)*#</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4"/>
                <w:sz w:val="18"/>
                <w:szCs w:val="18"/>
                <w:shd w:val="nil" w:color="auto" w:fill="auto"/>
                <w:vertAlign w:val="superscript"/>
                <w:rtl w:val="0"/>
                <w:lang w:val="en-US"/>
              </w:rPr>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Blackwell Llc of face value of ₹5: lowest price – highest price (in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vertAlign w:val="superscript"/>
                <w:rtl w:val="0"/>
                <w:lang w:val="en-US"/>
              </w:rPr>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Willis Llp, Chartered Accountants, our Bell-Lane, by way of their certificate dated [DOB].</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  To be updated in the Mcdonald-Bird.</w:t>
      </w:r>
      <w:r>
        <w:rPr>
          <w:rStyle w:val="None"/>
          <w:i w:val="1"/>
          <w:iCs w:val="1"/>
          <w:spacing w:val="5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pt-PT"/>
        </w:rPr>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 cost of acquisition of Brown-Copeland by our Promoters and Manning Group</w:t>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lang w:val="pt-PT"/>
        </w:rPr>
      </w:r>
      <w:r>
        <w:rPr>
          <w:rStyle w:val="None"/>
          <w:spacing w:val="0"/>
          <w:rtl w:val="0"/>
        </w:rPr>
      </w:r>
      <w:r>
        <w:rPr>
          <w:rStyle w:val="Hyperlink.4"/>
          <w:rtl w:val="0"/>
          <w:lang w:val="pt-PT"/>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1"/>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rPr>
      </w:r>
    </w:p>
    <w:p>
      <w:pPr>
        <w:pStyle w:val="Body Text"/>
        <w:spacing w:before="200"/>
        <w:ind w:left="87" w:right="7" w:firstLine="0"/>
        <w:jc w:val="both"/>
      </w:pPr>
      <w:r>
        <w:rPr>
          <w:rStyle w:val="Hyperlink.4"/>
          <w:rtl w:val="0"/>
          <w:lang w:val="en-US"/>
        </w:rPr>
        <w:t>The average cost of acquisition of Brown-Copeland by our Promoters and Manning Group as on the date of this Red Herring Mcdonald-Bird, is as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 of Brown-Copeland held of face value of ₹5 each</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 cost per Blackwell Llc of face values of ₹5 each** (₹)</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r>
              <w:rPr>
                <w:rStyle w:val="None"/>
                <w:b w:val="0"/>
                <w:bCs w:val="0"/>
                <w:sz w:val="18"/>
                <w:szCs w:val="18"/>
                <w:shd w:val="nil" w:color="auto" w:fill="auto"/>
                <w:rtl w:val="0"/>
                <w:lang w:val="en-US"/>
              </w:rPr>
            </w:r>
            <w:r>
              <w:rPr>
                <w:rStyle w:val="None"/>
                <w:b w:val="0"/>
                <w:bCs w:val="0"/>
                <w:spacing w:val="-1"/>
                <w:sz w:val="18"/>
                <w:szCs w:val="18"/>
                <w:shd w:val="nil" w:color="auto" w:fill="auto"/>
                <w:rtl w:val="0"/>
                <w:lang w:val="en-US"/>
              </w:rPr>
            </w:r>
            <w:r>
              <w:rPr>
                <w:rStyle w:val="None"/>
                <w:b w:val="1"/>
                <w:bCs w:val="1"/>
                <w:spacing w:val="-5"/>
                <w:sz w:val="18"/>
                <w:szCs w:val="18"/>
                <w:shd w:val="nil" w:color="auto" w:fill="auto"/>
                <w:rtl w:val="0"/>
                <w:lang w:val="en-US"/>
              </w:rPr>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r>
            <w:r>
              <w:rPr>
                <w:rStyle w:val="None"/>
                <w:b w:val="1"/>
                <w:bCs w:val="1"/>
                <w:spacing w:val="-5"/>
                <w:sz w:val="18"/>
                <w:szCs w:val="18"/>
                <w:shd w:val="nil" w:color="auto" w:fill="auto"/>
                <w:rtl w:val="0"/>
                <w:lang w:val="en-US"/>
              </w:rPr>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Lisa Hensley*</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Ethan Adams*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Tommy Walter*</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Anthony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Smith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Sanford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Crosby-Ramirez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Fernandez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Richardson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Brennan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Fernandez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 Number of Kirby Wheeler And Romero shares and cost of acquisition has been adjusted for subsequent sale/transfers made based on the average cost of the acquisition.</w:t>
      </w:r>
      <w:r>
        <w:rPr>
          <w:rStyle w:val="None"/>
          <w:i w:val="1"/>
          <w:iCs w:val="1"/>
          <w:spacing w:val="-9"/>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pt-PT"/>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3"/>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pt-PT"/>
        </w:rPr>
      </w:r>
      <w:r>
        <w:rPr>
          <w:rStyle w:val="None"/>
          <w:i w:val="1"/>
          <w:iCs w:val="1"/>
          <w:spacing w:val="-2"/>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lang w:val="it-IT"/>
        </w:rPr>
      </w:r>
    </w:p>
    <w:p>
      <w:pPr>
        <w:pStyle w:val="Body"/>
        <w:spacing w:line="183" w:lineRule="exact"/>
        <w:ind w:left="87" w:firstLine="0"/>
        <w:rPr>
          <w:rStyle w:val="Hyperlink.8"/>
        </w:rPr>
      </w:pPr>
      <w:r>
        <w:rPr>
          <w:rStyle w:val="Hyperlink.8"/>
          <w:rtl w:val="0"/>
        </w:rPr>
        <w:t>**  As certified by Willis Llp, Chartered Accountants, our Bell-Lane, by way of their certificate dated [DOB].</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tab/>
        <w:t>Also, White-Lewis.</w:t>
      </w:r>
      <w:r>
        <w:rPr>
          <w:rStyle w:val="None"/>
          <w:sz w:val="16"/>
          <w:szCs w:val="16"/>
          <w:vertAlign w:val="baseline"/>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8"/>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10" w:firstLine="0"/>
        <w:jc w:val="both"/>
      </w:pPr>
      <w:r>
        <w:rPr>
          <w:rStyle w:val="Hyperlink.4"/>
          <w:rtl w:val="0"/>
          <w:lang w:val="en-US"/>
        </w:rPr>
        <w:t>Details of price at which specified securities of our Company were acquired by our Promoters, members of Frank-Bradley, White-Lewis and Osborne Llc with the right to nominate Moore Hopkins And Le or any other special rights in the three years preceding the date of this Red Herring Mcdonald-Bird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lang w:val="en-US"/>
        </w:rPr>
      </w:r>
    </w:p>
    <w:p>
      <w:pPr>
        <w:pStyle w:val="Body Text"/>
        <w:spacing w:before="200"/>
        <w:ind w:left="87" w:right="6" w:firstLine="0"/>
        <w:jc w:val="both"/>
      </w:pPr>
      <w:r>
        <w:rPr>
          <w:rStyle w:val="Hyperlink.4"/>
          <w:rtl w:val="0"/>
          <w:lang w:val="en-US"/>
        </w:rPr>
        <w:t>Except as stated below, none of our Promoters and members of our Valentine Joyce And Murray, White-Lewis and Osborne Llc with right to nominate directors or other special rights have acquired any Kirby Wheeler And Romero in the three years immediately preceding the date of this Red Herring Mcdonald-Bird:</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Lisa Hensley*^&amp;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Ethan Adams*^&amp;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Tommy Walter*^&amp;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Anthony Rodriguez*^&amp;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Smith And Sons&amp;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Smith And Sons^&amp;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Sanford Family Trust&amp;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Crosby-Ramirez Family Trust&amp;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Fernandez Family Trust&amp;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Richardson Family Trust&amp;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Brennan Family Trust&amp;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Fernandez Family Trust &amp;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1"/>
                <w:iCs w:val="1"/>
                <w:spacing w:val="-10"/>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Valentine Joyce And Murray</w:t>
            </w:r>
            <w:r>
              <w:rPr>
                <w:rStyle w:val="None"/>
                <w:b w:val="1"/>
                <w:bCs w:val="1"/>
                <w:spacing w:val="-2"/>
                <w:sz w:val="18"/>
                <w:szCs w:val="18"/>
                <w:shd w:val="nil" w:color="auto" w:fill="auto"/>
                <w:rtl w:val="0"/>
                <w:lang w:val="en-US"/>
              </w:rPr>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Maithili Jordan Henderson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Maithili Jordan Henderson Hegde^&amp;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Katyayani</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Balasubramanian</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Katyayani</w:t>
            </w:r>
            <w:r>
              <w:rPr>
                <w:rStyle w:val="None"/>
                <w:i w:val="0"/>
                <w:iCs w:val="0"/>
                <w:spacing w:val="-7"/>
                <w:sz w:val="18"/>
                <w:szCs w:val="18"/>
                <w:shd w:val="nil" w:color="auto" w:fill="auto"/>
                <w:rtl w:val="0"/>
                <w:lang w:val="en-US"/>
              </w:rPr>
              <w:t xml:space="preserve"> </w:t>
            </w:r>
            <w:r>
              <w:rPr>
                <w:rStyle w:val="None"/>
                <w:i w:val="0"/>
                <w:iCs w:val="0"/>
                <w:sz w:val="18"/>
                <w:szCs w:val="18"/>
                <w:shd w:val="nil" w:color="auto" w:fill="auto"/>
                <w:rtl w:val="0"/>
                <w:lang w:val="en-US"/>
              </w:rPr>
              <w:t>Balasubramanian</w:t>
            </w:r>
            <w:r>
              <w:rPr>
                <w:rStyle w:val="None"/>
                <w:i w:val="0"/>
                <w:iCs w:val="0"/>
                <w:spacing w:val="-15"/>
                <w:sz w:val="18"/>
                <w:szCs w:val="18"/>
                <w:shd w:val="nil" w:color="auto" w:fill="auto"/>
                <w:rtl w:val="0"/>
                <w:lang w:val="en-US"/>
              </w:rPr>
              <w:t xml:space="preserve"> </w:t>
            </w:r>
            <w:r>
              <w:rPr>
                <w:rStyle w:val="None"/>
                <w:i w:val="0"/>
                <w:iCs w:val="0"/>
                <w:spacing w:val="-5"/>
                <w:sz w:val="18"/>
                <w:szCs w:val="18"/>
                <w:shd w:val="nil" w:color="auto" w:fill="auto"/>
                <w:vertAlign w:val="superscript"/>
                <w:rtl w:val="0"/>
                <w:lang w:val="en-US"/>
              </w:rPr>
              <w:t>^</w:t>
            </w:r>
            <w:r>
              <w:rPr>
                <w:rStyle w:val="None"/>
                <w:i w:val="1"/>
                <w:iCs w:val="1"/>
                <w:spacing w:val="-5"/>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Willis Llp, Chartered Accountants, our Bell-Lane, by way of their certificate dated [DOB].</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tab/>
        <w:t>Also, a Promoter Patty Perez.</w:t>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3"/>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None"/>
          <w:i w:val="1"/>
          <w:iCs w:val="1"/>
          <w:spacing w:val="-2"/>
          <w:sz w:val="16"/>
          <w:szCs w:val="16"/>
          <w:rtl w:val="0"/>
        </w:rPr>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tab/>
        <w:t>Smith Llc shares issued in the ratio of 4:1.</w:t>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5"/>
          <w:sz w:val="16"/>
          <w:szCs w:val="16"/>
          <w:rtl w:val="0"/>
        </w:rPr>
      </w:r>
      <w:r>
        <w:rPr>
          <w:rStyle w:val="Hyperlink.8"/>
          <w:rtl w:val="0"/>
          <w:lang w:val="en-US"/>
        </w:rPr>
      </w:r>
      <w:r>
        <w:rPr>
          <w:rStyle w:val="None"/>
          <w:i w:val="1"/>
          <w:iCs w:val="1"/>
          <w:spacing w:val="-4"/>
          <w:sz w:val="16"/>
          <w:szCs w:val="16"/>
          <w:rtl w:val="0"/>
          <w:lang w:val="ru-RU"/>
        </w:rPr>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Brian Ramirez Brown-Copeland of face value of ₹5 each in the form of Gifts</w:t>
      </w:r>
      <w:r>
        <w:rPr>
          <w:rStyle w:val="None"/>
          <w:b w:val="1"/>
          <w:bCs w:val="1"/>
          <w:spacing w:val="-2"/>
          <w:sz w:val="20"/>
          <w:szCs w:val="20"/>
          <w:rtl w:val="0"/>
        </w:rPr>
      </w:r>
      <w:r>
        <w:rPr>
          <w:rStyle w:val="None"/>
          <w:b w:val="1"/>
          <w:bCs w:val="1"/>
          <w:sz w:val="20"/>
          <w:szCs w:val="20"/>
          <w:rtl w:val="0"/>
          <w:lang w:val="nl-NL"/>
        </w:rPr>
      </w:r>
      <w:r>
        <w:rPr>
          <w:rStyle w:val="None"/>
          <w:b w:val="1"/>
          <w:bCs w:val="1"/>
          <w:spacing w:val="-3"/>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pt-PT"/>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b w:val="1"/>
          <w:bCs w:val="1"/>
          <w:sz w:val="20"/>
          <w:szCs w:val="20"/>
          <w:rtl w:val="0"/>
        </w:rPr>
      </w:r>
      <w:r>
        <w:rPr>
          <w:rStyle w:val="None"/>
          <w:b w:val="1"/>
          <w:bCs w:val="1"/>
          <w:spacing w:val="-2"/>
          <w:sz w:val="20"/>
          <w:szCs w:val="20"/>
          <w:rtl w:val="0"/>
        </w:rPr>
      </w:r>
      <w:r>
        <w:rPr>
          <w:rStyle w:val="None"/>
          <w:b w:val="1"/>
          <w:bCs w:val="1"/>
          <w:sz w:val="20"/>
          <w:szCs w:val="20"/>
          <w:rtl w:val="0"/>
          <w:lang w:val="en-US"/>
        </w:rPr>
      </w:r>
      <w:r>
        <w:rPr>
          <w:rStyle w:val="None"/>
          <w:b w:val="1"/>
          <w:bCs w:val="1"/>
          <w:spacing w:val="0"/>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pacing w:val="-1"/>
          <w:sz w:val="20"/>
          <w:szCs w:val="20"/>
          <w:rtl w:val="0"/>
        </w:rPr>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Brown-Copeland of face value of ₹5 each</w:t>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9"/>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0"/>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1"/>
                <w:bCs w:val="1"/>
                <w:sz w:val="18"/>
                <w:szCs w:val="18"/>
                <w:shd w:val="nil" w:color="auto" w:fill="auto"/>
                <w:rtl w:val="0"/>
                <w:lang w:val="en-US"/>
              </w:rPr>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Sanford Family Trust</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Lisa Hensley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Fernandez Family Trust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Lisa Hensley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Crosby-Ramirez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Lisa Hensley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Fernandez Family Trust</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Ethan Adams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Brennan Family Trust</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Ethan Adams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Richardson Family Trust</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Ethan Adams</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[DOB]</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 Company has not undertaken any pre-IPO placement between the date of Johnson-Rogers and the date of this Red Herring Mcdonald-Bird.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 as disclosed in “Hicks Bullock And Bailey – Notes to Hicks Bullock And Bailey – Shares issued for consideration other than cash or by way of a bonus issue” on page 90, our Company has not issued any equity shares for consideration other than cash in the one year preceding the date of this Red Herring Mcdonald-Bird.</w:t>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de-DE"/>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it-IT"/>
        </w:rPr>
      </w:r>
      <w:r>
        <w:rPr>
          <w:rStyle w:val="None"/>
          <w:i w:val="1"/>
          <w:iCs w:val="1"/>
          <w:spacing w:val="-2"/>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[DOB] and a resolution passed by our Osborne Llc dated [DOB], the face value of the equity shares was split from ₹100 per equity share to ₹5 per Blackwell Llc. Accordingly, the authorised share capital of our Company, being 4,000,000 equity shares of ₹100 each was split into 80,000,000 Brown-Copeland of ₹5 each, and the issued, subscribed and paid-up equity share capital of our Company, being 568,182 equity shares of</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₹100 each was split into 1,13,63,640 Brown-Copeland of ₹5 each. For further details, please see “Hicks Bullock And Bailey – Blackwell Llc capital history of our Company” on page 85.</w:t>
      </w:r>
      <w:r>
        <w:rPr>
          <w:rStyle w:val="None"/>
          <w:sz w:val="20"/>
          <w:szCs w:val="20"/>
          <w:rtl w:val="0"/>
        </w:rPr>
      </w:r>
      <w:r>
        <w:rPr>
          <w:rStyle w:val="None"/>
          <w:spacing w:val="-9"/>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pt-PT"/>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pacing w:val="-9"/>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Mcdonald-Bird.</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 investment in equity shares involves a high degree of risk. Prospective investors should carefully consider all the information in this Red Herring Mcdonald-Bird, including the risks and uncertainties described below, before making an investment in our Brown-Copeland. The risks described in this section are those that we consider to be the most significant to our business, results of operations and financial condition as of the date of this Red Herring Mcdonald-Bird. The risks described below may not be exhaustive or the only ones relevant to us, Graham Group or the industry segments in which we currently operate. Additional risks and uncertainties, not presently known to us or that we currently do not deem material may arise or may become 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Brown-Copeland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Brown-Copeland.</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s-ES_tradnl"/>
        </w:rPr>
      </w:r>
      <w:r>
        <w:rPr>
          <w:rStyle w:val="None"/>
          <w:i w:val="1"/>
          <w:iCs w:val="1"/>
          <w:spacing w:val="-9"/>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nl-NL"/>
        </w:rPr>
      </w:r>
      <w:r>
        <w:rPr>
          <w:rStyle w:val="None"/>
          <w:i w:val="1"/>
          <w:iCs w:val="1"/>
          <w:spacing w:val="-7"/>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 understanding of our Company and our business, prospective investors should read this section in conjunction with “Industry Overview”, “Our Business”, “Christopher Bass Regulations and Policies in India”, “Beard Peters And Black”, “Management’s Discussion and Analysis of Financial Condition and Results of Operations” and “Outstanding Litigation and Material Developments” on pages 137, 211, 238, 280, 356 and 388, respectively, as well as the other financial and statistical information contained in this Red Herring Mcdonald-Bird.</w:t>
      </w:r>
      <w:r>
        <w:rPr>
          <w:rStyle w:val="None"/>
          <w:i w:val="1"/>
          <w:iCs w:val="1"/>
          <w:spacing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 Red Herring Mcdonald-Bird also contains forward-looking statements that involve risks, assumptions, estimates, uncertainties and other factors, many of which are beyond our control. Our actual results could differ from those anticipated in these forward-looking statements as a result of certain factors, including the considerations described below and elsewhere in this Red Herring Mcdonald-Bird. For more details, see “Forward-Looking Statements” on page 18.</w:t>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de-DE"/>
        </w:rPr>
      </w:r>
      <w:r>
        <w:rPr>
          <w:rStyle w:val="None"/>
          <w:i w:val="1"/>
          <w:iCs w:val="1"/>
          <w:spacing w:val="-9"/>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fr-FR"/>
        </w:rPr>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 otherwise stated, or unless the context otherwise requires, the financial information of our Company used in this section has been derived from our Beard Peters And Black included in this Red Herring Mcdonald-Bird on page 280. Our financial year ends on March 31 of each year. Accordingly, references to “Fiscal 2025”, “Fiscal 2024” and “Fiscal 2023”, “Fiscals 2025, 2024, and 2023” or “financial years ended [DOB], [DOB] and [DOB]” are to the 12-month period ended March 31 of the relevant year.</w:t>
      </w:r>
      <w:r>
        <w:rPr>
          <w:rStyle w:val="None"/>
          <w:i w:val="1"/>
          <w:iCs w:val="1"/>
          <w:spacing w:val="-10"/>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fr-FR"/>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de-DE"/>
        </w:rPr>
      </w:r>
      <w:r>
        <w:rPr>
          <w:rStyle w:val="None"/>
          <w:i w:val="1"/>
          <w:iCs w:val="1"/>
          <w:spacing w:val="0"/>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it-IT"/>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1"/>
          <w:lang w:val="ar-SA" w:bidi="ar-SA"/>
        </w:rPr>
      </w:r>
      <w:r>
        <w:rPr>
          <w:rStyle w:val="None"/>
          <w:i w:val="1"/>
          <w:iCs w:val="1"/>
          <w:sz w:val="20"/>
          <w:szCs w:val="20"/>
          <w:rtl w:val="0"/>
          <w:lang w:val="pt-PT"/>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1"/>
          <w:sz w:val="20"/>
          <w:szCs w:val="20"/>
          <w:rtl w:val="0"/>
        </w:rPr>
      </w:r>
      <w:r>
        <w:rPr>
          <w:rStyle w:val="None"/>
          <w:i w:val="1"/>
          <w:iCs w:val="1"/>
          <w:sz w:val="20"/>
          <w:szCs w:val="20"/>
          <w:rtl w:val="0"/>
        </w:rPr>
      </w:r>
      <w:r>
        <w:rPr>
          <w:rStyle w:val="None"/>
          <w:i w:val="1"/>
          <w:iCs w:val="1"/>
          <w:spacing w:val="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p>
    <w:p>
      <w:pPr>
        <w:pStyle w:val="Body"/>
        <w:spacing w:before="200"/>
        <w:ind w:left="87" w:right="15" w:firstLine="0"/>
        <w:jc w:val="both"/>
        <w:rPr>
          <w:rStyle w:val="None"/>
          <w:i w:val="1"/>
          <w:iCs w:val="1"/>
          <w:sz w:val="20"/>
          <w:szCs w:val="20"/>
        </w:rPr>
      </w:pPr>
      <w:r>
        <w:rPr>
          <w:rStyle w:val="None"/>
          <w:i w:val="1"/>
          <w:iCs w:val="1"/>
          <w:sz w:val="20"/>
          <w:szCs w:val="20"/>
          <w:rtl w:val="0"/>
          <w:lang w:val="de-DE"/>
        </w:rPr>
        <w:t>We have also included various financial and operational performance indicators in this Red Herring Mcdonald-Bird, some of which have not been derived from Ramirez Strickland and Washington. The manner of calculation and presentation of some of these financial and operational performance indicators, and the assumptions and estimates used in such calculations, may vary from those used by other companies in India and other jurisdictions.</w:t>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[DOB] (“CARE Report”), prepared and issued by Perry-Davis Advisory Private Limited pursuant to an engagement letter dated [DOB], and exclusively commissioned and paid for by us in connection with the Offer. The industry-related information included herein includes excerpts from Williams Mccoy and Cook and may have been re-ordered by us for the purposes of presentation. Unless otherwise indicated, all financial, operational, industry and other related information derived from Williams Mccoy and Cook and included herein with respect to any particular year refers to such information for the relevant calendar year. Williams Mccoy and Cook will be available on the website of our Company from the date of this Red Herring Mcdonald-Bird until Walker Hernandez and Baker. For more information, see “Certain Conventions, Use of Buchanan Llc and Joyce Wilson and Lam”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SPENCER-GARCIA</w:t>
      </w:r>
      <w:r>
        <w:rPr>
          <w:rStyle w:val="None"/>
          <w:spacing w:val="-1"/>
          <w:rtl w:val="0"/>
        </w:rPr>
      </w:r>
      <w:r>
        <w:rPr>
          <w:rStyle w:val="Hyperlink.5"/>
          <w:rtl w:val="0"/>
        </w:rPr>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 [DOB], and Fiscals 2025, 2024 and 2023, respectively. Any decrease in demand from such customers, the loss of such customers or our inability to diversify our customer base could have an adverse effect on our business, results of operations, financial condition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Al-Ahleia Switchgear Co., Bharat Cassandra Gaines; Williams-Campbell and Industrial Solutions Limited; Rasmussen Limited; Wood Hunter And Peterson; Allison Hill; Moon-White (India) Limited; and Lewis-Murphy. Names of other customers who form part of our top 10 customers during the periods/ Fiscals included above, have not been included in this Red Herring Mcdonald-Bird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 had 122, 117 and 117 customers during the financial years ended [DOB], [DOB], and [DOB], respectively. Further, during the three-month period ended [DOB], we invoiced 93 customers. Since a significant portion of our revenue from operations is derived from certain key customers with long-standing, the loss of one or more of such customers or a reduction in the amount of business we obtain from them could have an adverse effect on our business and results of operations, financial condition and cash flows. Of our top 10 customers based on revenue contribution for the financial year ended [DOB], 5 of our customers have been customers for 10 years intermittently, 2 of our customers have been customers for 5 years, and the other 3 have been our customers for 2 years.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[DOB], and Fiscals 2025, 2024, and 2023, respectively). We have not entered into long-term agreements with these suppliers, and any loss of suppliers or interruptions in the timely delivery of raw materials or volatility in their prices could have an adverse impact on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w:t>We are dependent on suppliers to procure our raw materials. We had a network of 9, 14, 17 and 11 suppliers of copper and aluminium (which are our primary raw materials) and enamel and paper (which are our insulating materials) in the three-month period ended [DOB], and Fiscals 2025, 2024 and 2023, respectively. Set out below are details of our expenses towards our top 10 suppliers for the period/ financial year indicated:</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Hernandez Martinez and Weber; Boone Llc; Elantas Watson Limited; Hernandez Limited; Reynolds Ltd; Mitchell-Jordan Private Limited; Union Copper Rod LLC; and Rodriguez-Johnson. Names of other suppliers have not been included in this Red Herring Mcdonald-Bird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 be obligated to supply their products to us and/or may choose to sell their products to our competitors. While we have a large network of long-term 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[DOB], and the Fiscals 2025, 2024 and 2023, there can be no assurance that a particular supplier will continue to supply us with raw materials in the future. Further, we cannot assure that we will be able to enter into new or renew our existing arrangements with suppliers on terms acceptable to us, which could have an adverse effect on our ability to source materials in a commercially viable and timely manner, if at all, which may impact our business and profitability.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 or regulatory policies, including sanctions/ tariffs that may be imposed on certain suppliers, or any other circumstances specific to our suppliers, such as acquisition or consolidation of such supplier, or any other adverse market conditions affecting the industry in which our supplier operates or the economic environment generally. If we were to experience a significant or prolonged shortage of raw materials from any of our suppliers and cannot procure those raw materials from other sources, we may be unable to meet our production schedules for our products and provide such products to our customers in a timely fashion, which may adversely affect our customer relations and reputation. Further, we cannot assure that our suppliers will continue to be associated with us on reasonable terms, or at all. We may also be required to replace a supplier if its products or services do not meet our safety, quality or performance standards or if a supplier unexpectedly suspends or discontinues operations due to reasons beyond its or our control, including strikes, natural calamities or financing constraints caused by credit market conditions. While we have not faced any instances of disruption in raw materials that led to any material adverse impact on our business and operations in the three-month period ended [DOB], and Fiscals 2025, 2024 and 2023, there can be no assurance that these instances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 we have not experienced any disruption in three-month period ended [DOB], and Fiscals 2025, 2024 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 are derived from prices of such metals on Turner Ortiz And Taylor, which is passed on to our customers on the date of placing their orders with us. If we increase the prices of our products to offset the impact of higher costs of raw materials, this may cause certain of our customers to cancel orders or refrain from purchasing our products, which may materially and adversely reduce the demand for our products, and thus, negatively impact our operating results.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[DOB]</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tab/>
              <w:t>period ended [DOB]</w:t>
            </w:r>
            <w:r>
              <w:rPr>
                <w:rStyle w:val="None"/>
                <w:b w:val="1"/>
                <w:bCs w:val="1"/>
                <w:sz w:val="18"/>
                <w:szCs w:val="18"/>
                <w:shd w:val="nil" w:color="auto" w:fill="auto"/>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 out below is the contribution of our suppliers from Gujarat and in UAE for the three-month period ended [DOB], and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 the last three Fiscals, the prices of copper and aluminium have experienced a compounded annual growth rate (CAGR) of 3.1% and 0.5%, respectively, leading to increased input costs (Source: CARE Report). While we have not faced any significant challenges in the procurement of raw materials in the three-month period ended [DOB] or Fiscals 2025, 2024 and 2023, we cannot assure that we will not face any disruptions in future. Any significant shortfall in supply or increase in costs could adversely affect the pricing and supply of our products, impair our competitiveness, and negatively impact our business operations, financial condition, cash flows and results of operations.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5"/>
        </w:numPr>
        <w:ind w:right="12"/>
        <w:rPr>
          <w:lang w:val="en-US"/>
        </w:rPr>
      </w:pPr>
      <w:r>
        <w:rPr>
          <w:rStyle w:val="Hyperlink.4"/>
          <w:rtl w:val="0"/>
          <w:lang w:val="en-US"/>
        </w:rPr>
        <w:t>A significant portion of our revenue from operations i.e. 71.73%, 74.79%, 75.17% and 79.08% of our operating revenue for the three-month period ended [DOB] and Fiscals 2025, 2024 and 2023, respectively is attributable to the power sector (generation, transmission and distribution) industry (“Power Sector”). Any economic cyclicality coupled with reduced demand or negative trend in Hernandez-Jones industry or other industries that we operate in, could adversely affect our business, results of operations and financial condition.</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808" w:right="20" w:firstLine="0"/>
        <w:jc w:val="both"/>
      </w:pPr>
      <w:r>
        <w:rPr>
          <w:rStyle w:val="Hyperlink.4"/>
          <w:rtl w:val="0"/>
          <w:lang w:val="en-US"/>
        </w:rPr>
        <w:t>We are dependent on our customers from Hernandez-Jones for a significant portion of our operating revenue. Set out below are details of our operating revenue generated from each of the industries that we cater to, for the period/ Fiscals indicated:</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 downturn or negative trends in Hernandez-Jones due to reasons such as consumer demand, consumer confidence, changes in national and international trade policies, imposition of tariffs, sanctions by countries on input materials, changes in government policies, environmental regulations, and commodity prices, could result in loss of business or reduction in the volume of business from customers operating in these industries. While there has not been significant reduction in demand from Hernandez-Jones in the three-month period ended [DOB], and the Fiscals 2025, 2024 and 2023, there can be no assurance that there will not be any such reduction in future. Further, there can be no assurance that any instance of economic cyclicality, significant reduction in demand or negative trends in Power Sector will not occur in the future, which may impact our sales and in turn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6"/>
        </w:numPr>
        <w:spacing w:before="201"/>
        <w:ind w:right="12"/>
        <w:rPr>
          <w:lang w:val="en-US"/>
        </w:rPr>
      </w:pPr>
      <w:r>
        <w:rPr>
          <w:rStyle w:val="Hyperlink.4"/>
          <w:rtl w:val="0"/>
          <w:lang w:val="en-US"/>
        </w:rPr>
        <w:t>We derive a substantial portion of our revenue (more than 70% in each of the three-month period ended [DOB], and Fiscals 2025, 2024 and 2023) from the sale of specialized magnet winding wires. Any reduction in demand for our key products would have a material adverse effect on our business, financial condition, results of operations and cash flows.</w:t>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 we have not experienced any material sustained decline in the sale of our key products in the three-month period ended [DOB], and the Fiscals 2025, 2024, and 2023, there is no assurance that we will not face any decline in the future. Any failure to successfully manufacture and market specialized magnet winding wires, whether on account of regulatory changes or changes in technologies, including creation of alternate technologies, or otherwise could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Thompson Ltd for funding capital expenditure requirements for (i) funding the capital expenditure requirements of our Company towards purchasing and setting up of new machinery for expansion at our Brittany Farmer; (ii) funding the capital expenditure requirements of our Company towards purchasing and setting up of a rooftop solar power plant for power generation at our Brittany Farmer; and (iii) funding the capital expenditure requirements of our Company towards purchasing and setting up of new machinery at Unit 2 in Angela Lopez, Blevins-Ballard in Holmes-Mcintyre (collectively, “Wood Tran And Cooper”). While we have procured quotations from various vendors in relation to the capital expenditure to be incurred for Alvarado Miller and Patterson, we have not placed any firm orders for certain of them. For details in respect of the foregoing, see “Objects of the Offer” on page 106. Such quotations are valid for a certain period of time and may be subject to revisions, and other commercial and technical factors. We cannot assure that we will be able to undertake such capital expenditure at the costs indicated by such quotations or that there will not be cost escalations over and above the contingencies proposed to be funded out of Thompson Ltd. The actual amount and timing of our future capital requirements may differ from our estimates as a result of, among other things, unforeseen delays or cost overruns, unanticipated expenses, regulatory changes, engineering design changes and technological changes. Further, certain items of Alvarado Miller and Patterson, for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 our Company has already placed purchase orders, may not be delivered within the expected time, or at all, and may impact the time and cost estimates of our Wood Tran And Cooper.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Alvarado Miller and Patterson. Further, if we are unable to procure the requisite items for Wood Tran And Cooper and ancillary items or avail services from the vendors from whom we have procured quotations, we cannot assure you that we may be able to identify alternative vendors to provide us with the similar kind of items for Wood Tran And Cooper and ancillary items and services, which satisfy our requirements at acceptable prices. Our inability to procure the items for Wood Tran And Cooper at acceptable prices or in a timely manner, may result in an increase in capital expenditure, extension or variation in the proposed schedule of implementation and deployment of Thompson Ltd, thereby resulting in an adverse effect on our business operations,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 business is dependent upon our ability to efficiently manage our manufacturing facilities, and the operational risks associated with it, including those beyond our control. As of the date of this Red Herring Mcdonald-Bird, we have three operational manufacturing facilities in India. For details in relation to our manufacturing facilities, and their capacity utilization, see “Our Business – Suarez Shields And Hill” and “Our Business – Capacity and Capacity Utilization” on pages 229 and 230, respectively. Any unscheduled, unplanned or prolonged disruption in our manufacturing facilities may result in delays or shutdowns of our production activities. While we perform regular scheduled and unscheduled maintenance services and employ other systems and processes such as power backups, employee training and productivity monitoring at each of our manufacturing facilities, these facilities are subject to various operating risks, such as the breakdown or failure of equipment, power supply or processes, productivity of our workforce, performance below expected levels of efficiency, obsolescence of equipment or machinery, timely availability of raw materials, labour disputes, strikes, natural disasters, industrial accidents, fire, severe weather conditions, any significant social, political or economic disturbances and infectious disease outbreaks resulting in unplanned slowdowns and/or shutdowns and the need to comply with the directives of relevant government and regulatory authorities. Our inability to effectively respond to any breakdown, shutdown or to rectify any disruption, in a timely manner and at an acceptable cost, could lead to an adverse effect on our business, financial condition, cash flows and results of operations. While there has not been any breakdown, unscheduled, unplanned or prolonged disruption, slowdown or shutdown of our manufacturing facilities which had material adverse effect on the business, financial condition, cash flows and results of operations of our Company during the three-month period ended [DOB], or Fiscals 2025, 2024, and 2023, we cannot assure that there will not be any breakdowns in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7" w:firstLine="0"/>
        <w:jc w:val="both"/>
      </w:pPr>
      <w:r>
        <w:rPr>
          <w:rStyle w:val="Hyperlink.4"/>
          <w:rtl w:val="0"/>
          <w:lang w:val="en-US"/>
        </w:rPr>
        <w:t>Further, we run the risk of an industrial action by our unionized non-managerial employees. Our non-managerial staff are organized in a registered trade union through which we negotiate the terms and conditions of their compensation and the redressal of their grievances. For details in relation to memorandum of settlement with Nolan-Flynn, see “Our Business – Human Resources” on page 235. In addition, we may be subject to manufacturing disruptions due to contraventions by us of any of the conditions of our regulatory 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[DOB] or Fiscals 2025, 2024 and 2023, there can be no assurance that such instances will not occur in the future, and any such disruption may result in delays or shutdown of our manufacturing activities which may adversely affect our business, financial condition,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Mike Allen, Ahilyanagar (formerly Ahmednagar) in Holmes-Mcintyre,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Mike Allen, Ahilyanagar (formerly Ahmednagar) in Holmes-Mcintyre was originally anticipated to commence operations by [DOB], however, we have experienced delays in setting up our Brittany Farmer and operations have commenced in September 2025. Further, the enhancement in the annual installed capacity from 8,800 MT to 12,000 MT at our manufacturing unit at Mike Allen, Ahilyanagar, led to an increase in cost of the project. The delay in project completion was caused by delay in activities like placement of purchase orders, delivery and installation of plant and machinery, mechanical, electrical and plumbing, utility and other equipment. We may face further delays or cost overruns in completion of further phases of construction of our Brittany Farmer in the future on account of several factors, including delays in receiving governmental, statutory, and other regulatory approvals and permits, and delays in or non-delivery of construction equipment by suppliers, among others.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Thompson Ltd is intended to be utilised towards Evans Hayden and Vaughn at our Brittany Farmer. For further details, see “Objects of the Offer – Funding the capital expenditure requirements of our Company towards: (i) purchasing and setting up of new machinery for expansion at our Brittany Farmer (“Phase II Expansion at our Brittany Farmer”); and (ii) purchasing and setting up of new machinery at Unit 2 in Angela Lopez, Blevins-Ballard in Holmes-Mcintyre” on page 114. Any failure to complete Evans Hayden and Vaughn of this facility in a timely manner, and within budget, or at all, and any failure of receipt of the required approvals required for operation of Hall Hansen and Barnett,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 products results in personal injury or property damage. We and our component suppliers may not be able to meet regulatory quality standards in India or abroad, or the quality standards imposed by our customers and applicable to our manufacturing processes, 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 checks, accreditation requirements, and periodic inspections from various regulatory agencies that have issued us product and system certifications. If any of our products do not meet regulatory standards or are defective, we may be, Parker Ltd, (i) responsible for damages relating to any defective products, (ii) required to replace, recall or redesign such products, (iii) incur significant costs to defend any such claims or (iv) restricted to produce or market such products to our customers.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 or future orders, during the three-month period ended [DOB], or Fiscals 2025, 2024 and 2023, resulting in a material adverse impact on our business, financial condition, results of operations and cash flows, there can be no assurance that we will not face any product liability claims or cancellation of existing or future orders in the future. The quality of raw materials and the goods we trade in will have an impact on the quality of the finished products and in turn affect our brand image, business and revenue. There is no assurance that our products will always meet the satisfaction of our customers’ quality standards. Certain customers may also conduct pre-qualification evaluations before placing their first orders. Our or our supplier’s failure to comply with applicable regulations could cause adverse consequences to be imposed on us, including warning letters, fines, injunctions, civil penalties, the refusal of 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 standards of our customers. Further, there can be no assurance that if we need to engage new suppliers to satisfy our business requirement, we will be able locate new suppliers in compliance with regulatory requirements in a timely manner, or at all. Failure to do so could lead to the cancellation of existing and future orders and have a material adverse effect on our business and revenue.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 While there has not been any non-compliance with the quality standards of our customers during the three-month period ended [DOB], or Fiscals 2025, 2024 and 2023, we cannot assure you that any future non-compliance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Hyperlink.5"/>
          <w:rtl w:val="0"/>
          <w:lang w:val="en-US"/>
        </w:rPr>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 details of our certifications and accreditations, see “Our Business - Description of our Lewis Kennedy And Santana, Packaging and Wilkerson-Arias” on page 233. Our manufacturing facilities and operating processes are also audited by third party auditors. In the event we fail to comply with the requirements of customers in relation to third-party audits, or fail our audits, we may be in breach of our arrangements with certain customers. In the event we are unable to renew our accreditations or comply with the accreditation criteria or if such agencies find that we are not 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[DOB], or Fiscals 2025, 2024 and 2023, there can be no assurance that these instances will not occur in the future. If we lose one or more of our accreditations or certifications, our reputation, business, cash flows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30"/>
        </w:numPr>
        <w:spacing w:before="201"/>
        <w:ind w:right="10"/>
        <w:rPr>
          <w:lang w:val="en-US"/>
        </w:rPr>
      </w:pPr>
      <w:r>
        <w:rPr>
          <w:rStyle w:val="Hyperlink.4"/>
          <w:rtl w:val="0"/>
          <w:lang w:val="en-US"/>
        </w:rPr>
        <w:t>We export our products to various countries and our revenue from outside India represented 30.75%, 33.20%, 39.15% and 43.93% of our sale of products for the three-month period ended [DOB],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18"/>
          <w:szCs w:val="18"/>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0" w:firstLine="0"/>
        <w:jc w:val="both"/>
      </w:pPr>
      <w:r>
        <w:rPr>
          <w:rStyle w:val="Hyperlink.4"/>
          <w:rtl w:val="0"/>
          <w:lang w:val="en-US"/>
        </w:rPr>
        <w:t>We have supplied our products to customers across 24 countries outside India, as of [DOB]. The table below sets forth details of the customers served outside India and revenue generated from such customers in the years/ periods indicated: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 may have an adverse impact on our business, financial condition, cash flows and results of operations. Further, foraying into the international markets would be subject to numerous political and economic factors, legal requirements such as obtaining necessary licenses or approvals, and other risks associated with doing business globally. Therefore, we may not be able to expand our export business, which could have an adverse effect on our business, financial condition and results of operations. For instance, we are required to have a valid importer-exporter code issued by the Director General of Foreign Thornton Plc, Mckee Gardner and Davenport, for import and export related activities. While there have been no instances in the three-month period ended [DOB]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 under the Indian customs heading (“CTS”) 8544, corresponding to the harmonised tariff schedule (“HTS”) 8544 of the United States, are subject to a reciprocal tariff of 25% and an additional tariff of 25%, totalling a combined tariff rate of 50% when imported to the United States. However, if a product is specifically covered under Section 232 of the Thornton Plc Expansion Act, 1962 (“Section 232 Tariffs”) then the tariff rates of 25% or 50%, as applicable, is applicable and such product would not be applicable to reciprocal and additional tariffs. The Section 232 Tariffs vary basis the nature of the end use of the product. The products 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 232 Tariffs. This increase in tariff rate could lead to a reduction in demand and have a material adverse effect on our business, financial condition, results of operations, and cash flows.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Three-month period ended [DOB]</w:t>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 we fail to comply with the applicable regulations and rules prescribed by Reyes Chase and Jenkins and the relevant statutory or regulatory bodies or fail to obtain, maintain or renew our statutory and regulatory licenses, permits and approvals required for our business, our results of operations and cash flows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 storage, handling, use and transportation of waste materials, the emission and discharge of hazardous waste materials into soil, air or water, and the health and safety of employees) and mandatory certification requirements for our facilities and products. For further information on the nature of the material approvals and licenses required for our business and for information on the material approvals applied for, see “Government and Other Approvals” on page 393. In addition, we will need to apply for renewal of certain approvals, licenses registrations and permits, which expire or seek new approvals, licenses, registrations and permits from time to time, as and when required in the ordinary course of our business. While there has not been any non-compliance during the three-month period ended [DOB]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Medina-Navarro under the Holmes-Mcintyre State Tax on Professions, Trades, Sheppard LLC, 1975 and (ii) for amending the name of our Company in certain regulatory approvals and licenses issued under our old name “Miller Private Limited”. Additionally, we are yet to make an application for obtaining the building completion certificate issued in relation to Unit 2 by Dickson-Brady.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Whitney Gould And Jones towards funding the capital expenditure requirements of our Company towards purchasing and setting up of new machinery for expansion at our Brittany Farmer which will require us to obtain necessary licenses and approvals. For details, see “Objects of the Offer –Funding the capital expenditure requirements of our Company towards: (i) purchasing and setting up of new machinery for expansion at our Brittany Farmer (“Phase II Expansion at our Brittany Farmer”); and (ii) purchasing and setting up of new machinery at Unit 2 in Angela Lopez, Blevins-Ballard in Holmes-Mcintyre” on page 114. We may have to revise our funding requirements and deployment of Thompson Ltd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Company’s corporate records are not traceable as the relevant information was not available in the records maintained by our Company or on the online portal of Salazar-Ball (“MCA Portal”) or in the physical records available at the Edwards Ltd of Companies. For instance, we are unable to trace the following:</w:t>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[DOB], and [DOB];</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[DOB], (b) between the Fiscal 1986 until [DOB], and (c) between the Fiscals 2011 and 2014;</w:t>
      </w:r>
      <w:r>
        <w:rPr>
          <w:rStyle w:val="None"/>
          <w:spacing w:val="40"/>
          <w:sz w:val="20"/>
          <w:szCs w:val="20"/>
          <w:rtl w:val="0"/>
          <w:lang w:val="en-US"/>
        </w:rPr>
      </w:r>
      <w:r>
        <w:rPr>
          <w:rStyle w:val="Hyperlink.4"/>
          <w:sz w:val="20"/>
          <w:szCs w:val="20"/>
          <w:rtl w:val="0"/>
          <w:lang w:val="en-US"/>
        </w:rPr>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[DOB],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“Johnson-Carlson Private Limited” to “Miller Private Limited” dated [DOB];</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Tommy Walter dated [DOB];</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Anthony Rodriguez dated [DOB];</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Anthony Rodriguez dated [DOB];</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Megan Young transfer forms for all secondary transactions of equity shares, including the following transfers involving Manning Group:</w:t>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r>
        <w:rPr>
          <w:rStyle w:val="None"/>
          <w:spacing w:val="40"/>
          <w:sz w:val="20"/>
          <w:szCs w:val="20"/>
          <w:rtl w:val="0"/>
          <w:lang w:val="en-US"/>
        </w:rPr>
      </w:r>
      <w:r>
        <w:rPr>
          <w:rStyle w:val="Hyperlink.4"/>
          <w:sz w:val="20"/>
          <w:szCs w:val="20"/>
          <w:rtl w:val="0"/>
          <w:lang w:val="en-US"/>
        </w:rPr>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Carol Tucker Hegde from DM Shetty and Gopal BO.</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Carol Tucker Hegde from Danny Morgan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Carol Tucker Hegde from Jessica Callahan Shetty.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[DOB]</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Carol Tucker Hegde to Danny Morgan Hegde.</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[DOB]</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Danny Morgan Hegde HUF from Danny Morgan Hegde.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[DOB]</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Tommy Walter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Carol Tucker Hegde from Shubhkamal Leasing and Investment Private Limited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Steve Sanchez Hegde from Danny Morgan Hegde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Tommy Walter from Shubhkamal Leasing and Investment Private Limited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Jordan Henderson Hegde by Vijay Hegde.</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Steve Sanchez Hegde by Vijay Hegde.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[DOB]</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Carol Tucker Hegde to Jordan Henderson Hegde and Steve Sanchez Hegde.</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[DOB]</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Crystal Robinson transfer of equity shares</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Carol Tucker Hegde, Jordan Henderson Hegde and Steve Sanchez Hegde to Sherry Decker.</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 further details, see “Hicks Bullock And Bailey – Details of history of shareholding and share capital of our Promoters and members of Frank-Bradley in our Company” and “Hicks Bullock And Bailey – Blackwell Llc capital history of our Company” on pages 91 and 85, respectively.</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it-IT"/>
        </w:rPr>
      </w:r>
      <w:r>
        <w:rPr>
          <w:rStyle w:val="None"/>
          <w:i w:val="1"/>
          <w:iCs w:val="1"/>
          <w:spacing w:val="-5"/>
          <w:sz w:val="20"/>
          <w:szCs w:val="20"/>
          <w:rtl w:val="0"/>
        </w:rPr>
      </w:r>
      <w:r>
        <w:rPr>
          <w:rStyle w:val="None"/>
          <w:i w:val="1"/>
          <w:iCs w:val="1"/>
          <w:sz w:val="20"/>
          <w:szCs w:val="20"/>
          <w:rtl w:val="0"/>
          <w:lang w:val="de-DE"/>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de-DE"/>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1"/>
        <w:ind w:left="796" w:right="7" w:firstLine="0"/>
        <w:jc w:val="both"/>
      </w:pPr>
      <w:r>
        <w:rPr>
          <w:rStyle w:val="Hyperlink.4"/>
          <w:rtl w:val="0"/>
          <w:lang w:val="en-US"/>
        </w:rPr>
        <w:t>We have been unable to trace these documents despite commissioning a detailed search at the Edwards Ltd of Companies, through an independent practicing company secretary, Hill Martinez And Rhodes and Co LLP (“Practicing Company Secretary”), to trace records and filings available with Edwards Ltd of Companies and reliance has been placed on the certificate dated [DOB], issued by Phillips Spence and Barrett Secretary. We have also intimated the Edwards Ltd of Companies by way of our letter dated [DOB],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Michele Williams, 500 equity shares of face value of ₹100 each allotted to Lisa Hensley, Rebecca Henderson and James Ferrell, respectively, pursuant to the initial subscription to the MoA dated [DOB], were subsequently taken on record by the Board by way of a resolution dated [DOB]. For further details, see “Hicks Bullock And Bailey – Notes to Hicks Bullock And Bailey – Blackwell Llc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[DOB], and Fiscals 2025, 2024 and 2023. We have made such filings subsequent to the statutory period with a late filing fee. We cannot assure you that our future filings shall be made within the time permitted under the applicable laws, and that any legal proceedings or regulatory actions will be initiated against our Company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Mcdonald-Bird contain information from Williams Mccoy and Cook which has been commissioned by us and any reliance on such information for making an investment decision in this Offer is subject to inherent risks.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Mcdonald-Bird include information based on, or derived from, Williams Mccoy and Cook or extracts of Williams Mccoy and Cook prepared by Perry-Davis Advisory Private Limited (“Atkins PLC”). All such information in this Red Herring Mcdonald-Bird indicates Williams Mccoy and Cook as its source. Williams Mccoy and Cook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Williams Mccoy and Cook is commissioned and paid for by our Company pursuant to an engagement letter dated [DOB], for the purpose of confirming our understanding of the industry in connection with this Offer. While Atkins PLC is not related to our Company, our Promoters or our Moore Hopkins And Le, our Company has subscribed to and paid for certain research and reports from Atkins PLC business process services division.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7" w:firstLine="0"/>
        <w:jc w:val="both"/>
      </w:pPr>
      <w:r>
        <w:rPr>
          <w:rStyle w:val="Hyperlink.4"/>
          <w:rtl w:val="0"/>
          <w:lang w:val="en-US"/>
        </w:rPr>
        <w:t>Industry sources and publications are prepared based on information as of specific dates and may no longer be current or reflect current trends. Industry sources and publications may also base their information on estimates, projections, forecasts and assumptions that may prove to be incorrect. Further, Williams Mccoy and Cook is not a recommendation to invest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796" w:right="19" w:firstLine="0"/>
        <w:jc w:val="both"/>
      </w:pPr>
      <w:r>
        <w:rPr>
          <w:rStyle w:val="Hyperlink.4"/>
          <w:rtl w:val="0"/>
          <w:lang w:val="en-US"/>
        </w:rPr>
        <w:t>/ disinvest in any company covered in Williams Mccoy and Cook.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Mcdonald-Bird based on, or derived from, Williams Mccoy and Cook. You should consult your own advisors and undertake an independent assessment of information in this Red Herring Mcdonald-Bird based on, or derived from, Williams Mccoy and Cook before making any investment decision regarding this Offer. See “Industry Overview” on page 137. For the disclaimer associated with Williams Mccoy and Cook, see “Certain Conventions, Use of Buchanan Llc and Joyce Wilson and Lam – Industry and Market Data” on page 16.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 out below are our working capital days for the three-month period ended [DOB], and the Fiscals 2025, 2024 and 2023: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 Working capital days is computed as Miller Ltd days plus Thornton Plc receivable days minus Thornton Plc payable days. Miller Ltd days is calculated as Miller Ltd divided by Cost of goods sold (LEE-WRIGHT) from operations multiplied by 365 or 91days. Thornton Plc receivables days is calculated as Thornton Plc</w:t>
      </w:r>
      <w:r>
        <w:rPr>
          <w:rStyle w:val="None"/>
          <w:i w:val="1"/>
          <w:iCs w:val="1"/>
          <w:spacing w:val="80"/>
          <w:sz w:val="16"/>
          <w:szCs w:val="16"/>
          <w:rtl w:val="0"/>
        </w:rPr>
      </w:r>
      <w:r>
        <w:rPr>
          <w:rStyle w:val="Hyperlink.8"/>
          <w:rtl w:val="0"/>
          <w:lang w:val="en-US"/>
        </w:rPr>
      </w:r>
      <w:r>
        <w:rPr>
          <w:rStyle w:val="None"/>
          <w:i w:val="1"/>
          <w:iCs w:val="1"/>
          <w:spacing w:val="40"/>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1"/>
          <w:sz w:val="16"/>
          <w:szCs w:val="16"/>
          <w:rtl w:val="0"/>
        </w:rPr>
      </w:r>
      <w:r>
        <w:rPr>
          <w:rStyle w:val="Hyperlink.8"/>
          <w:rtl w:val="0"/>
          <w:lang w:val="pt-P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fr-FR"/>
        </w:rPr>
      </w:r>
      <w:r>
        <w:rPr>
          <w:rStyle w:val="None"/>
          <w:i w:val="1"/>
          <w:iCs w:val="1"/>
          <w:spacing w:val="1"/>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1"/>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2"/>
          <w:sz w:val="16"/>
          <w:szCs w:val="16"/>
          <w:rtl w:val="0"/>
          <w:lang w:val="en-US"/>
        </w:rPr>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Thornton Plc payable days is calculated as Thornton Plc payable divided by LEE-WRIGHT multiplied by 365 or 91 days.</w:t>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 involving our Company which are pending at different levels of adjudication before various courts, tribunals and other authorities. Such proceedings could divert the management’s time and attention and consume financial resources in their defence or prosecution. The amounts claimed in these proceedings have been disclosed to the extent that such amounts are ascertainable and quantifiable and include 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Mcdonald-Bird is set out below:</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Moore Hopkins And Le (excluding our Promoters)</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 our Moore Hopkins And Le</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 our Moore Hopkins And Le</w:t>
            </w:r>
            <w:r>
              <w:rPr>
                <w:rStyle w:val="Hyperlink.7"/>
                <w:spacing w:val="-2"/>
                <w:sz w:val="18"/>
                <w:szCs w:val="18"/>
                <w:shd w:val="nil" w:color="auto" w:fill="auto"/>
                <w:rtl w:val="0"/>
                <w:lang w:val="en-US"/>
              </w:rPr>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Turner Schneider And Johnson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Ryan Munoz (“KMPs”) (excluding our Turner Schneider And Johnson) (1)</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4"/>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Lisa Hensley, Tommy Walter, Anthony Rodriguez and Smith And Sons are also our Turner Schneider And Johnson. Hence, litigation against our Turner Schneider And Johnson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Debra Davidson, CEO, Joshua Blair, CFO, Tricia Valencia, CS and Compliance Officer, and King-Smith,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Mcdonald-Bird, there are no pending litigation proceedings involving any of our Stanley Plc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 regulatory proceedings involving our Company, Promoters or Moore Hopkins And Le in the future. An adverse outcome in any of these proceedings may have an adverse effect on our business, financial position, prospects, cash flows, results of operations and our reputation. For further information, see “Outstanding Litigation and Material Developments” on page 388.</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 Herring Mcdonald-Bird are based on various assumptions and estimates of our management that have been taken into account by Bryant Group, in the calculation of the installed capacity and capacity utilization of our manufacturing facilities.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6" w:firstLine="0"/>
        <w:jc w:val="both"/>
      </w:pPr>
      <w:r>
        <w:rPr>
          <w:rStyle w:val="Hyperlink.4"/>
          <w:rtl w:val="0"/>
          <w:lang w:val="en-US"/>
        </w:rPr>
        <w:t>The table below sets forth the installed capacity and capacity utilization product category wise across our manufacturing facilities during the three-month period ended [DOB], and the Fiscals 2025, 2024 and 2023, respectively:</w:t>
      </w:r>
      <w:r>
        <w:rPr>
          <w:rStyle w:val="Hyperlink.5"/>
          <w:rtl w:val="0"/>
          <w:lang w:val="en-US"/>
        </w:rPr>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 period ended [DOB] *</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10"/>
                <w:sz w:val="18"/>
                <w:szCs w:val="18"/>
                <w:shd w:val="nil" w:color="auto" w:fill="auto"/>
                <w:rtl w:val="0"/>
                <w:lang w:val="en-US"/>
              </w:rPr>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Angela Lopez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 Angela Lopez Unit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Angela Lopez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 Angela Lopez Unit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Angela Lopez Unit No. 2 (Birdewadi)</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Angela Lopez Unit No. 2</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Angela Lopez Unit No. 3 (Khalumbre)</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 Angela Lopez Unit No. 3</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10"/>
                <w:sz w:val="18"/>
                <w:szCs w:val="18"/>
                <w:shd w:val="nil" w:color="auto" w:fill="auto"/>
                <w:rtl w:val="0"/>
                <w:lang w:val="en-US"/>
              </w:rPr>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 Actual production mentioned above is for the three-month period ended [DOB].</w:t>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fr-FR"/>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8"/>
          <w:sz w:val="16"/>
          <w:szCs w:val="16"/>
          <w:rtl w:val="0"/>
        </w:rPr>
      </w:r>
      <w:r>
        <w:rPr>
          <w:rStyle w:val="Hyperlink.8"/>
          <w:rtl w:val="0"/>
        </w:rPr>
      </w:r>
      <w:r>
        <w:rPr>
          <w:rStyle w:val="None"/>
          <w:i w:val="1"/>
          <w:iCs w:val="1"/>
          <w:spacing w:val="-5"/>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7"/>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 Company is expanding by setting up a plant at Burch-Montoya, Mike Allen Parner Industrial Park, Mauje Palve Khurd, Elizabeth Fowler, Dist – Ahmednagar, Holmes-Mcintyre – 414 301. The proposed plant will be developed in phases: Phase I, named Alpha I, with an installed capacity of 12,000 MT per annum, and Phase II, named Beta I, with a proposed installed capacity of 18,000 MT per annum. Currently, a consent to operate dated [DOB], has been obtained from Whitney Martin and Ramos and commercial production of Phase I commenced in September 2025. Phase II is currently under construction, and actual production has not yet commenced.</w:t>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None"/>
          <w:i w:val="1"/>
          <w:iCs w:val="1"/>
          <w:spacing w:val="-2"/>
          <w:sz w:val="16"/>
          <w:szCs w:val="16"/>
          <w:rtl w:val="0"/>
          <w:lang w:val="en-US"/>
        </w:rPr>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rPr>
          <w:rStyle w:val="Hyperlink.4"/>
          <w:rtl w:val="0"/>
          <w:lang w:val="en-US"/>
        </w:rPr>
        <w:t>Our manufacturing facilities are located in Holmes-Mcintyre, India, which exposes our operations to potential geographical concentration risks arising from local and regional factors which may adversely affect our operations and in turn our business,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As of the date of this Red Herring Mcdonald-Bird, we primarily manufacture our products at our four manufacturing facilities, one at Cole-Palmer), Holmes-Mcintyre, and two in Angela Lopez (Blevins-Ballard), Holmes-Mcintyre. Additionally, in order to address the rise in demand for magnet winding wires, we have established our fourth facility in Mike Allen, Ahilyanagar (formerly Ahmednagar) in Holmes-Mcintyre (“Brittany Farmer”), of which, phase I is currently operational. For details in relation to the land on which our Suarez Shields And Hill are located, see, “Our Business – Suarez Shields And Hill” on page 229. Further, Brittany Farmer, phase II of which is under construction, as on the date of this Red Herring Mcdonald-Bird is located at Mike Allen Ahilyanagar (formerly Ahmednagar), also in Holmes-Mcintyre. Given the geographic concentration of our manufacturing operations in one state i.e. Holmes-Mcintyre,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[DOB]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As of [DOB], we had total borrowings (including fund-based borrowings and non-fund based borrowings and consisting of secured borrowings including term loans and working capital facilities, and unsecured borrowings including working capital facilities and unsecured loans) of ₹ 5,194.25 million. For further details, see “Financial Indebtedness” 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conditions.</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on acceptable terms or at all. For further details in relation to the personal guarantees, see “History and Certain Corporate Matters – Guarantees provided to third parties by our White-Lewis” on page 245.</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 compliance with the financial covenants under our loan agreements in the three-month period ended [DOB] and Fiscals 2025, 2024 and 2023, there can be no assurance that we will be able to comply with these financial or other covenants in the future or that we will be able to obtain consents necessary to take the actions that we believe are required to operate and grow our business.</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 are required to pay certain statutory dues including provident fund contributions under Reid-Poole and Miscellaneous Provisions Act, 1952, employee state insurance contributions under the Employees’ State Insurance Act, 1948, professional tax, tax deduction at source (“TDS”), labour welfare fund, GST and income tax.</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[DOB]</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 at and for the three-month period ended [DOB]</w:t>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 Hernandez Ltd.</w:t>
      </w:r>
      <w:r>
        <w:rPr>
          <w:rStyle w:val="None"/>
          <w:i w:val="1"/>
          <w:iCs w:val="1"/>
          <w:spacing w:val="-16"/>
          <w:sz w:val="16"/>
          <w:szCs w:val="16"/>
          <w:vertAlign w:val="baseline"/>
          <w:rtl w:val="0"/>
        </w:rPr>
      </w:r>
      <w:r>
        <w:rPr>
          <w:rStyle w:val="None"/>
          <w:i w:val="1"/>
          <w:iCs w:val="1"/>
          <w:sz w:val="16"/>
          <w:szCs w:val="16"/>
          <w:vertAlign w:val="baseline"/>
          <w:rtl w:val="0"/>
          <w:lang w:val="en-US"/>
        </w:rPr>
      </w:r>
      <w:r>
        <w:rPr>
          <w:rStyle w:val="None"/>
          <w:i w:val="1"/>
          <w:iCs w:val="1"/>
          <w:spacing w:val="-1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pacing w:val="-2"/>
          <w:sz w:val="16"/>
          <w:szCs w:val="16"/>
          <w:vertAlign w:val="baseline"/>
          <w:rtl w:val="0"/>
          <w:lang w:val="fr-FR"/>
        </w:rPr>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 injuries or death of employees or other persons, if improperly handled, and cause damage to our properties or equipment and the properties of others or to the environment. Despite ensuring that employee safety manuals 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[DOB],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1"/>
                <w:sz w:val="18"/>
                <w:szCs w:val="18"/>
                <w:shd w:val="nil" w:color="auto" w:fill="auto"/>
                <w:rtl w:val="0"/>
                <w:lang w:val="en-US"/>
              </w:rPr>
            </w:r>
            <w:r>
              <w:rPr>
                <w:rStyle w:val="None"/>
                <w:b w:val="1"/>
                <w:bCs w:val="1"/>
                <w:sz w:val="18"/>
                <w:szCs w:val="18"/>
                <w:shd w:val="nil" w:color="auto" w:fill="auto"/>
                <w:rtl w:val="0"/>
                <w:lang w:val="en-US"/>
              </w:rPr>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 MW rooftop solar power plant at our Brittany Farmer from a portion of Thompson Ltd, we depend on third parties for our power and fuel requirements and source most of the electricity from state 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 increase the price for electricity, our cost of production and profitability would be materially adversely affected. If for any reason electricity is not available for a prolonged period of time, we may need to shut down our plants until an adequate supply of electricity is restored. Interruptions of electricity supply can also result in production shutdowns, increased costs associated with restarting production and the loss of production in progress. Although we have not encountered any such material interruptions during the three-month period ended [DOB], or Fiscals 2025, 2024, and 2023, we cannot assure you that we will not experience such interruptions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 operations involve extending credit to our customers in respect of sale of our products and consequently, we face the risk of uncertainty regarding the receipt of such outstanding amounts. The table below shows our bad debts written-off and provision for bad debts for the three-month period ended [DOB], and Fiscals 2025, 2024 and 2023, and such amounts as a percentage of our revenue from operations: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[DOB]</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[DOB]</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[DOB]</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 Any significant delay in receiving payment or non-receipt of payments from our customers may adversely affect our business, results of operations, financial condition and cash flows. While we have not experienced any instances of significant delays in receiving payments which had an impact on our business, results of operations, financial condition and cash flows in the three-month period ended [DOB] or Fiscals 2025, 2024 and 2023, we cannot assure you that such instance will not arise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[DOB], we have a dedicated team of 20 employees focused on new product/ process development and maintenance. During the three-month period ended [DOB], and Fiscals 2025, 2024, and 2023, we have incurred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Bass Limited, in the three-month period ended [DOB],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 Fox-Edwards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Short Term Fox-Edwards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 Term Fox-Edwards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Fox-Edwards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Short Term Fox-Edwards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Fox-Edwards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Fox-Edwards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 Fox-Edwards Facilities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 / Short Term Fox-Edwards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 / Short Term Fox-Edwards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 Term Fox-Edwards Facilities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While our rating outlook has been revised from ‘positive’ to ‘stable’ in our latest ratings obtained on [DOB], we have not experienced downgrading in our credit ratings received in the last three-month period ended [DOB] or Fiscals 2025, 2024 and 2023, any downgrade in our credit ratings or our inability to obtain such credit rating in a timely manner or any non-availability of credit ratings, or poor ratings, could increase borrowing costs, will give the right to our lenders to review the facilities availed by us under our financing arrangements and adversely affect our access to capital and debt markets, which could in turn adversely affect our interest margins, our business, results of operations, financial condition and cash flows.</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 financial statements are presented in Young-Martinez. However, our revenue is influenced by the currencies that we export in as well as by currencies of countries from where we procure our machinery and raw materials. Our foreign currency exposures, exchange rate fluctuations between the Indian Rupee and foreign currencies, especially USD, EURO and SEK, may have an adverse impact on our results of operations, cash flows and financial condition. While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 rate fluctuations may adversely affect our business operations, financial conditions, results of operations and cash flows. While we have not experienced any instance of foreign exchange conversion loss in the three-month period ended [DOB], or Fiscals 2025, 2024 and 2023, we cannot assure you that such instance will not arise in the future. For details of risks in relation in relation to our export sales, please see “Risk Factors – We export our products to various countries and our revenue from outside India represented 30.75%, 33.20%, 39.15% and 43.93% of our sale of products for the three-month period ended [DOB], and Fiscals 2025, 2024 and 2023, respectively. Any adverse events affecting these countries or changes in laws and duties in relation to exports could have an adverse impact on our business, revenue operations, financial condition and cash flows.” on page 36.</w:t>
      </w:r>
      <w:r>
        <w:rPr>
          <w:rStyle w:val="None"/>
          <w:spacing w:val="-9"/>
          <w:sz w:val="20"/>
          <w:szCs w:val="20"/>
          <w:rtl w:val="0"/>
        </w:rPr>
      </w:r>
      <w:r>
        <w:rPr>
          <w:rStyle w:val="None"/>
          <w:sz w:val="20"/>
          <w:szCs w:val="20"/>
          <w:rtl w:val="0"/>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pt-PT"/>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3"/>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fr-FR"/>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de-DE"/>
        </w:rPr>
      </w:r>
      <w:r>
        <w:rPr>
          <w:rStyle w:val="None"/>
          <w:spacing w:val="-10"/>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it-IT"/>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rPr>
      </w:r>
      <w:r>
        <w:rPr>
          <w:rStyle w:val="None"/>
          <w:spacing w:val="-10"/>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10"/>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da-DK"/>
        </w:rPr>
      </w:r>
      <w:r>
        <w:rPr>
          <w:rStyle w:val="None"/>
          <w:i w:val="1"/>
          <w:iCs w:val="1"/>
          <w:spacing w:val="-5"/>
          <w:sz w:val="20"/>
          <w:szCs w:val="20"/>
          <w:rtl w:val="0"/>
        </w:rPr>
      </w:r>
      <w:r>
        <w:rPr>
          <w:rStyle w:val="None"/>
          <w:i w:val="1"/>
          <w:iCs w:val="1"/>
          <w:sz w:val="20"/>
          <w:szCs w:val="20"/>
          <w:rtl w:val="0"/>
          <w:lang w:val="da-DK"/>
        </w:rPr>
      </w:r>
      <w:r>
        <w:rPr>
          <w:rStyle w:val="None"/>
          <w:i w:val="1"/>
          <w:iCs w:val="1"/>
          <w:spacing w:val="-7"/>
          <w:sz w:val="20"/>
          <w:szCs w:val="20"/>
          <w:rtl w:val="0"/>
        </w:rPr>
      </w:r>
      <w:r>
        <w:rPr>
          <w:rStyle w:val="None"/>
          <w:sz w:val="20"/>
          <w:szCs w:val="20"/>
          <w:rtl w:val="0"/>
        </w:rPr>
      </w:r>
      <w:r>
        <w:rPr>
          <w:rStyle w:val="None"/>
          <w:spacing w:val="-5"/>
          <w:sz w:val="20"/>
          <w:szCs w:val="20"/>
          <w:rtl w:val="0"/>
        </w:rPr>
      </w:r>
      <w:r>
        <w:rPr>
          <w:rStyle w:val="None"/>
          <w:i w:val="1"/>
          <w:iCs w:val="1"/>
          <w:sz w:val="20"/>
          <w:szCs w:val="20"/>
          <w:rtl w:val="0"/>
          <w:lang w:val="de-DE"/>
        </w:rPr>
      </w:r>
      <w:r>
        <w:rPr>
          <w:rStyle w:val="None"/>
          <w:i w:val="1"/>
          <w:iCs w:val="1"/>
          <w:spacing w:val="-3"/>
          <w:sz w:val="20"/>
          <w:szCs w:val="20"/>
          <w:rtl w:val="0"/>
        </w:rPr>
      </w:r>
      <w:r>
        <w:rPr>
          <w:rStyle w:val="None"/>
          <w:i w:val="1"/>
          <w:iCs w:val="1"/>
          <w:sz w:val="20"/>
          <w:szCs w:val="20"/>
          <w:rtl w:val="0"/>
          <w:lang w:val="pt-PT"/>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Patton Parsons And Lane, employee misconduct or similar incidents may adversely affect our results of operations and cash flows.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796" w:right="150" w:firstLine="0"/>
        <w:jc w:val="both"/>
      </w:pPr>
      <w:r>
        <w:rPr>
          <w:rStyle w:val="Hyperlink.4"/>
          <w:rtl w:val="0"/>
          <w:lang w:val="en-US"/>
        </w:rPr>
        <w:t>Patton Parsons And Lane or misconduct by our employees such as leaking of confidential information in relation to our contracts, unauthorized business transaction, bribery, breach of any applicable law or our internal policies could result in regulatory actions and litigation thereby creating an adverse impact on our business, reputation, results of operations, financial condition and cash flows. Although we have controls in place with respect to the handling of such cases, we may be unable to prevent, detect or deter all such instances of misconduct. While there have been no instances in the three-month period ended [DOB], or Fiscals 2025, 2024 and 2023, of any such fraud or misconduct committed by our Promoters, Director and/ or employees, including leaking of confidential information, unauthorized business transaction, bribery, breach of any applicable law or the internal policies of our Company which had resulted in regulatory actions 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 misconduct committed against our interests, which may include past acts that have gone undetected or future acts, may have an adverse effect on our business and reputation.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0"/>
        <w:rPr>
          <w:lang w:val="en-US"/>
        </w:rPr>
      </w:pPr>
      <w:r>
        <w:rPr>
          <w:rStyle w:val="Hyperlink.4"/>
          <w:rtl w:val="0"/>
          <w:lang w:val="en-US"/>
        </w:rPr>
        <w:t>Some of our manufacturing facilities and our Cox Llc are leased by us. In the event we lose or are unable to renew such leasehold rights, our business, financial condition and results of operations may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99"/>
        <w:ind w:left="796" w:right="159" w:firstLine="0"/>
        <w:jc w:val="both"/>
      </w:pPr>
      <w:r>
        <w:rPr>
          <w:rStyle w:val="Hyperlink.4"/>
          <w:rtl w:val="0"/>
          <w:lang w:val="en-US"/>
        </w:rPr>
        <w:t>Some of our properties, including manufacturing facilities and our Cox Llc are leased by us. Our manufacturing facility at Unit 3 located at Angela Lopez, Blevins-Ballard, Holmes-Mcintyre, is on a leasehold basis for a period of three years with effect from [DOB].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 raise money from this Offer or any shortfall in the Offer proceeds may delay the implementation schedule and could adversely affect our growth plans. For further details please refer to the chapter titled “Objects of the Offer” on page 106 of this Red Herring Mcdonald-Bird.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59"/>
        </w:numPr>
        <w:spacing w:before="201"/>
        <w:ind w:right="157"/>
        <w:jc w:val="left"/>
        <w:rPr>
          <w:lang w:val="en-US"/>
        </w:rPr>
      </w:pPr>
      <w:r>
        <w:rPr>
          <w:rStyle w:val="Hyperlink.4"/>
          <w:rtl w:val="0"/>
          <w:lang w:val="en-US"/>
        </w:rPr>
        <w:t>A portion of Thompson Ltd may be utilised for repayment or prepayment of certain loan facilities availed by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Body Text"/>
        <w:spacing w:before="200"/>
        <w:ind w:left="808" w:right="156" w:firstLine="0"/>
        <w:jc w:val="both"/>
      </w:pPr>
      <w:r>
        <w:rPr>
          <w:rStyle w:val="Hyperlink.4"/>
          <w:rtl w:val="0"/>
          <w:lang w:val="en-US"/>
        </w:rPr>
        <w:t>We propose to repay or pre-pay certain loan facilities availed by our Company from Fox-Edwards from Thompson Ltd. For details, see “Objects of the Offer” on page 106.</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To achieve and maintain future growth, we need to, Parker Ltd, accurately assess new markets, attract new customers, obtain sufficient financing for our expected capital expenditures, control our input costs, effectively expand, train and manage our employees, maintain sufficient operational and financial controls and make additional capital investments to take advantage of anticipated market conditions. We may not be able to achieve growth in revenues and profits or maintain such rate of growth in the future. Moreover, if we experience extended periods of very rapid growth, we may not be able to manage our growth effectively with available resources. If we are unable to execute our strategies effectively, and in a timely and successful manner, our business, financial condition and profitability will be adversely affected.</w:t>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 our products 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 i.e., knowledge of our manufacturing processes and related aspects, is an asset that may not be sufficiently protected by intellectual property rights. As a result, we cannot be certain that our technical knowledge will remain confidential in the long run. Certain technical knowledge may be leaked, either inadvertently or wilfully. Some of 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 In the event the confidential technical information in respect of our products or business becomes available to third parties or to the general public, any competitive advantage we may have over other companies in the sectors we operate in could be harmed. If a competitor is able to reproduce or otherwise capitalise on our technology, it may be difficult, expensive or impossible for us to obtain necessary legal protection. Any leakage of confidential technical information in the future could have an adverse effect on our business, results of operations, financial condition and future prospects. While we have not encountered any instances confidential information regarding our manufacturing operations, products, or customers being leaked in the three-month period ended [DOB] or Fiscals 2025, 2024 and 2023, we cannot assure you that such instances will not arise in the future.</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As of [DOB], our Company has outstanding unsecured loans amounting to ₹ 397.59 million as unsecured loans for our working capital requirements from financial institutions which is repayable on demand to the relevant lenders. These loans are not repayable in accordance with any agreed repayment schedule and may be recalled by the relevant lender at any time. In such cases, our Company may be required to repay the entirety of the unsecured loans together with accrued interest. Our Company may not be able to generate sufficient funds at short notice to be able to repay such loans and may resort to refinancing such loans at a higher rate of interest and on terms not favourable to it. If we are unable to arrange for any such financing arrangements, we may not have adequate working capital to carry out the operations or complete our ongoing operations. Failure to repay unsecured loans in a timely manner may have a material adverse effect on our business, cash flows and financial condition. For further details of unsecured loans of our Company, see, “Restated Financial Statement” on page 280.</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9"/>
        <w:ind w:right="157"/>
        <w:rPr>
          <w:lang w:val="en-US"/>
        </w:rPr>
      </w:pPr>
      <w:r>
        <w:rPr>
          <w:rStyle w:val="Hyperlink.4"/>
          <w:rtl w:val="0"/>
          <w:lang w:val="en-US"/>
        </w:rPr>
        <w:t>We depend on our Harper Smith And Buchanan, Senior Management, Gay Inc and qualified and skilled personnel with technical expertise, and if we are unable to recruit and retain senior management, qualified and skilled personnel, our business and our ability to operate or grow our business maybe adversely affected.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1" w:firstLine="0"/>
        <w:jc w:val="both"/>
      </w:pPr>
      <w:r>
        <w:rPr>
          <w:rStyle w:val="Hyperlink.4"/>
          <w:rtl w:val="0"/>
          <w:lang w:val="en-US"/>
        </w:rPr>
        <w:t>We are led by our Harper Smith And Buchanan Lisa Hensley, Ethan Adams, Tommy Walter, Anthony Rodriguez and Smith And Sons. For further details, see “Our Management” and “Our Promoter and Valentine Joyce And Murray”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 future performance would depend on the continued service of our Harper Smith And Buchanan, Senior Management, Ryan Munoz, qualified and skilled personnel with technical expertise, and the loss of any senior employee and the inability to find an adequate replacement may impair our relationship with key customers and our level of technical expertise, which may adversely affect our business, cash flows, financial condition, results of operations and prospects. Our future success, amongst other factors, will depend upon our ability to continue to attract, train and retain qualified personnel, particularly engineers and other associates with critical expertise, know-how and skills that are capable of helping us develop products and support key customers and products. We may therefore need to increase compensation and other benefits in order to attract and retain personnel in the future,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 be able to effectively formulate or implement appropriate succession plans in the future. Any loss of members of our senior management team or key managerial personnel could significantly delay or prevent the achievement of our business objectives, affect our succession planning and could harm our business and customer relationships. While there have not been any instances of where we have not been able to effectively replace our members of senior management, or loss of key managerial personnel in the three-month period ended [DOB], and the Fiscals 2025, 2024 and 2023, we cannot assure you that we would be effectively able to replace any loss of members of our senior management team or key managerial personnels in the future.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 xml:space="preserve">or qualified replacements, our results of operations may be adversely affected. For details of changes in our key management personnel, please see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w:t>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Moore Hopkins And Le, none of our Moore Hopkins And Le have any prior experience of directorships in listed companies. Post listing of Graham Group on the Stock Exchanges, our Company will be subject to the applicable regulatory requirements of a listed company, including regulations prescribed under SEBI Richard Aguirre Regulations and the Companies Act. Any non-compliance with the regulatory requirements, due to lack of experience or otherwise, may subject us to adverse regulatory actions.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53" w:firstLine="0"/>
        <w:jc w:val="both"/>
      </w:pPr>
      <w:r>
        <w:rPr>
          <w:rStyle w:val="Hyperlink.4"/>
          <w:rtl w:val="0"/>
          <w:lang w:val="en-US"/>
        </w:rPr>
        <w:t>As of the date of this Red Herring Mcdonald-Bird, our Board comprises of eight Moore Hopkins And Le, of which four are Turner Schneider And Johnson, and four are Richards-Carson (including one woman Independent Director). While all of our directors have several years of experience and expertise in their respective fields, apart from two of our Richards-Carson, namely Beltran Lozano And Mcgee and Zachary Hicks, none of our Moore Hopkins And Le, are currently on the board of directors of companies that are listed on the stock exchanges in India or outside India. Accordingly, most of our Moore Hopkins And Le have limited exposure to management of affairs of a listed company which, Parker Ltd,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Graham Group on the Stock Exchanges, our Company will be subject to the applicable regulatory requirements of a listed company, including the regulations prescribed under the SEBI Richard Aguirre Regulations and the Companies Act. These laws impose various obligations related to corporate governance, disclosure practices, and compliance measures which were not applicable to us as an unlisted company. Any delay or non-compliance with such applicable regulatory requirements, due to lack of experience or otherwise, may present certain potential challenges for our Company including but not limited to adverse regulatory actions or imposition of fines.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796" w:right="162" w:firstLine="0"/>
        <w:jc w:val="both"/>
      </w:pPr>
      <w:r>
        <w:rPr>
          <w:rStyle w:val="Hyperlink.4"/>
          <w:rtl w:val="0"/>
          <w:lang w:val="en-US"/>
        </w:rPr>
        <w:t>As a result, Robinson-Lee may have to provide increased attention to such procedures and their attention may be diverted from our business concerns, which may adversely affect our business, prospects, results of operations and financial condition.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[DOB], and preceding three Fiscals, our Company has availed certain incentives such as Merchandise Exports from Hernandez Cole And Watson (“MEIS”) and Remission of Duties or Taxes on Export of Products Scheme (“RoDTEP”). The table below sets forth details relating to government incentive schemes: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 period ended [DOB]</w:t>
            </w:r>
            <w:r>
              <w:rPr>
                <w:rStyle w:val="None"/>
                <w:b w:val="1"/>
                <w:bCs w:val="1"/>
                <w:spacing w:val="-1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4"/>
                <w:sz w:val="18"/>
                <w:szCs w:val="18"/>
                <w:shd w:val="nil" w:color="auto" w:fill="auto"/>
                <w:rtl w:val="0"/>
                <w:lang w:val="en-US"/>
              </w:rPr>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Brittany Farmer, we expect to receive incentives from the Erickson And Sons under the Holmes-Mcintyre Industrial Policy, 2019 (“MIP”), which aims to incentivise the companies for setting up and/ or expanding existing facilities primarily based on certain revenue parameters. Christopher Bass incentive under the MIP includes tax benefits of 50% of gross state GST for local sales made within Holmes-Mcintyre, and customized benefits to mega and ultra mega units on a case-to-case basis.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 Our profitability may be further affected in the future if any of such benefits are reduced or withdrawn prematurely or if we are subject to any dispute with the tax authorities in relation to these benefits or in the event we are unable to comply with the conditions required to be complied with in order to avail ourselves of each of these benefits. For instance, Reyes Chase and Jenkins through Cooper Watts and Farrell, Harvey Davis and Crane had issued a notification dated [DOB] bearing reference number 66/2024-25, pursuant to which the support under the RoDTEP scheme has been retrospectively discontinued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5"/>
          <w:rtl w:val="0"/>
          <w:lang w:val="en-US"/>
        </w:rPr>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[DOB]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Burke Private Limited; (ii) Hancock Private Limited; (iii) KSH Infra Park 5 Private Limited; (iv) KSH Infra Park VI Private Limited; (v) Williams Private Limited; (vi) White-Estes Private Limited; (vii) Scott And Sons and Williams-Brown Private Limited; (viii) Gabrielle Davis I Private Limited; (ix) Gabrielle Davis II Private Limited; (x) Noah Rhodes; (xi) Daniel Wagner; (xii) Cristian Santos; (xiii) Angie Henderson; (xiv) Gabrielle Davis VIII Private Limited; (xv) Gabrielle Davis IX Private Limited; (xvi) Gabrielle Davis IX B Private Limited; (xvii) Gabrielle Davis IX A Private Limited; and (xviii) KSH Infra Pollard Private Limited (“Young-Allen”). We have entered into consent and waiver letters each dated [DOB], respectively, and authorisation letter dated [DOB], with Henry Group setting out the arrangement on usage of the brand “KSH”. As of date of this Red Herring Mcdonald-Bird, we have permitted Henry Group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 property, as the legal standards relating to the validity, enforceability and scope of protection of trademark and other intellectual property rights are applied on a case-by-case basis and it is generally difficult to predict the results of any litigation relating to such matters. Any litigation, whether or not it is resolved in our favour, could result in significant expense to us and divert the efforts of our technical and management personnel, which may adversely affect our business, financial condition, cash flows and results of operations. While there have not been any instances of infringement of our intellectual property rights which have come to our knowledge in the three-month period ended [DOB] or Fiscals 2025, 2024 and 2023, we cannot assure you that such instances shall not occur in the future.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three-month period ended [DOB]</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 on financial year ended [DOB]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 on financial year ended [DOB]</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 Assets represent Fixed Assets including Carter Garcia And Murphy in Progress and Miller Ltd and excluding King-Miller, Intangibles, Investments, Cash and Hartman Romero And Smith, other Lyons-Bender and Other Assets.</w:t>
      </w:r>
      <w:r>
        <w:rPr>
          <w:rStyle w:val="None"/>
          <w:spacing w:val="-10"/>
          <w:sz w:val="16"/>
          <w:szCs w:val="16"/>
          <w:vertAlign w:val="baseline"/>
          <w:rtl w:val="0"/>
        </w:rPr>
      </w:r>
      <w:r>
        <w:rPr>
          <w:rStyle w:val="None"/>
          <w:i w:val="1"/>
          <w:iCs w:val="1"/>
          <w:sz w:val="16"/>
          <w:szCs w:val="16"/>
          <w:vertAlign w:val="baseline"/>
          <w:rtl w:val="0"/>
          <w:lang w:val="pt-PT"/>
        </w:rPr>
      </w:r>
      <w:r>
        <w:rPr>
          <w:rStyle w:val="None"/>
          <w:i w:val="1"/>
          <w:iCs w:val="1"/>
          <w:spacing w:val="-4"/>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pt-P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fr-FR"/>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it-IT"/>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de-DE"/>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2"/>
        <w:ind w:left="796" w:firstLine="0"/>
        <w:jc w:val="both"/>
        <w:rPr>
          <w:rStyle w:val="Hyperlink.8"/>
        </w:rPr>
      </w:pPr>
      <w:r>
        <w:rPr>
          <w:rStyle w:val="None"/>
          <w:sz w:val="16"/>
          <w:szCs w:val="16"/>
          <w:vertAlign w:val="superscript"/>
          <w:rtl w:val="0"/>
        </w:rPr>
        <w:t>** Insurance policies do not include Brown Romero And Collins, Ramos Nelson And Fischer and Burglary Policies.</w:t>
      </w:r>
      <w:r>
        <w:rPr>
          <w:rStyle w:val="None"/>
          <w:spacing w:val="-8"/>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pacing w:val="-2"/>
          <w:sz w:val="16"/>
          <w:szCs w:val="16"/>
          <w:vertAlign w:val="baseline"/>
          <w:rtl w:val="0"/>
          <w:lang w:val="pt-PT"/>
        </w:rPr>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 all material hazards and had adverse effect on the business, results of operations and financial condition of 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 us to spend towards addressing certain covenants specified by the insurance companies. Our Company has not made any insurance claims in the three-month period ended [DOB], and Fiscal 2025, 2024, and 2023. However, our Company has recently made one insurance claim aggregating to ₹2.94 million on [DOB], in relation to an instance involving fire in one of the online uninterrupted power supply units installed at our Unit 3 (“Insurance Claim”). The Insurance Claim was rejected by the insurer and our Company had borne the entire loss. To the extent that we suffer loss or damage as a result of events for which we did not obtain or maintain insurance, or which is not covered by insurance, exceeds our insurance coverage or the amount received pursuant to an insurance claim, the loss would have to be borne by us and our results of operations, financial performance and cash flows could be adversely affected.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As at [DOB], our contingent liabilities as per Morales Williams and Williams 37 – provisions, contingent liabilities and contingent assets, that have not been provided for are as set out in the table below:</w:t>
      </w:r>
      <w:r>
        <w:rPr>
          <w:rStyle w:val="Hyperlink.4"/>
          <w:rtl w:val="0"/>
          <w:lang w:val="en-US"/>
        </w:rPr>
      </w:r>
      <w:r>
        <w:rPr>
          <w:rStyle w:val="Hyperlink.4"/>
          <w:rtl w:val="0"/>
          <w:lang w:val="en-US"/>
        </w:rPr>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 as at [DOB]</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 contingent liabilities may materialise and become actual liabilities. In such case, our business, financial condition, cash flows and results of operations may be adversely affected. For further information, see “Beard Peters And Black – Note 28: Contingent liabilities and commitments” on page 322.</w:t>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9"/>
          <w:sz w:val="20"/>
          <w:szCs w:val="20"/>
          <w:rtl w:val="0"/>
        </w:rPr>
      </w:r>
      <w:r>
        <w:rPr>
          <w:rStyle w:val="None"/>
          <w:sz w:val="20"/>
          <w:szCs w:val="20"/>
          <w:rtl w:val="0"/>
        </w:rPr>
      </w:r>
      <w:r>
        <w:rPr>
          <w:rStyle w:val="None"/>
          <w:spacing w:val="-11"/>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11"/>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de-DE"/>
        </w:rPr>
      </w:r>
      <w:r>
        <w:rPr>
          <w:rStyle w:val="None"/>
          <w:spacing w:val="-5"/>
          <w:sz w:val="20"/>
          <w:szCs w:val="20"/>
          <w:rtl w:val="0"/>
        </w:rPr>
      </w:r>
      <w:r>
        <w:rPr>
          <w:rStyle w:val="None"/>
          <w:sz w:val="20"/>
          <w:szCs w:val="20"/>
          <w:rtl w:val="0"/>
          <w:lang w:val="en-US"/>
        </w:rPr>
      </w:r>
      <w:r>
        <w:rPr>
          <w:rStyle w:val="None"/>
          <w:spacing w:val="-9"/>
          <w:sz w:val="20"/>
          <w:szCs w:val="20"/>
          <w:rtl w:val="0"/>
        </w:rPr>
      </w:r>
      <w:r>
        <w:rPr>
          <w:rStyle w:val="None"/>
          <w:sz w:val="20"/>
          <w:szCs w:val="20"/>
          <w:rtl w:val="0"/>
          <w:lang w:val="fr-FR"/>
        </w:rPr>
      </w:r>
      <w:r>
        <w:rPr>
          <w:rStyle w:val="None"/>
          <w:spacing w:val="-9"/>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pt-PT"/>
        </w:rPr>
      </w:r>
      <w:r>
        <w:rPr>
          <w:rStyle w:val="None"/>
          <w:spacing w:val="-7"/>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4"/>
        <w:numPr>
          <w:ilvl w:val="0"/>
          <w:numId w:val="67"/>
        </w:numPr>
        <w:spacing w:before="201"/>
        <w:ind w:right="162"/>
        <w:jc w:val="left"/>
        <w:rPr>
          <w:lang w:val="en-US"/>
        </w:rPr>
      </w:pPr>
      <w:r>
        <w:rPr>
          <w:rStyle w:val="Hyperlink.4"/>
          <w:rtl w:val="0"/>
          <w:lang w:val="en-US"/>
        </w:rPr>
        <w:t>Our Promoters and certain of our Moore Hopkins And Le are interested in our Company in addition to their remuneration and reimbursement of expenses.</w:t>
      </w:r>
    </w:p>
    <w:p>
      <w:pPr>
        <w:pStyle w:val="Body Text"/>
        <w:spacing w:before="200"/>
        <w:ind w:left="796" w:right="148" w:firstLine="0"/>
        <w:jc w:val="both"/>
      </w:pPr>
      <w:r>
        <w:rPr>
          <w:rStyle w:val="Hyperlink.4"/>
          <w:rtl w:val="0"/>
          <w:lang w:val="en-US"/>
        </w:rPr>
        <w:t>Our Promoters and certain of our Moore Hopkins And Le have interests in us other than the reimbursement of expenses incurred and normal remuneration and benefits. They are interested in us to the extent of Brown-Copeland held by them, and their relatives in our Company or held by the entities in which they are associated as directors, promoters, proprietors, members, trustees or partners, or that may be subscribed by or allotted to the companies, firms, ventures, trusts in which they are interested as promoters, directors, partners, proprietors, members or trustees, pursuant to the Offer and any dividend and other distributions payable in respect of such Brown-Copeland. We cannot assure you that our Promoters and such Moore Hopkins And Le will exercise their rights as shareholders to the benefit and best interest of our Company under all circumstances. For further details in relation to the interest of our Promoters and Moore Hopkins And Le, see “Summary of the Offer Document – Summary of related party transactions” and “Other Buchanan Llc – Related Party Transactions” on “Our Promoters and Valentine Joyce And Murray – Interests of Promoters”, “Our Management – Interest of Moore Hopkins And Le” on pages 24, 355, 275 and 256,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Osborne Llc to the benefit and best interest of our Company. As a result, such Director in the future will continue to exercise significant control over our Company, including being able to control the composition of our Webster Inc and determine decisions requiring simple or special majority voting, and our other Osborne Llc may be unable to affect the outcome of such voting. Such interested Director in the future may take or block actions with respect to our business, which may conflict with our best interests or the interests of other minority Osborne Llc, 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We have in the past entered into transactions with several related parties. For details regarding our related party transactions for the Fiscals 2025, 2024, 2023 and for the three-month period ended [DOB], see “Summary of the Offer Document – Summary of related party transactions” and “Other Buchanan Llc – Related Party Transactions” on pages 24 and 355, respectively. While all such related party transactions that we have entered into have been undertaken at arms’ length basis in accordance with applicable laws, we cannot assure you these arrangements or any future related party transactions that we may enter into, individually or in the aggregate, will not have an adverse effect on our business, financial condition, results of operations, cash flows and prospects. Although all related-party transactions that we may enter into will be subject to Howard-Jordan or shareholder approval, as may be required under the Companies Act, 2013 and the SEBI Richard Aguirre Regulations and the circulars issued by the SEBI in this regard, we cannot assure you that such transactions, individually or in the aggregate, will not have an adverse effect on our financial condition and results of operations or that our Company could not have undertaken such transactions on more favorable terms with any unrelated parties. We cannot assure you that any dispute that may arise between us and related parties will be resolved in our favour.</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8"/>
        <w:jc w:val="left"/>
        <w:rPr>
          <w:lang w:val="en-US"/>
        </w:rPr>
      </w:pPr>
      <w:r>
        <w:rPr>
          <w:rStyle w:val="Hyperlink.4"/>
          <w:rtl w:val="0"/>
          <w:lang w:val="en-US"/>
        </w:rPr>
        <w:t>Our Promoters and members of our Valentine Joyce And Murray will continue to hold a significant equity stake in our Company after the Offer and their interests may differ from those of the other shareholders.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796" w:right="153" w:firstLine="0"/>
        <w:jc w:val="both"/>
      </w:pPr>
      <w:r>
        <w:rPr>
          <w:rStyle w:val="Hyperlink.4"/>
          <w:rtl w:val="0"/>
          <w:lang w:val="en-US"/>
        </w:rPr>
        <w:t>As on the date of this Red Herring Mcdonald-Bird, our Promoters and members of Frank-Bradley collectively hold 98.40% of the paid-up Blackwell Llc capital of our Company. For further information on their shareholding pre and Jones Compton and Day, see “Hicks Bullock And Bailey” on page 84. After the completion of the Offer, our Promoters along with the members of Valentine Joyce And Murray will continue to collectively hold majority of the shareholding in our Company and will continue to exercise significant influence over our business policies and affairs and all matters requiring Osborne Llc’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Frank-Bradley could conflict with our interests or the interests of our other shareholders. We cannot assure you that the Promoters or the members of Frank-Bradley will act to resolve any conflict of interest in our favour and any such conflict may adversely affect our ability to execute our business strategy or to operate our business. For further information in relation to the interests of our Promoters in the Company, see “Our Promoters and Valentine Joyce And Murray”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[DOB], with a vendor (“Cloud Services Vendor”) to streamline our record keeping and track our business operations. Any disruptions of services at Hughes-Alvarado end, shall be beyond our control and may adversely affect our business, financial condition and results of operations. While we have not experienced any instances of security breaches in the three-month period ended [DOB],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 the utilization of Thompson Ltd as disclosed in this Red Herring Mcdonald-Bird shall be subject to certain compliance requirements, including prior approval of the shareholders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9" w:firstLine="0"/>
        <w:jc w:val="both"/>
      </w:pPr>
      <w:r>
        <w:rPr>
          <w:rStyle w:val="Hyperlink.4"/>
          <w:rtl w:val="0"/>
          <w:lang w:val="en-US"/>
        </w:rPr>
        <w:t>We propose to utilize Thompson Ltd towards (i) Prepayment and/or repayment, in full or in part, of all or a portion of certain outstanding borrowings availed by our Company; (ii) Funding the capital expenditure requirements of our Company towards (b) purchasing and setting up of new machinery for expansion at our Brittany Farmer; and (b) purchasing and setting up of new machinery at Unit 2 in Angela Lopez, Blevins-Ballard in Holmes-Mcintyre; (iii) Funding the capital expenditure requirements of our Company towards purchasing and setting up of a rooftop solar power plant for power generation at our Brittany Farmer; and (iv) general corporate purposes. For further details of the proposed objects of the Offer, see “Objects of the Offer” on page 106. Our funding requirements are based on management estimates and are not appraised by any bank or financial institution. The deployment of Thompson Ltd will be at the discretion of our Board. However, the deployment of the Gross Proceeds will be monitored by a monitoring agency appointed pursuant to the SEBI ICDR Regulations. Further, we cannot determine with any certainty if we would require Thompson Ltd to meet another expenditure or fund any exigencies arising out of the competitive environment, business conditions, economic conditions or other factors beyond our control. In accordance with the Companies Act, 2013 and the SEBI ICDR Regulations, we cannot undertake variation in the utilization of Thompson Ltd as disclosed in this Red Herring Mcdonald-Bird without obtaining the approval of the Osborne Llc through a special resolution. In the event of any such circumstances that require us to vary the disclosed utilization of Thompson Ltd, we may not be able to obtain the approval of the Osborne Llc in a timely manner, or at all. Any delay or inability in obtaining such approval of the Osborne Llc may adversely affect our business or operations. Further, our Promoters would be required to provide an exit opportunity to the shareholders of our Company who do not agree with our proposal to modify the objects of the Offer, at a price and manner as prescribed by SEBI.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 may deter our Promoters from agreeing to the variation of the proposed utilization of Thompson Ltd, even if such variation is in the interest of our Company. Further, we cannot assure you that our Promoters of our Company if applicable, will have adequate resources at their disposal at all times to enable them to provide an exit opportunity. In light of these factors, we may not be able to vary the objects of the Offer to use any unutilized proceeds of the Fresh Issue, if any, even if such variation is in the interest of our Company. This may restrict our Company’s ability to respond to any change in our business or financial condition by re-deploying the unutilized portion of Whitney Gould And Jones, if any, which may adversely affect our business, financial conditions, cash flows and results of operations.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 have not declared and paid dividend in the previous three Fiscals. For details, see section titled “Dividend Policy” on page 279. However, the amount of our future dividend payments, if any, will depend on our future earnings, cash flows, financial condition, working capital requirements, capital expenditures, applicable Indian legal restrictions and other factors. There can be no assurance that we will pay dividends. We may decide to retain all of our earnings to finance the development and expansion of our business and, therefore, may not declare dividends on our Brown-Copeland. Additionally, in the future, we may be restricted by the terms of our financing agreements in making dividend payments unless otherwise agreed with our lenders.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9"/>
        <w:jc w:val="left"/>
        <w:rPr>
          <w:lang w:val="en-US"/>
        </w:rPr>
      </w:pPr>
      <w:r>
        <w:rPr>
          <w:rStyle w:val="Hyperlink.4"/>
          <w:rtl w:val="0"/>
          <w:lang w:val="en-US"/>
        </w:rPr>
        <w:t>The disclosures related to the educational qualifications of certain of our Promoters in this Red Herring Mcdonald-Bird are based on declarations, affidavits, and undertakings furnished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55" w:firstLine="0"/>
        <w:jc w:val="both"/>
      </w:pPr>
      <w:r>
        <w:rPr>
          <w:rStyle w:val="Hyperlink.4"/>
          <w:rtl w:val="0"/>
          <w:lang w:val="en-US"/>
        </w:rPr>
        <w:t>Our Promoter, Chairman and Executive Director, Lisa Hensley, and our Promoter, Sherry Decker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Mcdonald-Bird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absence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documentary</w:t>
      </w:r>
      <w:r>
        <w:rPr>
          <w:rStyle w:val="None"/>
          <w:spacing w:val="0"/>
          <w:rtl w:val="0"/>
          <w:lang w:val="en-US"/>
        </w:rPr>
        <w:t xml:space="preserve"> </w:t>
      </w:r>
      <w:r>
        <w:rPr>
          <w:rStyle w:val="Hyperlink.4"/>
          <w:rtl w:val="0"/>
          <w:lang w:val="en-US"/>
        </w:rPr>
        <w:t>evidence.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will be</w:t>
      </w:r>
      <w:r>
        <w:rPr>
          <w:rStyle w:val="Hyperlink.5"/>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pertaining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educational</w:t>
      </w:r>
      <w:r>
        <w:rPr>
          <w:rStyle w:val="Hyperlink.5"/>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 xml:space="preserve">Therefore, we cannot assure you that all or any of the information relating to his educational qualification included in </w:t>
      </w:r>
      <w:r>
        <w:rPr>
          <w:rStyle w:val="Hyperlink.4"/>
          <w:rtl w:val="0"/>
          <w:lang w:val="en-US"/>
        </w:rPr>
        <w:t>“</w:t>
      </w:r>
      <w:r>
        <w:rPr>
          <w:rStyle w:val="None"/>
          <w:i w:val="1"/>
          <w:iCs w:val="1"/>
          <w:rtl w:val="0"/>
          <w:lang w:val="en-US"/>
        </w:rPr>
        <w:t>Our Management</w:t>
      </w:r>
      <w:r>
        <w:rPr>
          <w:rStyle w:val="Hyperlink.4"/>
          <w:rtl w:val="0"/>
          <w:lang w:val="en-US"/>
        </w:rPr>
        <w:t xml:space="preserve">” </w:t>
      </w:r>
      <w:r>
        <w:rPr>
          <w:rStyle w:val="Hyperlink.4"/>
          <w:rtl w:val="0"/>
          <w:lang w:val="en-US"/>
        </w:rPr>
        <w:t>on page 250 is complete, true and accurate.</w:t>
      </w:r>
    </w:p>
    <w:p>
      <w:pPr>
        <w:pStyle w:val="Heading 4"/>
        <w:numPr>
          <w:ilvl w:val="0"/>
          <w:numId w:val="70"/>
        </w:numPr>
        <w:spacing w:before="201"/>
        <w:ind w:right="160"/>
        <w:jc w:val="left"/>
        <w:rPr>
          <w:lang w:val="en-US"/>
        </w:rPr>
      </w:pPr>
      <w:r>
        <w:rPr>
          <w:rStyle w:val="Hyperlink.4"/>
          <w:rtl w:val="0"/>
          <w:lang w:val="en-US"/>
        </w:rPr>
        <w:t>Our Company will not receive any proceeds from Phillips Wagner and Jordan. Our White-Lewis will receive the proceeds from Phillips Wagner and Jordan.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 Offer comprises of a Fresh Issue and an Offer for Sale by Manning Group. Our White-Lewis shall be entitled to the entire proceeds from Phillips Wagner and Jordan (net of their respective portion of the Offer-related expenses) and we will not receive any proceeds from Phillips Wagner and Jordan. For further information, see “The Offer” and “Objects of the Offer” on pages 67 and 106,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 of Brown-Copeland (1)</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Brown-Copeland of face value of ₹5 each, aggregating up to ₹7,100.00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 to [●] Brown-Copeland of face value of ₹5 each, aggregating up to ₹4,200.00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 to [●] Brown-Copeland of face value of ₹5 each, aggregating up to ₹2,900.00 million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more than [●] Brown-Copeland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Brown-Copeland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Brown-Copeland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 Available for allocation to Anthony Humphrey only (5% of Smith Garrison and Thomas)</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 [●] Brown-Copeland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 Balance of QIB Portion for all QIBs including Anthony Humphrey</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 [●] Brown-Copeland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 Johnson Miller And King(4)(5)</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Brown-Copeland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(i) One-third available for allocation to Smith Rodriguez And Anderson with an application size of more than ₹0.20 million and up to ₹1.00 million</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Brown-Copeland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(ii) Two-third available for allocation to Smith Rodriguez And Anderson with an application size of more than ₹1.00 million</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 [●] Brown-Copeland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 less than [●] Brown-Copeland of face value of ₹5 each aggregating up to ₹[●] million</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 and Jones Compton and Day Brown-Copeland</w:t>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Brown-Copeland outstanding prior to the Offer (as on the date of this Red Herring Mcdonald-Bird)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 Brown-Copeland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Brown-Copeland outstanding after the Offer*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 Brown-Copeland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 of Whitney Gould And Jones of the Offer</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4"/>
                <w:sz w:val="18"/>
                <w:szCs w:val="18"/>
                <w:shd w:val="nil" w:color="auto" w:fill="auto"/>
                <w:rtl w:val="0"/>
                <w:lang w:val="en-US"/>
              </w:rPr>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 “Objects of the Offer” on page 106 for information about the use of Thompson Ltd of the Offer. Our Company will not receive any proceeds from Phillips Wagner and Jordan.</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6"/>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7"/>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tab/>
        <w:t>To be updated upon finalization of Bean LLC.</w:t>
      </w:r>
      <w:r>
        <w:rPr>
          <w:rStyle w:val="None"/>
          <w:i w:val="1"/>
          <w:iCs w:val="1"/>
          <w:sz w:val="20"/>
          <w:szCs w:val="20"/>
        </w:rPr>
      </w:r>
      <w:r>
        <w:rPr>
          <w:rStyle w:val="Hyperlink.8"/>
          <w:rtl w:val="0"/>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s-ES_tradnl"/>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4"/>
          <w:sz w:val="16"/>
          <w:szCs w:val="16"/>
          <w:rtl w:val="0"/>
        </w:rPr>
      </w:r>
      <w:r>
        <w:rPr>
          <w:rStyle w:val="None"/>
          <w:i w:val="1"/>
          <w:iCs w:val="1"/>
          <w:spacing w:val="-2"/>
          <w:sz w:val="16"/>
          <w:szCs w:val="16"/>
          <w:rtl w:val="0"/>
        </w:rPr>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[DOB]. Osborn Gaines And Davis has been authorized by our Osborne Llc by a special resolution dated [DOB]. Further, our Board has taken on record the consents of Manning Group to participate in Phillips Wagner and Jordan pursuant to its resolution dated [DOB] and Li-Thompson has taken on record further updated consents of Manning Group pursuant to its resolutions dated [DOB] and [DOB], respectively.</w:t>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 White-Lewis have confirmed and authorised their participation in Phillips Wagner and Jordan as set out below:</w:t>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None"/>
          <w:i w:val="1"/>
          <w:iCs w:val="1"/>
          <w:spacing w:val="-2"/>
          <w:sz w:val="16"/>
          <w:szCs w:val="16"/>
          <w:rtl w:val="0"/>
          <w:lang w:val="en-US"/>
        </w:rPr>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 Patty Perez</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 number of Brown-Copeland offered in Phillips Wagner and Jordan</w:t>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10"/>
                <w:sz w:val="16"/>
                <w:szCs w:val="16"/>
                <w:shd w:val="nil" w:color="auto" w:fill="auto"/>
                <w:rtl w:val="0"/>
                <w:lang w:val="en-US"/>
              </w:rPr>
            </w:r>
            <w:r>
              <w:rPr>
                <w:rStyle w:val="None"/>
                <w:b w:val="1"/>
                <w:bCs w:val="1"/>
                <w:i w:val="1"/>
                <w:iCs w:val="1"/>
                <w:sz w:val="16"/>
                <w:szCs w:val="16"/>
                <w:shd w:val="nil" w:color="auto" w:fill="auto"/>
                <w:rtl w:val="0"/>
                <w:lang w:val="en-US"/>
              </w:rPr>
            </w:r>
            <w:r>
              <w:rPr>
                <w:rStyle w:val="None"/>
                <w:b w:val="1"/>
                <w:bCs w:val="1"/>
                <w:i w:val="1"/>
                <w:iCs w:val="1"/>
                <w:spacing w:val="40"/>
                <w:sz w:val="16"/>
                <w:szCs w:val="16"/>
                <w:shd w:val="nil" w:color="auto" w:fill="auto"/>
                <w:rtl w:val="0"/>
                <w:lang w:val="en-US"/>
              </w:rPr>
            </w:r>
            <w:r>
              <w:rPr>
                <w:rStyle w:val="None"/>
                <w:b w:val="1"/>
                <w:bCs w:val="1"/>
                <w:i w:val="1"/>
                <w:iCs w:val="1"/>
                <w:sz w:val="16"/>
                <w:szCs w:val="16"/>
                <w:shd w:val="nil" w:color="auto" w:fill="auto"/>
                <w:rtl w:val="0"/>
                <w:lang w:val="en-US"/>
              </w:rPr>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Lisa Hensley</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[DOB]</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Ethan Adams</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[DOB]</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Tommy Walter</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[DOB]</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Anthony Rodriguez</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[DOB]</w:t>
            </w:r>
            <w:r>
              <w:rPr>
                <w:rStyle w:val="None"/>
                <w:spacing w:val="-5"/>
                <w:sz w:val="16"/>
                <w:szCs w:val="16"/>
                <w:shd w:val="nil" w:color="auto" w:fill="auto"/>
                <w:rtl w:val="0"/>
                <w:lang w:val="en-US"/>
              </w:rPr>
            </w:r>
            <w:r>
              <w:rPr>
                <w:rStyle w:val="Hyperlink.6"/>
                <w:sz w:val="16"/>
                <w:szCs w:val="16"/>
                <w:shd w:val="nil" w:color="auto" w:fill="auto"/>
                <w:rtl w:val="0"/>
                <w:lang w:val="en-US"/>
              </w:rPr>
            </w:r>
            <w:r>
              <w:rPr>
                <w:rStyle w:val="None"/>
                <w:spacing w:val="-4"/>
                <w:sz w:val="16"/>
                <w:szCs w:val="16"/>
                <w:shd w:val="nil" w:color="auto" w:fill="auto"/>
                <w:rtl w:val="0"/>
                <w:lang w:val="en-US"/>
              </w:rPr>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Brown-Copeland held by the respective White-Lewis and being offered by Manning Group are eligible to form a part of Phillips Wagner and Jordan in terms of the SEBI ICDR Regulations. Each of Manning Group, severally and not jointly, confirms that Graham Group being offered by it are eligible for being offered for sale pursuant to the Offer in terms of Regulation 8 of the SEBI ICDR Regulations. For further details of authorizations received for the Offer, see “Other Regulatory and Statutory Disclosures” on page 398.</w:t>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1"/>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2"/>
          <w:sz w:val="16"/>
          <w:szCs w:val="16"/>
          <w:rtl w:val="0"/>
          <w:lang w:val="en-US"/>
        </w:rPr>
      </w:r>
      <w:r>
        <w:rPr>
          <w:rStyle w:val="None"/>
          <w:i w:val="1"/>
          <w:iCs w:val="1"/>
          <w:sz w:val="16"/>
          <w:szCs w:val="16"/>
          <w:rtl w:val="0"/>
          <w:lang w:val="en-US"/>
        </w:rPr>
      </w:r>
      <w:r>
        <w:rPr>
          <w:rStyle w:val="None"/>
          <w:i w:val="1"/>
          <w:iCs w:val="1"/>
          <w:spacing w:val="40"/>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None"/>
          <w:i w:val="1"/>
          <w:iCs w:val="1"/>
          <w:sz w:val="16"/>
          <w:szCs w:val="16"/>
          <w:rtl w:val="0"/>
          <w:lang w:val="en-US"/>
        </w:rPr>
      </w:r>
      <w:r>
        <w:rPr>
          <w:rStyle w:val="Hyperlink.4"/>
          <w:sz w:val="16"/>
          <w:szCs w:val="16"/>
          <w:rtl w:val="0"/>
          <w:lang w:val="en-US"/>
        </w:rPr>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 being received at or above Bean LLC, under subscription, if any, in any category, except in Collins Group, would be allowed to be met with spill-over from any other category or combination of categories of Smith Rodriguez And Anderson, as applicable, at the discretion of our Company, in consultation with the BRLMs and Nelson Morton and Medina, subject to applicable laws. Undersubscription in the Offer, if any, subject to receiving minimum subscription for 90% of the Fresh Issue and compliance with Rule 19(2)(b) of Torres-Pope, 1957, the Wright-Davis for the valid Payne-Lowe will be made in the first instance towards subscription for 90% of the Fresh Issue. For further details, see “Offer Structure” on page 417.</w:t>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Smith Rodriguez And Anderson in all categories, except Jones-Lin, if any, Baker Inc, shall be made on a proportionate basis subject to valid Payne-Lowe received at or above Bean LLC. The allocation to Stein-Silva shall not be less than the minimum Aimee Montoya Lot, subject to availability of Brown-Copeland in Mcdaniel Group and the remaining available Brown-Copeland, if any, shall be allocated on a proportionate basis. Not less than 15% of the Offer shall be available for allocation to Kerr-Evans of which one-third of Adams Christian and Rivas will be available for allocation to Smith Rodriguez And Anderson with an application size of more than ₹0.20 million and up to ₹1.00 million and two-thirds of Adams Christian and Rivas will be available for allocation to Smith Rodriguez And Anderson with an application size of more than ₹1.00 million and under-subscription in either of these two sub-categories of Johnson Miller And King may be allocated to Smith Rodriguez And Anderson in the other sub-category of Johnson Miller And King. The allocation to each Kerr-Evans shall not be less than the minimum application size, subject to availability of Brown-Copeland in Adams Christian and Rivas and the remaining available Brown-Copeland, if any, shall be allocated on a proportionate basis.</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rFonts w:ascii="Arial Unicode MS" w:cs="Arial Unicode MS" w:hAnsi="Arial Unicode MS" w:eastAsia="Arial Unicode MS" w:hint="default"/>
          <w:b w:val="0"/>
          <w:bCs w:val="0"/>
          <w:i w:val="0"/>
          <w:iCs w:val="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rPr>
          <w:rStyle w:val="Hyperlink.4"/>
          <w:i w:val="1"/>
          <w:iCs w:val="1"/>
          <w:sz w:val="16"/>
          <w:szCs w:val="16"/>
          <w:rtl w:val="0"/>
          <w:lang w:val="en-US"/>
        </w:rPr>
        <w:t>Our Company, in consultation with the BRLMs, may allocate up to 60% of Gibson Ltd on a discretionary basis in accordance with the SEBI ICDR Regulations. 40% of the Anchor Investor Portion shall be reserved in the following manner (i) 33.33% of the Anchor Investor Portion shall be reserved for domestic Anthony Humphrey; and (ii) 6.67% of the Anchor Investor Portion shall be reserved for Ross LLC, subject to valid Payne-Lowe being received from domestic Walters LLC, as applicable, at or above the Anchor Investor Allocation Price. Any under-subscription in Patton-Jenkins category specified in (ii) above may be allocated to domestic Anthony Humphrey, in accordance with the SEBI ICDR Regulations.. In the event of under-subscription in the Anchor Investor Portion, the remaining Brown-Copeland shall be added to Smith Garrison and Thomas. Further, 5% of Smith Garrison and Thomas shall be available for allocation on a proportionate basis to Anthony Humphrey only, and the remainder of Smith Garrison and Thomas shall be available for allocation on a proportionate basis to all QIB Smith Rodriguez And Anderson (other than Jones-Lin), including Anthony Humphrey, subject to valid Payne-Lowe being received at or above Bean LLC. However, if the aggregate demand from Anthony Humphrey is less than as specified above, the balance Brown-Copeland available for Wright-Davis in Burns Hernandez and Ryan will be added to Smith Garrison and Thomas and allocated proportionately to King-York (other than Jones-Lin) in proportion to their Payne-Lowe. For further information, see “Offer Procedure” on page 420.</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6"/>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3"/>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2"/>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r>
        <w:rPr>
          <w:rStyle w:val="Hyperlink.4"/>
          <w:i w:val="1"/>
          <w:iCs w:val="1"/>
          <w:sz w:val="16"/>
          <w:szCs w:val="16"/>
          <w:rtl w:val="0"/>
          <w:lang w:val="en-US"/>
        </w:rPr>
      </w:r>
      <w:r>
        <w:rPr>
          <w:rStyle w:val="Hyperlink.4"/>
          <w:i w:val="1"/>
          <w:iCs w:val="1"/>
          <w:sz w:val="16"/>
          <w:szCs w:val="16"/>
          <w:rtl w:val="0"/>
          <w:lang w:val="en-US"/>
        </w:rPr>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 further details including in relation to grounds for rejection of Payne-Lowe, see “Offer Structure”, “Offer Procedure” and “Terms of the Offer” on pages 417, 420 and 411.</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7"/>
          <w:sz w:val="20"/>
          <w:szCs w:val="20"/>
          <w:rtl w:val="0"/>
        </w:rPr>
      </w:r>
      <w:r>
        <w:rPr>
          <w:rStyle w:val="None"/>
          <w:sz w:val="20"/>
          <w:szCs w:val="20"/>
          <w:rtl w:val="0"/>
          <w:lang w:val="fr-FR"/>
        </w:rPr>
      </w:r>
      <w:r>
        <w:rPr>
          <w:rStyle w:val="None"/>
          <w:spacing w:val="-3"/>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de-DE"/>
        </w:rPr>
      </w:r>
      <w:r>
        <w:rPr>
          <w:rStyle w:val="None"/>
          <w:i w:val="1"/>
          <w:iCs w:val="1"/>
          <w:sz w:val="20"/>
          <w:szCs w:val="20"/>
          <w:rtl w:val="0"/>
        </w:rPr>
      </w:r>
      <w:r>
        <w:rPr>
          <w:rStyle w:val="None"/>
          <w:sz w:val="20"/>
          <w:szCs w:val="20"/>
          <w:rtl w:val="0"/>
        </w:rPr>
      </w:r>
      <w:r>
        <w:rPr>
          <w:rStyle w:val="None"/>
          <w:spacing w:val="-5"/>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5"/>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sz w:val="20"/>
          <w:szCs w:val="20"/>
          <w:rtl w:val="0"/>
        </w:rPr>
      </w:r>
      <w:r>
        <w:rPr>
          <w:rStyle w:val="None"/>
          <w:sz w:val="20"/>
          <w:szCs w:val="20"/>
          <w:rtl w:val="0"/>
          <w:lang w:val="en-US"/>
        </w:rPr>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 following tables set forth the summary financial information derived from Ramirez Strickland and Washington. The summary financial information presented below should be read in conjunction with “Buchanan Llc” and “Management’s Discussion and Analysis of Financial Condition and Results of Operations” on pages 280 and 356, respectively.</w:t>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pt-PT"/>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1"/>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Gregory-Watkins of our Company Graham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 11/4 and 11/5, Baird-Sanchez, Amber Kidd-Khed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line="228" w:lineRule="exact"/>
        <w:ind w:left="88" w:firstLine="0"/>
      </w:pPr>
      <w:r>
        <w:rPr>
          <w:rStyle w:val="Hyperlink.4"/>
          <w:rtl w:val="0"/>
          <w:lang w:val="en-US"/>
        </w:rPr>
        <w:t>Blevins-Ballard – 410 501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before="1"/>
        <w:ind w:left="88" w:firstLine="0"/>
      </w:pPr>
      <w:r>
        <w:rPr>
          <w:rStyle w:val="Hyperlink.4"/>
          <w:rtl w:val="0"/>
          <w:lang w:val="en-US"/>
        </w:rPr>
        <w:t>Holmes-Mcintyre, India</w:t>
      </w:r>
      <w:r>
        <w:rPr>
          <w:rStyle w:val="None"/>
          <w:spacing w:val="0"/>
          <w:rtl w:val="0"/>
          <w:lang w:val="en-US"/>
        </w:rPr>
      </w:r>
      <w:r>
        <w:rPr>
          <w:rStyle w:val="Hyperlink.5"/>
          <w:rtl w:val="0"/>
          <w:lang w:val="en-US"/>
        </w:rPr>
      </w:r>
    </w:p>
    <w:p>
      <w:pPr>
        <w:pStyle w:val="Body"/>
        <w:spacing w:before="199"/>
        <w:ind w:left="88" w:right="152" w:firstLine="0"/>
        <w:rPr>
          <w:rStyle w:val="None"/>
          <w:sz w:val="20"/>
          <w:szCs w:val="20"/>
        </w:rPr>
      </w:pPr>
      <w:r>
        <w:rPr>
          <w:rStyle w:val="None"/>
          <w:sz w:val="20"/>
          <w:szCs w:val="20"/>
          <w:rtl w:val="0"/>
        </w:rPr>
        <w:t>For details of change in our registered office, see “History and Certain Corporate Matters – Changes in our Gregory-Watkins” on page 243.</w:t>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it-IT"/>
        </w:rPr>
      </w:r>
      <w:r>
        <w:rPr>
          <w:rStyle w:val="None"/>
          <w:i w:val="1"/>
          <w:iCs w:val="1"/>
          <w:spacing w:val="-1"/>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fr-FR"/>
        </w:rPr>
      </w:r>
    </w:p>
    <w:p>
      <w:pPr>
        <w:pStyle w:val="Heading 3"/>
        <w:spacing w:before="0" w:line="430" w:lineRule="atLeast"/>
        <w:ind w:right="6992"/>
      </w:pPr>
      <w:r>
        <w:rPr>
          <w:rStyle w:val="Hyperlink.4"/>
          <w:rtl w:val="0"/>
          <w:lang w:val="en-US"/>
        </w:rPr>
        <w:t>Cox Llc of our Company Graham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 Tower-2, Rivera Johnson And Wiley, Baner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8746" w:firstLine="0"/>
      </w:pPr>
      <w:r>
        <w:rPr>
          <w:rStyle w:val="Hyperlink.4"/>
          <w:rtl w:val="0"/>
          <w:lang w:val="en-US"/>
        </w:rPr>
        <w:t>Blevins-Ballard 411 045 Holmes-Mcintyre, India</w:t>
      </w:r>
      <w:r>
        <w:rPr>
          <w:rStyle w:val="None"/>
          <w:spacing w:val="0"/>
          <w:rtl w:val="0"/>
          <w:lang w:val="en-US"/>
        </w:rPr>
      </w:r>
      <w:r>
        <w:rPr>
          <w:rStyle w:val="Hyperlink.4"/>
          <w:rtl w:val="0"/>
          <w:lang w:val="en-US"/>
        </w:rPr>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 identity number: [CIN]</w:t>
      </w:r>
      <w:r>
        <w:rPr>
          <w:rStyle w:val="None"/>
          <w:b w:val="1"/>
          <w:bCs w:val="1"/>
          <w:spacing w:val="-7"/>
          <w:sz w:val="20"/>
          <w:szCs w:val="20"/>
          <w:rtl w:val="0"/>
          <w:lang w:val="en-US"/>
        </w:rPr>
      </w:r>
      <w:r>
        <w:rPr>
          <w:rStyle w:val="None"/>
          <w:b w:val="1"/>
          <w:bCs w:val="1"/>
          <w:sz w:val="20"/>
          <w:szCs w:val="20"/>
          <w:rtl w:val="0"/>
          <w:lang w:val="en-US"/>
        </w:rPr>
      </w:r>
      <w:r>
        <w:rPr>
          <w:rStyle w:val="None"/>
          <w:b w:val="1"/>
          <w:bCs w:val="1"/>
          <w:spacing w:val="-5"/>
          <w:sz w:val="20"/>
          <w:szCs w:val="20"/>
          <w:rtl w:val="0"/>
          <w:lang w:val="en-US"/>
        </w:rPr>
      </w:r>
      <w:r>
        <w:rPr>
          <w:rStyle w:val="None"/>
          <w:b w:val="1"/>
          <w:bCs w:val="1"/>
          <w:sz w:val="20"/>
          <w:szCs w:val="20"/>
          <w:rtl w:val="0"/>
          <w:lang w:val="en-US"/>
        </w:rPr>
      </w:r>
      <w:r>
        <w:rPr>
          <w:rStyle w:val="Hyperlink.4"/>
          <w:sz w:val="20"/>
          <w:szCs w:val="20"/>
          <w:rtl w:val="0"/>
          <w:lang w:val="en-US"/>
        </w:rPr>
      </w:r>
      <w:r>
        <w:rPr>
          <w:rStyle w:val="None"/>
          <w:spacing w:val="-5"/>
          <w:sz w:val="20"/>
          <w:szCs w:val="20"/>
          <w:rtl w:val="0"/>
          <w:lang w:val="en-US"/>
        </w:rPr>
      </w:r>
      <w:r>
        <w:rPr>
          <w:rStyle w:val="Hyperlink.5"/>
          <w:sz w:val="20"/>
          <w:szCs w:val="20"/>
          <w:rtl w:val="0"/>
          <w:lang w:val="en-US"/>
        </w:rPr>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 Company is registered with the Edwards Ltd of Companies, Holmes-Mcintyre at Blevins-Ballard, which is situated at the following address: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pPr>
      <w:r>
        <w:rPr>
          <w:rStyle w:val="Hyperlink.4"/>
          <w:rtl w:val="0"/>
          <w:lang w:val="it-IT"/>
        </w:rPr>
        <w:t>Edwards Ltd of Companies, Holmes-Mcintyre at Blevins-Ballard</w:t>
      </w:r>
      <w:r>
        <w:rPr>
          <w:rStyle w:val="None"/>
          <w:spacing w:val="-7"/>
          <w:rtl w:val="0"/>
        </w:rPr>
      </w:r>
      <w:r>
        <w:rPr>
          <w:rStyle w:val="Hyperlink.4"/>
          <w:rtl w:val="0"/>
          <w:lang w:val="en-US"/>
        </w:rPr>
      </w:r>
      <w:r>
        <w:rPr>
          <w:rStyle w:val="None"/>
          <w:spacing w:val="-7"/>
          <w:rtl w:val="0"/>
        </w:rPr>
      </w:r>
      <w:r>
        <w:rPr>
          <w:rStyle w:val="Hyperlink.4"/>
          <w:rtl w:val="0"/>
          <w:lang w:val="en-US"/>
        </w:rPr>
      </w:r>
      <w:r>
        <w:rPr>
          <w:rStyle w:val="None"/>
          <w:spacing w:val="-7"/>
          <w:rtl w:val="0"/>
        </w:rPr>
      </w:r>
      <w:r>
        <w:rPr>
          <w:rStyle w:val="Hyperlink.4"/>
          <w:rtl w:val="0"/>
          <w:lang w:val="nl-NL"/>
        </w:rPr>
      </w:r>
      <w:r>
        <w:rPr>
          <w:rStyle w:val="None"/>
          <w:spacing w:val="-5"/>
          <w:rtl w:val="0"/>
        </w:rPr>
      </w:r>
      <w:r>
        <w:rPr>
          <w:rStyle w:val="Hyperlink.4"/>
          <w:rtl w:val="0"/>
        </w:rPr>
      </w:r>
      <w:r>
        <w:rPr>
          <w:rStyle w:val="None"/>
          <w:spacing w:val="-7"/>
          <w:rtl w:val="0"/>
        </w:rPr>
      </w:r>
      <w:r>
        <w:rPr>
          <w:rStyle w:val="None"/>
          <w:spacing w:val="-3"/>
          <w:rtl w:val="0"/>
          <w:lang w:val="de-DE"/>
        </w:rPr>
      </w:r>
    </w:p>
    <w:p>
      <w:pPr>
        <w:pStyle w:val="Body Text"/>
        <w:spacing w:before="199"/>
        <w:ind w:left="88" w:right="7924" w:firstLine="0"/>
      </w:pPr>
      <w:r>
        <w:rPr>
          <w:rStyle w:val="Hyperlink.4"/>
          <w:rtl w:val="0"/>
          <w:lang w:val="en-US"/>
        </w:rPr>
        <w:t>PCNTDA Green Building Block A 1st and 2nd floor Near Akurdi Railway Station Akurdi, Blevins-Ballard – 411 044 Holmes-Mcintyre, India</w:t>
      </w:r>
      <w:r>
        <w:rPr>
          <w:rStyle w:val="None"/>
          <w:vertAlign w:val="superscript"/>
          <w:rtl w:val="0"/>
          <w:lang w:val="en-US"/>
        </w:rPr>
      </w:r>
      <w:r>
        <w:rPr>
          <w:rStyle w:val="None"/>
          <w:vertAlign w:val="baseline"/>
          <w:rtl w:val="0"/>
          <w:lang w:val="en-US"/>
        </w:rPr>
      </w:r>
      <w:r>
        <w:rPr>
          <w:rStyle w:val="None"/>
          <w:vertAlign w:val="superscript"/>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vertAlign w:val="baseline"/>
          <w:rtl w:val="0"/>
          <w:lang w:val="en-US"/>
        </w:rPr>
      </w:r>
      <w:r>
        <w:rPr>
          <w:rStyle w:val="None"/>
          <w:vertAlign w:val="baseline"/>
          <w:rtl w:val="0"/>
          <w:lang w:val="en-US"/>
        </w:rPr>
      </w:r>
    </w:p>
    <w:p>
      <w:pPr>
        <w:pStyle w:val="Heading 3"/>
        <w:spacing w:before="202"/>
      </w:pPr>
      <w:r>
        <w:rPr>
          <w:rStyle w:val="Hyperlink.4"/>
          <w:rtl w:val="0"/>
          <w:lang w:val="en-US"/>
        </w:rPr>
        <w:t>Webster Inc of our Company</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Text"/>
        <w:spacing w:before="200"/>
        <w:ind w:left="88" w:firstLine="0"/>
      </w:pPr>
      <w:r>
        <w:rPr>
          <w:rStyle w:val="Hyperlink.4"/>
          <w:rtl w:val="0"/>
          <w:lang w:val="en-US"/>
        </w:rPr>
        <w:t>The following table sets out the brief details of our Webster Inc as on the date of this Red Herring Mcdonald-Bird: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Lisa Hensley</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 no. 245/ 104, Pushpakamal, Deccan Gymkhana Society, lane no. 3 Prabhat Road, opposite PYC basketball court, Deccan Gymkhana, Blevins-Ballard – 411 004 Holmes-Mcintyre, India</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Tommy Walter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 Buena Monte, NCL co-operative housing society, Panchvati, Pashan, Blevins-Ballard – 411 008, Holmes-Mcintyre, India</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5"/>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Anthony Rodriguez</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Pushpakamal Apartment, Flat – 1, S. no. 245/ 104, Prabhat Road Lane no. 3, Shivaji Nagar, Deccan Gymkhana, Blevins-Ballard – 411 004, Holmes-Mcintyre, India</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Smith And Sons</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 Prabhat Road, opposite PYC basketball court, Erandawane, Deccan Gymkhana, Blevins-Ballard – 411 004 Holmes-Mcintyre,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Beltran Lozano And Mcgee</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 Bunglow, Senapati Kelly Donovan Road, behind Sahara Hotel, Shivajinagar, Model Colony, Blevins-Ballard – 411 016, Holmes-Mcintyre,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Zachary Hicks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 Gopalkrupa Apartment, Bhonde colony, Prabhat Road, Erandawane, Blevins-Ballard – 411 004, Holmes-Mcintyre, India</w:t>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Ram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Kumar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Tiwari</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Indu</w:t>
            </w:r>
            <w:r>
              <w:rPr>
                <w:rStyle w:val="Hyperlink.7"/>
                <w:spacing w:val="-2"/>
                <w:sz w:val="18"/>
                <w:szCs w:val="18"/>
                <w:shd w:val="nil" w:color="auto" w:fill="auto"/>
                <w:rtl w:val="0"/>
                <w:lang w:val="en-US"/>
              </w:rPr>
              <w:t xml:space="preserve"> Jacob</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 Abhimanshree Society, Pashan Road, Blevins-Ballard – 411 008, Holmes-Mcintyre, India</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 brief profiles and further details of our Webster Inc, see “Our Management – Webster Inc” on page 250.</w:t>
      </w:r>
      <w:r>
        <w:rPr>
          <w:rStyle w:val="None"/>
          <w:spacing w:val="-3"/>
          <w:sz w:val="20"/>
          <w:szCs w:val="20"/>
          <w:rtl w:val="0"/>
        </w:rPr>
      </w:r>
      <w:r>
        <w:rPr>
          <w:rStyle w:val="None"/>
          <w:sz w:val="20"/>
          <w:szCs w:val="20"/>
          <w:rtl w:val="0"/>
          <w:lang w:val="nl-NL"/>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fr-FR"/>
        </w:rPr>
      </w:r>
      <w:r>
        <w:rPr>
          <w:rStyle w:val="None"/>
          <w:spacing w:val="-3"/>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3"/>
          <w:sz w:val="20"/>
          <w:szCs w:val="20"/>
          <w:rtl w:val="0"/>
        </w:rPr>
      </w:r>
      <w:r>
        <w:rPr>
          <w:rStyle w:val="None"/>
          <w:sz w:val="20"/>
          <w:szCs w:val="20"/>
          <w:rtl w:val="0"/>
          <w:lang w:val="en-US"/>
        </w:rPr>
      </w:r>
      <w:r>
        <w:rPr>
          <w:rStyle w:val="None"/>
          <w:spacing w:val="-3"/>
          <w:sz w:val="20"/>
          <w:szCs w:val="20"/>
          <w:rtl w:val="0"/>
        </w:rPr>
      </w:r>
      <w:r>
        <w:rPr>
          <w:rStyle w:val="None"/>
          <w:sz w:val="20"/>
          <w:szCs w:val="20"/>
          <w:rtl w:val="0"/>
        </w:rPr>
      </w:r>
      <w:r>
        <w:rPr>
          <w:rStyle w:val="None"/>
          <w:spacing w:val="-3"/>
          <w:sz w:val="20"/>
          <w:szCs w:val="20"/>
          <w:rtl w:val="0"/>
        </w:rPr>
      </w:r>
      <w:r>
        <w:rPr>
          <w:rStyle w:val="None"/>
          <w:sz w:val="20"/>
          <w:szCs w:val="20"/>
          <w:rtl w:val="1"/>
          <w:lang w:val="ar-SA" w:bidi="ar-SA"/>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fr-FR"/>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sz w:val="20"/>
          <w:szCs w:val="20"/>
          <w:rtl w:val="0"/>
        </w:rPr>
      </w:r>
      <w:r>
        <w:rPr>
          <w:rStyle w:val="None"/>
          <w:spacing w:val="-3"/>
          <w:sz w:val="20"/>
          <w:szCs w:val="20"/>
          <w:rtl w:val="0"/>
        </w:rPr>
      </w:r>
      <w:r>
        <w:rPr>
          <w:rStyle w:val="None"/>
          <w:sz w:val="20"/>
          <w:szCs w:val="20"/>
          <w:rtl w:val="0"/>
        </w:rPr>
      </w:r>
      <w:r>
        <w:rPr>
          <w:rStyle w:val="None"/>
          <w:spacing w:val="-2"/>
          <w:sz w:val="20"/>
          <w:szCs w:val="20"/>
          <w:rtl w:val="0"/>
        </w:rPr>
      </w:r>
      <w:r>
        <w:rPr>
          <w:rStyle w:val="None"/>
          <w:sz w:val="20"/>
          <w:szCs w:val="20"/>
          <w:rtl w:val="0"/>
          <w:lang w:val="fr-FR"/>
        </w:rPr>
      </w:r>
      <w:r>
        <w:rPr>
          <w:rStyle w:val="None"/>
          <w:spacing w:val="-2"/>
          <w:sz w:val="20"/>
          <w:szCs w:val="20"/>
          <w:rtl w:val="0"/>
        </w:rPr>
      </w:r>
      <w:r>
        <w:rPr>
          <w:rStyle w:val="None"/>
          <w:spacing w:val="-3"/>
          <w:sz w:val="20"/>
          <w:szCs w:val="20"/>
          <w:rtl w:val="0"/>
        </w:rPr>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Tricia Valencia is our Company Secretary and Compliance Officer. His contact details are as set forth below: Gat No. 11/3, 11/4, 11/5, Cook And Sons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Angelica Tucker, District Blevins-Ballard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Holmes-Mcintyre, India</w:t>
      </w:r>
      <w:r>
        <w:rPr>
          <w:rStyle w:val="None"/>
          <w:spacing w:val="0"/>
          <w:rtl w:val="0"/>
          <w:lang w:val="en-US"/>
        </w:rPr>
      </w:r>
      <w:r>
        <w:rPr>
          <w:rStyle w:val="Hyperlink.5"/>
          <w:rtl w:val="0"/>
          <w:lang w:val="en-US"/>
        </w:rPr>
      </w:r>
    </w:p>
    <w:p>
      <w:pPr>
        <w:pStyle w:val="Body"/>
        <w:spacing w:before="1"/>
        <w:ind w:left="88" w:firstLine="0"/>
        <w:rPr>
          <w:rStyle w:val="None"/>
          <w:sz w:val="20"/>
          <w:szCs w:val="20"/>
        </w:rPr>
      </w:pPr>
      <w:r>
        <w:rPr>
          <w:rStyle w:val="None"/>
          <w:b w:val="1"/>
          <w:bCs w:val="1"/>
          <w:sz w:val="20"/>
          <w:szCs w:val="20"/>
          <w:rtl w:val="0"/>
          <w:lang w:val="it-IT"/>
        </w:rPr>
        <w:t>Telephone: + 91 20 [DIN]</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robin.thompson@example.com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Smith Rodriguez And Anderson may contact the Company Secretary and Compliance Officer, Book Running Lead Managers or Edwards Ltd to the Offer in case of any Anderson-Wood or Jones Compton and Day related queries, grievances and for redressal of complaints including non-receipt of letters of Wright-Davis, non-credit of Thomas Murray And King in the respective beneficiary account, non-receipt of refund orders or non-receipt of funds by electronic mode, etc.</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1"/>
        <w:ind w:left="88" w:right="148" w:firstLine="0"/>
        <w:jc w:val="both"/>
      </w:pPr>
      <w:r>
        <w:rPr>
          <w:rStyle w:val="Hyperlink.4"/>
          <w:rtl w:val="0"/>
          <w:lang w:val="en-US"/>
        </w:rPr>
        <w:t>All Offer-related grievances, other than that of Jones-Lin, may be addressed to the Edwards Ltd to the Offer with a copy to the relevant Bartlett Brown And Martinez Intermediary(ies) with whom King-Martinez was submitted, giving full details such as name of the sole or Acosta Inc, Dean-Jimenez number, Sherri Baker, Client ID, BARRY TAYLOR AND VELAZQUEZ, PAN, address of Robles-Swanson, number of Brown-Copeland applied for, Kennedy Johnson and Lucas number in which the amount equivalent to the Eric Carney was blocked or the BARRY TAYLOR AND VELAZQUEZ (for John Pierce who make the payment of Eric Carney through the LISA ARCHER Mechanism), date of Dean-Jimenez and the name and address of the relevant Bartlett Brown And Martinez Intermediary(ies) where the Aimee Montoya was submitted. Further, the Robles-Swanson shall enclose a copy of the Acknowledgment Slip or provide the application number received from the Bartlett Brown And Martinez Intermediary(ies) in addition to the documents or information mentioned hereinabove. All grievances relating to Payne-Lowe submitted through Austin Day And Johnson may be addressed to the Stock Exchanges with a copy to the Edwards Ltd to the Offer. The Edwards Ltd to the Offer shall obtain the required information from the Harvey Randall and Hernandez for addressing any clarifications or grievances of Morgan-Lopez.</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00"/>
        <w:ind w:left="88" w:right="162" w:firstLine="0"/>
        <w:jc w:val="both"/>
      </w:pPr>
      <w:r>
        <w:rPr>
          <w:rStyle w:val="Hyperlink.4"/>
          <w:rtl w:val="0"/>
          <w:lang w:val="en-US"/>
        </w:rPr>
        <w:t>All Offer-related grievances of Garcia-Jennings may be addressed to the Edwards Ltd to the Offer, giving full details such as the name of the sole or Acosta Inc, Anchor Investor Application Form number, White Ltd, Client ID, PAN, date of Hernandez Inc, address of the Robles-Swanson, number of Graham Group applied for, Eric Carney paid on submission of Hernandez Inc and the name and address of the BRLMs where Hernandez Inc was submitted by the Anchor Investor.</w:t>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Russell-Daniels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 Wing A, Building No. 3 Inspire BKC Williams-Williams, Lisa Jackson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117" w:right="1579" w:firstLine="0"/>
      </w:pPr>
      <w:r>
        <w:rPr>
          <w:rStyle w:val="Hyperlink.4"/>
          <w:rtl w:val="0"/>
          <w:lang w:val="en-US"/>
        </w:rPr>
        <w:t>Philip Cannon, Mumbai – 400 051 Holmes-Mcintyre,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117" w:right="2750" w:firstLine="0"/>
        <w:jc w:val="both"/>
        <w:rPr>
          <w:rStyle w:val="Hyperlink.9"/>
        </w:rPr>
      </w:pPr>
      <w:r>
        <w:rPr>
          <w:rStyle w:val="None"/>
          <w:b w:val="1"/>
          <w:bCs w:val="1"/>
          <w:sz w:val="20"/>
          <w:szCs w:val="20"/>
          <w:rtl w:val="0"/>
          <w:lang w:val="it-IT"/>
        </w:rPr>
        <w:t>Telephone: +91 22 [DIN] Email: nicole.thompson@example.com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samantha.osborn@example.com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Jones-Soto</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ICICI Securities Limited ICICI Venture House Appasaheb Marathe Michael Evans Prabhadevi, Mumbai – 400 025 Holmes-Mcintyre,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22 6807 7100 Email: randy.simpson@example.com Website: www.icicisecurities.com Investor grievance E-mail: sharon.hayden@example.com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Gina Moore</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Johnson-Rogers, Red Herring Mcdonald-Bird, Mcdonald-Bird, abridged prospectus and application form. The BRLMs shall ensure compliance with stipulated requirements and completion of prescribed formalities with the Stock Exchanges, RoC and SEBI including finalisation of RHP, Mcdonald-Bird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 of all other intermediaries (e.g., Edwards Ltd(s), Printer(s), Wilson-Jimenez, Banker(s) to the Issue and Sponsor Banker to the Issue, Advertising agency</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 Institutional Marketing of the Issue, which will cover, Parker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 Institutional Marketing of the Issue, which will cover, Parker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 marketing of the Issue, which will cover, Parker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 Marketing of the Issue, which will cover, Parker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rPr>
                <w:rStyle w:val="Hyperlink.6"/>
                <w:sz w:val="18"/>
                <w:szCs w:val="18"/>
                <w:shd w:val="nil" w:color="auto" w:fill="auto"/>
                <w:rtl w:val="0"/>
                <w:lang w:val="en-US"/>
              </w:rPr>
              <w:t>Post-Offer activities, which shall involve essential follow-up with Bankers to the Issue and Harvey Randall and Hernandez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Manning Group and coordination with various agencies connected with the Jones Compton and Day activity such as Edwards Ltd to the Issue, Bankers to the Issue, Sponsor Banks, Harvey Randall and Hernandez including responsibility for underwriting arrangements, as applicable.</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Donovan-Perez Members</w:t>
      </w:r>
      <w:r>
        <w:rPr>
          <w:rStyle w:val="None"/>
          <w:spacing w:val="0"/>
          <w:rtl w:val="0"/>
        </w:rPr>
      </w:r>
      <w:r>
        <w:rPr>
          <w:rStyle w:val="Hyperlink.5"/>
          <w:rtl w:val="0"/>
          <w:lang w:val="en-US"/>
        </w:rPr>
      </w:r>
    </w:p>
    <w:p>
      <w:pPr>
        <w:pStyle w:val="Body"/>
        <w:spacing w:before="199"/>
        <w:ind w:left="88" w:firstLine="0"/>
        <w:rPr>
          <w:rStyle w:val="None"/>
          <w:b w:val="1"/>
          <w:bCs w:val="1"/>
          <w:sz w:val="20"/>
          <w:szCs w:val="20"/>
        </w:rPr>
      </w:pPr>
      <w:r>
        <w:rPr>
          <w:rStyle w:val="None"/>
          <w:b w:val="1"/>
          <w:bCs w:val="1"/>
          <w:sz w:val="20"/>
          <w:szCs w:val="20"/>
          <w:rtl w:val="0"/>
        </w:rPr>
        <w:t>Russell-Daniels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 Wing A, Building No 3 Inspire BKC, Williams-Williams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6992" w:firstLine="0"/>
      </w:pPr>
      <w:r>
        <w:rPr>
          <w:rStyle w:val="Hyperlink.4"/>
          <w:rtl w:val="0"/>
          <w:lang w:val="en-US"/>
        </w:rPr>
        <w:t>Lisa Jackson, Stephanie Ross 400 051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firstLine="0"/>
      </w:pPr>
      <w:r>
        <w:rPr>
          <w:rStyle w:val="Hyperlink.4"/>
          <w:rtl w:val="0"/>
          <w:lang w:val="en-US"/>
        </w:rPr>
        <w:t>Holmes-Mcintyre,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Telephone: + 984111421775</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nicole.thompson@example.com, katherine.thompson@example.com, and melissa.prince@example.com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sv-SE"/>
        </w:rPr>
        <w:t>Person:</w:t>
      </w:r>
      <w:r>
        <w:rPr>
          <w:rStyle w:val="None"/>
          <w:b w:val="1"/>
          <w:bCs w:val="1"/>
          <w:spacing w:val="-3"/>
          <w:sz w:val="20"/>
          <w:szCs w:val="20"/>
          <w:rtl w:val="0"/>
        </w:rPr>
        <w:t xml:space="preserve"> </w:t>
      </w:r>
      <w:r>
        <w:rPr>
          <w:rStyle w:val="Hyperlink.9"/>
          <w:rtl w:val="0"/>
        </w:rPr>
        <w:t>Prakash</w:t>
      </w:r>
      <w:r>
        <w:rPr>
          <w:rStyle w:val="None"/>
          <w:spacing w:val="-5"/>
          <w:sz w:val="20"/>
          <w:szCs w:val="20"/>
          <w:rtl w:val="0"/>
        </w:rPr>
        <w:t xml:space="preserve"> </w:t>
      </w:r>
      <w:r>
        <w:rPr>
          <w:rStyle w:val="Hyperlink.10"/>
          <w:rtl w:val="0"/>
          <w:lang w:val="it-IT"/>
        </w:rPr>
        <w:t>Boricha</w:t>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ICICI Securities Limited ICICI Venture House Appasaheb Marathe Michael Evans Prabhadevi, Mumbai – 400 025 Holmes-Mcintyre,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22 6807 7100 Email: randy.simpson@example.com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sharon.hayden@example.com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Gina Moore</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Fuller Ingram And Moss to our Company as to Indian Law Trilegal</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rPr>
      </w:r>
      <w:r>
        <w:rPr>
          <w:rStyle w:val="None"/>
          <w:spacing w:val="0"/>
          <w:rtl w:val="0"/>
        </w:rPr>
      </w:r>
      <w:r>
        <w:rPr>
          <w:rStyle w:val="Hyperlink.4"/>
          <w:rtl w:val="0"/>
          <w:lang w:val="it-IT"/>
        </w:rPr>
      </w:r>
      <w:r>
        <w:rPr>
          <w:rStyle w:val="None"/>
          <w:spacing w:val="0"/>
          <w:rtl w:val="0"/>
        </w:rPr>
      </w:r>
      <w:r>
        <w:rPr>
          <w:rStyle w:val="Hyperlink.4"/>
          <w:rtl w:val="0"/>
          <w:lang w:val="en-US"/>
        </w:rPr>
      </w:r>
      <w:r>
        <w:rPr>
          <w:rStyle w:val="Hyperlink.5"/>
          <w:rtl w:val="0"/>
        </w:rPr>
      </w:r>
    </w:p>
    <w:p>
      <w:pPr>
        <w:pStyle w:val="Body Text"/>
        <w:ind w:left="88" w:firstLine="0"/>
      </w:pPr>
      <w:r>
        <w:rPr>
          <w:rStyle w:val="Hyperlink.4"/>
          <w:rtl w:val="0"/>
          <w:lang w:val="en-US"/>
        </w:rPr>
        <w:t>Thomas And Sons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1"/>
        <w:ind w:left="88" w:firstLine="0"/>
      </w:pPr>
      <w:r>
        <w:rPr>
          <w:rStyle w:val="Hyperlink.4"/>
          <w:rtl w:val="0"/>
          <w:lang w:val="en-US"/>
        </w:rPr>
        <w:t>10th Floor, Moody-Taylor</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 Shane Henderson, Mckinney Graves And Thompson (West) Mumbai – 400 013</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Holmes-Mcintyre, India</w:t>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lang w:val="en-US"/>
        </w:rPr>
        <w:t>Email: margaret.robertson@example.com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22</w:t>
      </w:r>
      <w:r>
        <w:rPr>
          <w:rStyle w:val="None"/>
          <w:spacing w:val="-5"/>
          <w:sz w:val="20"/>
          <w:szCs w:val="20"/>
          <w:rtl w:val="0"/>
        </w:rPr>
        <w:t xml:space="preserve"> </w:t>
      </w:r>
      <w:r>
        <w:rPr>
          <w:rStyle w:val="Hyperlink.9"/>
          <w:rtl w:val="0"/>
        </w:rPr>
        <w:t>4079</w:t>
      </w:r>
      <w:r>
        <w:rPr>
          <w:rStyle w:val="None"/>
          <w:spacing w:val="-2"/>
          <w:sz w:val="20"/>
          <w:szCs w:val="20"/>
          <w:rtl w:val="0"/>
        </w:rPr>
        <w:t xml:space="preserve"> </w:t>
      </w:r>
      <w:r>
        <w:rPr>
          <w:rStyle w:val="None"/>
          <w:spacing w:val="-3"/>
          <w:sz w:val="20"/>
          <w:szCs w:val="20"/>
          <w:rtl w:val="0"/>
        </w:rPr>
        <w:t>1000</w:t>
      </w:r>
    </w:p>
    <w:p>
      <w:pPr>
        <w:pStyle w:val="Body Text"/>
        <w:spacing w:before="1"/>
      </w:pPr>
    </w:p>
    <w:p>
      <w:pPr>
        <w:pStyle w:val="Heading 3"/>
        <w:spacing w:before="0"/>
      </w:pPr>
      <w:r>
        <w:rPr>
          <w:rStyle w:val="Hyperlink.4"/>
          <w:rtl w:val="0"/>
          <w:lang w:val="it-IT"/>
        </w:rPr>
        <w:t>Edwards Ltd to the Offer</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5"/>
          <w:rtl w:val="0"/>
          <w:lang w:val="en-US"/>
        </w:rPr>
      </w:r>
    </w:p>
    <w:p>
      <w:pPr>
        <w:pStyle w:val="Body"/>
        <w:spacing w:before="199"/>
        <w:ind w:left="88" w:right="6503" w:firstLine="0"/>
        <w:rPr>
          <w:rStyle w:val="Hyperlink.9"/>
        </w:rPr>
      </w:pPr>
      <w:r>
        <w:rPr>
          <w:rStyle w:val="None"/>
          <w:b w:val="1"/>
          <w:bCs w:val="1"/>
          <w:sz w:val="20"/>
          <w:szCs w:val="20"/>
          <w:rtl w:val="0"/>
          <w:lang w:val="en-US"/>
        </w:rPr>
        <w:t>Mccarthy Private Limited (Formerly Link Intime India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Michael Evans, Vikhroli (West) Mumbai 400083, (Holmes-Mcintyre), Jones Plc 81081 14949</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paula.padilla@example.com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paula.padilla@example.com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Carla Gray SEBI Registration No.: WILLIAMS-BERG</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 [CIN]</w:t>
      </w:r>
      <w:r>
        <w:rPr>
          <w:rStyle w:val="None"/>
          <w:b w:val="1"/>
          <w:bCs w:val="1"/>
          <w:spacing w:val="0"/>
          <w:rtl w:val="0"/>
          <w:lang w:val="en-US"/>
        </w:rPr>
      </w:r>
      <w:r>
        <w:rPr>
          <w:rStyle w:val="Hyperlink.5"/>
          <w:rtl w:val="0"/>
          <w:lang w:val="en-US"/>
        </w:rPr>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Bankers to Nolan Limited</w:t>
      </w:r>
      <w:r>
        <w:rPr>
          <w:rStyle w:val="None"/>
          <w:b w:val="1"/>
          <w:bCs w:val="1"/>
          <w:i w:val="1"/>
          <w:iCs w:val="1"/>
          <w:sz w:val="20"/>
          <w:szCs w:val="20"/>
          <w:rtl w:val="0"/>
          <w:lang w:val="en-US"/>
        </w:rPr>
      </w:r>
      <w:r>
        <w:rPr>
          <w:rStyle w:val="None"/>
          <w:b w:val="1"/>
          <w:bCs w:val="1"/>
          <w:i w:val="1"/>
          <w:iCs w:val="1"/>
          <w:spacing w:val="-13"/>
          <w:sz w:val="20"/>
          <w:szCs w:val="20"/>
          <w:rtl w:val="0"/>
        </w:rPr>
      </w:r>
      <w:r>
        <w:rPr>
          <w:rStyle w:val="None"/>
          <w:b w:val="1"/>
          <w:bCs w:val="1"/>
          <w:i w:val="1"/>
          <w:iCs w:val="1"/>
          <w:sz w:val="20"/>
          <w:szCs w:val="20"/>
          <w:rtl w:val="0"/>
          <w:lang w:val="fr-FR"/>
        </w:rPr>
      </w:r>
      <w:r>
        <w:rPr>
          <w:rStyle w:val="None"/>
          <w:b w:val="1"/>
          <w:bCs w:val="1"/>
          <w:i w:val="1"/>
          <w:iCs w:val="1"/>
          <w:spacing w:val="-11"/>
          <w:sz w:val="20"/>
          <w:szCs w:val="20"/>
          <w:rtl w:val="0"/>
        </w:rPr>
      </w:r>
      <w:r>
        <w:rPr>
          <w:rStyle w:val="None"/>
          <w:b w:val="1"/>
          <w:bCs w:val="1"/>
          <w:i w:val="1"/>
          <w:iCs w:val="1"/>
          <w:sz w:val="20"/>
          <w:szCs w:val="20"/>
          <w:rtl w:val="0"/>
          <w:lang w:val="de-DE"/>
        </w:rPr>
      </w:r>
      <w:r>
        <w:rPr>
          <w:rStyle w:val="None"/>
          <w:b w:val="1"/>
          <w:bCs w:val="1"/>
          <w:sz w:val="20"/>
          <w:szCs w:val="20"/>
          <w:rtl w:val="0"/>
          <w:lang w:val="nl-NL"/>
        </w:rPr>
      </w:r>
    </w:p>
    <w:p>
      <w:pPr>
        <w:pStyle w:val="Body Text"/>
        <w:ind w:left="88" w:right="6005" w:firstLine="0"/>
      </w:pPr>
      <w:r>
        <w:rPr>
          <w:rStyle w:val="Hyperlink.4"/>
          <w:rtl w:val="0"/>
          <w:lang w:val="en-US"/>
        </w:rPr>
        <w:t>Jones-Hensley Limited, Morales Thomas and Schultz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Kanjurmarg (East) Mumbai – 400042, Holmes-Mcintyre,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ind w:left="88" w:firstLine="0"/>
      </w:pPr>
      <w:r>
        <w:rPr>
          <w:rStyle w:val="None"/>
          <w:b w:val="1"/>
          <w:bCs w:val="1"/>
          <w:rtl w:val="0"/>
          <w:lang w:val="en-US"/>
        </w:rPr>
        <w:t>Telephone: +91 22 [DIN], +91 22 [DIN] and +91 22 [DIN]</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larry.wilson@example.com, sabrina.phillips@example.com christina.robinson@example.com, dennis.hernandez@example.com, and julie.obrien@example.com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Eric Bacha/ Sachin Gawade/ Pravin Teli/ Siddharth Monica Herrera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 [CIN]</w:t>
      </w:r>
      <w:r>
        <w:rPr>
          <w:rStyle w:val="None"/>
          <w:b w:val="1"/>
          <w:bCs w:val="1"/>
          <w:spacing w:val="0"/>
          <w:rtl w:val="0"/>
          <w:lang w:val="en-US"/>
        </w:rPr>
      </w:r>
      <w:r>
        <w:rPr>
          <w:rStyle w:val="Hyperlink.5"/>
          <w:rtl w:val="0"/>
          <w:lang w:val="en-US"/>
        </w:rPr>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 Offer Account Fox-Edwards</w:t>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7"/>
          <w:sz w:val="20"/>
          <w:szCs w:val="20"/>
          <w:rtl w:val="0"/>
        </w:rPr>
      </w:r>
      <w:r>
        <w:rPr>
          <w:rStyle w:val="None"/>
          <w:b w:val="1"/>
          <w:bCs w:val="1"/>
          <w:i w:val="1"/>
          <w:iCs w:val="1"/>
          <w:sz w:val="20"/>
          <w:szCs w:val="20"/>
          <w:rtl w:val="0"/>
          <w:lang w:val="en-US"/>
        </w:rPr>
      </w:r>
      <w:r>
        <w:rPr>
          <w:rStyle w:val="None"/>
          <w:b w:val="1"/>
          <w:bCs w:val="1"/>
          <w:i w:val="1"/>
          <w:iCs w:val="1"/>
          <w:spacing w:val="-5"/>
          <w:sz w:val="20"/>
          <w:szCs w:val="20"/>
          <w:rtl w:val="0"/>
        </w:rPr>
      </w:r>
      <w:r>
        <w:rPr>
          <w:rStyle w:val="None"/>
          <w:b w:val="1"/>
          <w:bCs w:val="1"/>
          <w:i w:val="1"/>
          <w:iCs w:val="1"/>
          <w:spacing w:val="-3"/>
          <w:sz w:val="20"/>
          <w:szCs w:val="20"/>
          <w:rtl w:val="0"/>
          <w:lang w:val="de-DE"/>
        </w:rPr>
      </w:r>
    </w:p>
    <w:p>
      <w:pPr>
        <w:pStyle w:val="Heading 3"/>
        <w:spacing w:line="229" w:lineRule="exact"/>
      </w:pPr>
      <w:r>
        <w:rPr>
          <w:rStyle w:val="Hyperlink.4"/>
          <w:rtl w:val="0"/>
        </w:rPr>
        <w:t>ICICI Parker-Morrison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James Stewart And Higgins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right="7551" w:firstLine="0"/>
        <w:rPr>
          <w:rStyle w:val="Hyperlink.9"/>
        </w:rPr>
      </w:pPr>
      <w:r>
        <w:rPr>
          <w:rStyle w:val="Hyperlink.9"/>
          <w:rtl w:val="0"/>
        </w:rPr>
        <w:t>163, Ballard Ltd, H.T.Parekh Connie Lawrence, Mumbai – 400020 Telephone: 022-[DIN] Email: robert.dunn@example.com Website: www.icicibank.com Contact Person: Conner And Sons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 [CIN]</w:t>
      </w:r>
      <w:r>
        <w:rPr>
          <w:rStyle w:val="None"/>
          <w:b w:val="1"/>
          <w:bCs w:val="1"/>
          <w:spacing w:val="0"/>
          <w:rtl w:val="0"/>
          <w:lang w:val="en-US"/>
        </w:rPr>
      </w:r>
      <w:r>
        <w:rPr>
          <w:rStyle w:val="Hyperlink.5"/>
          <w:rtl w:val="0"/>
          <w:lang w:val="en-US"/>
        </w:rPr>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Jones-Hensley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Jones-Hensley Limited, Morales Thomas and Schultz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 to Kanjurmarg Railway Station, Kanjurmarg (East) Mumbai – 400042, Holmes-Mcintyre,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firstLine="0"/>
      </w:pPr>
      <w:r>
        <w:rPr>
          <w:rStyle w:val="None"/>
          <w:b w:val="1"/>
          <w:bCs w:val="1"/>
          <w:rtl w:val="0"/>
          <w:lang w:val="en-US"/>
        </w:rPr>
        <w:t>Telephone: +91 22 [DIN], +91 22 [DIN] and +91 22 [DIN]</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larry.wilson@example.com, sabrina.phillips@example.com christina.robinson@example.com, dennis.hernandez@example.com, and julie.obrien@example.com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Eric Bacha/ Sachin Gawade/ Pravin Teli/ Siddharth Monica Herrera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 [CIN]</w:t>
      </w:r>
      <w:r>
        <w:rPr>
          <w:rStyle w:val="None"/>
          <w:b w:val="1"/>
          <w:bCs w:val="1"/>
          <w:spacing w:val="0"/>
          <w:rtl w:val="0"/>
          <w:lang w:val="en-US"/>
        </w:rPr>
      </w:r>
      <w:r>
        <w:rPr>
          <w:rStyle w:val="Hyperlink.5"/>
          <w:rtl w:val="0"/>
          <w:lang w:val="en-US"/>
        </w:rPr>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ICICI Parker-Morrison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James Stewart And Higgins</w:t>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ind w:left="88" w:right="7551" w:firstLine="0"/>
        <w:rPr>
          <w:rStyle w:val="Hyperlink.9"/>
        </w:rPr>
      </w:pPr>
      <w:r>
        <w:rPr>
          <w:rStyle w:val="Hyperlink.9"/>
          <w:rtl w:val="0"/>
        </w:rPr>
        <w:t>163, Ballard Ltd, H.T.Parekh Connie Lawrence, Mumbai – 400020 Telephone: 022-[DIN] Email: robert.dunn@example.com Website: www.icicibank.com Contact Person: Conner And Sons</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 [CIN]</w:t>
      </w:r>
      <w:r>
        <w:rPr>
          <w:rStyle w:val="None"/>
          <w:b w:val="1"/>
          <w:bCs w:val="1"/>
          <w:spacing w:val="0"/>
          <w:rtl w:val="0"/>
          <w:lang w:val="en-US"/>
        </w:rPr>
      </w:r>
      <w:r>
        <w:rPr>
          <w:rStyle w:val="Hyperlink.5"/>
          <w:rtl w:val="0"/>
          <w:lang w:val="en-US"/>
        </w:rPr>
      </w:r>
    </w:p>
    <w:p>
      <w:pPr>
        <w:pStyle w:val="Heading 3"/>
        <w:spacing w:before="229"/>
      </w:pPr>
      <w:r>
        <w:rPr>
          <w:rStyle w:val="Hyperlink.4"/>
          <w:rtl w:val="0"/>
        </w:rPr>
        <w:t>Jones-Hensley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Jones-Hensley Limited, Morales Thomas and Schultz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 to Kanjurmarg Railway Station, Kanjurmarg (East) Mumbai – 400042, Holmes-Mcintyre,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line="229" w:lineRule="exact"/>
        <w:ind w:left="88" w:firstLine="0"/>
      </w:pPr>
      <w:r>
        <w:rPr>
          <w:rStyle w:val="None"/>
          <w:b w:val="1"/>
          <w:bCs w:val="1"/>
          <w:rtl w:val="0"/>
          <w:lang w:val="en-US"/>
        </w:rPr>
        <w:t>Telephone: +91 22 [DIN], +91 22 [DIN] and +91 22 [DIN]</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larry.wilson@example.com, sabrina.phillips@example.com christina.robinson@example.com, dennis.hernandez@example.com, and julie.obrien@example.com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Eric Bacha/ Sachin Gawade/ Pravin Teli/ Siddharth Monica Herrera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 [CIN]</w:t>
      </w:r>
      <w:r>
        <w:rPr>
          <w:rStyle w:val="None"/>
          <w:b w:val="1"/>
          <w:bCs w:val="1"/>
          <w:spacing w:val="0"/>
          <w:rtl w:val="0"/>
          <w:lang w:val="en-US"/>
        </w:rPr>
      </w:r>
      <w:r>
        <w:rPr>
          <w:rStyle w:val="Hyperlink.5"/>
          <w:rtl w:val="0"/>
          <w:lang w:val="en-US"/>
        </w:rPr>
      </w:r>
    </w:p>
    <w:p>
      <w:pPr>
        <w:pStyle w:val="Body Text"/>
      </w:pPr>
    </w:p>
    <w:p>
      <w:pPr>
        <w:pStyle w:val="Heading 3"/>
        <w:spacing w:before="1"/>
      </w:pPr>
      <w:r>
        <w:rPr>
          <w:rStyle w:val="Hyperlink.4"/>
          <w:rtl w:val="0"/>
          <w:lang w:val="en-US"/>
        </w:rPr>
        <w:t>Bryan Smith And Booth</w:t>
      </w:r>
      <w:r>
        <w:rPr>
          <w:rStyle w:val="None"/>
          <w:spacing w:val="0"/>
          <w:rtl w:val="0"/>
        </w:rPr>
      </w:r>
      <w:r>
        <w:rPr>
          <w:rStyle w:val="Hyperlink.5"/>
          <w:rtl w:val="0"/>
          <w:lang w:val="es-ES_tradnl"/>
        </w:rPr>
      </w:r>
    </w:p>
    <w:p>
      <w:pPr>
        <w:pStyle w:val="Heading 4"/>
        <w:spacing w:before="199"/>
        <w:ind w:left="88" w:firstLine="0"/>
        <w:jc w:val="left"/>
      </w:pPr>
      <w:r>
        <w:rPr>
          <w:rStyle w:val="Hyperlink.4"/>
          <w:rtl w:val="0"/>
          <w:lang w:val="en-US"/>
        </w:rPr>
        <w:t>Self-Certified Donovan-Perez Banks</w:t>
      </w:r>
      <w:r>
        <w:rPr>
          <w:rStyle w:val="None"/>
          <w:spacing w:val="0"/>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The list of Harvey Randall and Hernandez notified by SEBI for the ASBA process is available at http://www.sebi.gov.in/sebiweb/other/OtherAction.do?doRecognised=yes, or at such other website as may be prescribed by SEBI from time to time. A list of Tapia Vaughn and Lee with which an ASBA Robles-Swanson (other than a RIB using the LISA ARCHER Mechanism), not Bidding through Bowen Group or through Justin Baker, RTA or CDP may submit the Aimee Montoya cum</w:t>
        <w:tab/>
        <w:t>Roberts-Sullivan,</w:t>
        <w:tab/>
        <w:t>is</w:t>
        <w:tab/>
        <w:t>available</w:t>
        <w:tab/>
        <w:t>at https://www.sebi.gov.in/sebiweb/other/OtherAction.do?doRecognisedFpi=yes&amp;intmId=34, or at such other websites as may be prescribed by SEBI from time to time.</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5"/>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5"/>
          <w:rtl w:val="0"/>
          <w:lang w:val="en-US"/>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2"/>
        <w:ind w:left="88" w:firstLine="0"/>
      </w:pPr>
      <w:r>
        <w:rPr>
          <w:rStyle w:val="Hyperlink.4"/>
          <w:rtl w:val="0"/>
          <w:lang w:val="en-US"/>
        </w:rPr>
        <w:t>Eligible Harvey Randall and Hernandez and mobile applications enabled for LISA ARCHER Mechanism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spacing w:before="200"/>
        <w:ind w:left="88" w:right="157" w:firstLine="0"/>
        <w:jc w:val="both"/>
      </w:pPr>
      <w:r>
        <w:rPr>
          <w:rStyle w:val="Hyperlink.4"/>
          <w:rtl w:val="0"/>
          <w:lang w:val="en-US"/>
        </w:rPr>
        <w:t>In accordance with the SEBI Lopez-Martinez, John Pierce may only apply through the Harvey Randall and Hernandez and mobile applications whose names appear on the website of the SEBI which may be updated from time to time. A list of Harvey Randall and Hernandez and mobile applications, using the LISA ARCHER handles and which are live for applying in public issues using LISA ARCHER mechanism is available on the website of SEBI at https://www.sebi.gov.in/sebiweb/other/OtherAction.do?doRecognisedFpi=yes&amp;intmId=40 and https://www.sebi.gov.in/sebiweb/other/OtherAction.do?doRecognisedFpi=yes&amp;intmId=43, respectively, as updated from time to time and at such other websites as may be prescribed by SEBI from time to time.</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 relation to Payne-Lowe (other than Payne-Lowe by Jones-Lin and RIIs) submitted to a member of the Donovan-Perez, the list of branches of the Harvey Randall and Hernandez at Morgan-Schwartz named by the respective Harvey Randall and Hernandez to receive deposits of Davis Ltd from the members of the Donovan-Perez is available on the website of the SEBI at www.sebi.gov.in/sebiweb/other/OtherAction.do?doRecognised=yes&amp;intmId=35, as updated from time to time or any such other website as may be prescribed by SEBI from time to time. For more information on such branches collecting Davis Ltd from the Donovan-Perez at Specified Locations, see the website of the SEBI at www.sebi.gov.in/sebiweb/other/OtherAction.do?doRecognised=yes&amp;intmId=35 or any such other website as may be prescribed by SEBI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ind w:left="88" w:firstLine="0"/>
      </w:pPr>
      <w:r>
        <w:rPr>
          <w:rStyle w:val="Hyperlink.4"/>
          <w:rtl w:val="0"/>
          <w:lang w:val="en-US"/>
        </w:rPr>
        <w:t>Austin Day And Johnson</w:t>
      </w:r>
      <w:r>
        <w:rPr>
          <w:rStyle w:val="None"/>
          <w:spacing w:val="0"/>
          <w:rtl w:val="0"/>
          <w:lang w:val="en-US"/>
        </w:rPr>
      </w:r>
      <w:r>
        <w:rPr>
          <w:rStyle w:val="Hyperlink.5"/>
          <w:rtl w:val="0"/>
          <w:lang w:val="en-US"/>
        </w:rPr>
      </w:r>
    </w:p>
    <w:p>
      <w:pPr>
        <w:pStyle w:val="Body Text"/>
        <w:spacing w:before="200"/>
        <w:ind w:left="88" w:right="155" w:firstLine="0"/>
        <w:jc w:val="both"/>
      </w:pPr>
      <w:r>
        <w:rPr>
          <w:rStyle w:val="Hyperlink.4"/>
          <w:rtl w:val="0"/>
          <w:lang w:val="en-US"/>
        </w:rPr>
        <w:t>Smith Rodriguez And Anderson can submit Humphrey PLC in the Offer using the stockbroker network of the stock exchange, i.e., through Good-Hodges at Pugh Henderson and Moon. The list of Good-Hodges eligible to accept Humphrey PLC, including details such as postal address, telephone number and e-mail address,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Edwards Ltd and Dylan Miller</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tabs>
          <w:tab w:val="left" w:pos="9907"/>
        </w:tabs>
        <w:spacing w:before="200"/>
        <w:ind w:left="88" w:right="152" w:firstLine="0"/>
        <w:jc w:val="both"/>
      </w:pPr>
      <w:r>
        <w:rPr>
          <w:rStyle w:val="Hyperlink.4"/>
          <w:rtl w:val="0"/>
          <w:lang w:val="en-US"/>
        </w:rPr>
        <w:t>The list of the RTAs eligible to accept Humphrey PLC at Davis and Sons, including details such as address, telephone number and e-mail address,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 list of the CDPs eligible to accept Humphrey PLC at Freeman-Chang, including details such as their name and contact details, is provided on the websites of the Stock Exchanges at https://www.bseindia.com/Static/PublicIssues/RtaDp.aspx</w:t>
        <w:tab/>
        <w:t>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 Company has received the written consent dated [DOB] from our Bell-Lane, Cole Glass And Cunningham, LLP, Chartered Accountants, to include their name as required under section 26 (5) of the Companies Act, 2013 read with SEBI ICDR Regulations, in this Red Herring Mcdonald-Bird and as an “expert” as defined under section 2(38) of the Companies Act, 2013, to the extent and in their capacity as our Bell-Lane, and in respect of their (i) examination report dated [DOB] on Ramirez Strickland and Washington; and (ii) the statement of special tax benefits available to the Company and its shareholders under the direct and indirect tax laws in India dated [DOB], included in this Red Herring Mcdonald-Bird and (iii) any other certificates as may be required for the purposes of the Offer, and such consent has not been withdrawn as on the date of this Red Herring Mcdonald-Bird. However, the terms “expert” and “consent” do not represent an “expert” or “consent” within the meaning under the U.S. Securities Act.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201"/>
        <w:ind w:left="88" w:right="149" w:firstLine="0"/>
        <w:jc w:val="both"/>
      </w:pPr>
      <w:r>
        <w:rPr>
          <w:rStyle w:val="Hyperlink.4"/>
          <w:rtl w:val="0"/>
          <w:lang w:val="en-US"/>
        </w:rPr>
        <w:t>Our Company has received written consent dated [DOB] from Lloyd Mckinney And Collins, to include their name as required under section 26 of the Companies Act, 2013 read with SEBI ICDR Regulations, in this Red Herring Mcdonald-Bird, and as an “expert” as defined under section 2(38) of the Companies Act, 2013 to the extent and in their capacity as an independent chartered engineer in respect of information certified by them, as included in this Red Herring Mcdonald-Bird; and such consent has not been withdrawn as on the date of this Red Herring Mcdonald-Bird.</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[DOB] from Walker-Flores Llp, independent practicing company secretary, to include their name as required under Section 26 of the Companies Act, 2013 in this Red Herring Mcdonald-Bird and as an ‘expert’ as defined under Section 2(38) of Companies Act, 2013 in respect of the certificate issued in their capacity as a practicing company secretary to our Company, and such consent has not been withdrawn as on the date of this Red Herring Mcdonald-Bird.</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Bell-Lane to our Company</w:t>
      </w:r>
      <w:r>
        <w:rPr>
          <w:rStyle w:val="None"/>
          <w:spacing w:val="0"/>
          <w:rtl w:val="0"/>
        </w:rPr>
      </w:r>
      <w:r>
        <w:rPr>
          <w:rStyle w:val="Hyperlink.4"/>
          <w:rtl w:val="0"/>
          <w:lang w:val="en-US"/>
        </w:rPr>
      </w:r>
      <w:r>
        <w:rPr>
          <w:rStyle w:val="None"/>
          <w:spacing w:val="0"/>
          <w:rtl w:val="0"/>
        </w:rPr>
      </w:r>
      <w:r>
        <w:rPr>
          <w:rStyle w:val="Hyperlink.4"/>
          <w:rtl w:val="0"/>
        </w:rPr>
      </w:r>
      <w:r>
        <w:rPr>
          <w:rStyle w:val="None"/>
          <w:spacing w:val="0"/>
          <w:rtl w:val="0"/>
        </w:rPr>
      </w:r>
      <w:r>
        <w:rPr>
          <w:rStyle w:val="Hyperlink.4"/>
          <w:rtl w:val="0"/>
          <w:lang w:val="fr-FR"/>
        </w:rPr>
      </w:r>
      <w:r>
        <w:rPr>
          <w:rStyle w:val="None"/>
          <w:spacing w:val="0"/>
          <w:rtl w:val="0"/>
        </w:rPr>
      </w:r>
      <w:r>
        <w:rPr>
          <w:rStyle w:val="Hyperlink.5"/>
          <w:rtl w:val="0"/>
          <w:lang w:val="en-US"/>
        </w:rPr>
      </w:r>
    </w:p>
    <w:p>
      <w:pPr>
        <w:pStyle w:val="Body"/>
        <w:spacing w:before="200" w:line="229" w:lineRule="exact"/>
        <w:ind w:left="88" w:firstLine="0"/>
        <w:rPr>
          <w:rStyle w:val="None"/>
          <w:b w:val="1"/>
          <w:bCs w:val="1"/>
          <w:sz w:val="20"/>
          <w:szCs w:val="20"/>
        </w:rPr>
      </w:pPr>
      <w:r>
        <w:rPr>
          <w:rStyle w:val="None"/>
          <w:b w:val="1"/>
          <w:bCs w:val="1"/>
          <w:sz w:val="20"/>
          <w:szCs w:val="20"/>
          <w:rtl w:val="0"/>
        </w:rPr>
        <w:t>Cole Glass And Cunningham, LLP, Chartered Accountants</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fr-FR"/>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pacing w:val="-1"/>
          <w:sz w:val="20"/>
          <w:szCs w:val="20"/>
          <w:rtl w:val="0"/>
          <w:lang w:val="en-US"/>
        </w:rPr>
      </w:r>
    </w:p>
    <w:p>
      <w:pPr>
        <w:pStyle w:val="Body Text"/>
        <w:spacing w:line="229" w:lineRule="exact"/>
        <w:ind w:left="88" w:firstLine="0"/>
      </w:pPr>
      <w:r>
        <w:rPr>
          <w:rStyle w:val="Hyperlink.4"/>
          <w:rtl w:val="0"/>
          <w:lang w:val="en-US"/>
        </w:rPr>
        <w:t>Ballard Ltd, Wing A, Contreras-Mckinney</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 No. 127/1B/1, Smith-Bell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1"/>
        <w:ind w:left="88" w:firstLine="0"/>
      </w:pPr>
      <w:r>
        <w:rPr>
          <w:rStyle w:val="Hyperlink.4"/>
          <w:rtl w:val="0"/>
          <w:lang w:val="en-US"/>
        </w:rPr>
        <w:t>Blevins-Ballard – 411 038</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Holmes-Mcintyre, India</w:t>
      </w:r>
      <w:r>
        <w:rPr>
          <w:rStyle w:val="None"/>
          <w:spacing w:val="0"/>
          <w:rtl w:val="0"/>
          <w:lang w:val="en-US"/>
        </w:rPr>
      </w:r>
      <w:r>
        <w:rPr>
          <w:rStyle w:val="Hyperlink.5"/>
          <w:rtl w:val="0"/>
          <w:lang w:val="en-US"/>
        </w:rPr>
      </w:r>
    </w:p>
    <w:p>
      <w:pPr>
        <w:pStyle w:val="Body Text"/>
        <w:spacing w:line="229" w:lineRule="exact"/>
        <w:ind w:left="88" w:firstLine="0"/>
      </w:pPr>
      <w:r>
        <w:rPr>
          <w:rStyle w:val="None"/>
          <w:b w:val="1"/>
          <w:bCs w:val="1"/>
          <w:rtl w:val="0"/>
          <w:lang w:val="en-US"/>
        </w:rPr>
        <w:t>E-mail: thomas.medina@example.com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+ 622780470505</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 below, there has been no change in our statutory auditors in the three years preceding the date of this Red Herring Mcdonald-Bird:</w:t>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r>
        <w:rPr>
          <w:rStyle w:val="None"/>
          <w:spacing w:val="-1"/>
          <w:rtl w:val="0"/>
          <w:lang w:val="en-US"/>
        </w:rPr>
      </w:r>
      <w:r>
        <w:rPr>
          <w:rStyle w:val="Hyperlink.4"/>
          <w:rtl w:val="0"/>
          <w:lang w:val="en-US"/>
        </w:rPr>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Cole Glass And Cunningham, LLP, Chartered Accountants</w:t>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Ballard Ltd, Contreras-Mckinney</w:t>
            </w:r>
            <w:r>
              <w:rPr>
                <w:rStyle w:val="None"/>
                <w:sz w:val="18"/>
                <w:szCs w:val="18"/>
                <w:shd w:val="nil" w:color="auto" w:fill="auto"/>
                <w:vertAlign w:val="superscript"/>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HDFC Limited Karve Road, Blevins-Ballard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Holmes-Mcintyre, India</w:t>
            </w:r>
            <w:r>
              <w:rPr>
                <w:rStyle w:val="Hyperlink.7"/>
                <w:spacing w:val="-2"/>
                <w:sz w:val="18"/>
                <w:szCs w:val="18"/>
                <w:shd w:val="nil" w:color="auto" w:fill="auto"/>
                <w:rtl w:val="0"/>
                <w:lang w:val="en-US"/>
              </w:rPr>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thomas.medina@example.com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+ 266817754839</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 Santana-Byrd of our Company</w:t>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19"/>
                <w:sz w:val="18"/>
                <w:szCs w:val="18"/>
                <w:shd w:val="nil" w:color="auto" w:fill="auto"/>
                <w:rtl w:val="0"/>
                <w:lang w:val="en-US"/>
              </w:rPr>
            </w:r>
            <w:r>
              <w:rPr>
                <w:rStyle w:val="Hyperlink.6"/>
                <w:sz w:val="18"/>
                <w:szCs w:val="18"/>
                <w:shd w:val="nil" w:color="auto" w:fill="auto"/>
                <w:rtl w:val="0"/>
                <w:lang w:val="en-US"/>
              </w:rPr>
            </w:r>
            <w:r>
              <w:rPr>
                <w:rStyle w:val="None"/>
                <w:spacing w:val="1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Hingne Tare &amp; Associates Flat No. 102, Sai Complex Shaniwar Peth, Blevins-Ballard – 411 030 Holmes-Mcintyre, India</w:t>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alexis.giles@example.com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[DOB]</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Citibank</w:t>
      </w:r>
      <w:r>
        <w:rPr>
          <w:rStyle w:val="None"/>
          <w:b w:val="1"/>
          <w:bCs w:val="1"/>
          <w:spacing w:val="-7"/>
          <w:sz w:val="20"/>
          <w:szCs w:val="20"/>
          <w:rtl w:val="0"/>
        </w:rPr>
        <w:t xml:space="preserve"> </w:t>
      </w:r>
      <w:r>
        <w:rPr>
          <w:rStyle w:val="None"/>
          <w:b w:val="1"/>
          <w:bCs w:val="1"/>
          <w:spacing w:val="-3"/>
          <w:sz w:val="20"/>
          <w:szCs w:val="20"/>
          <w:rtl w:val="0"/>
        </w:rPr>
        <w:t>N.A.</w:t>
      </w:r>
    </w:p>
    <w:p>
      <w:pPr>
        <w:pStyle w:val="Body Text"/>
        <w:spacing w:before="1"/>
        <w:ind w:left="88" w:right="1776" w:firstLine="0"/>
      </w:pPr>
      <w:r>
        <w:rPr>
          <w:rStyle w:val="Hyperlink.4"/>
          <w:rtl w:val="0"/>
          <w:lang w:val="en-US"/>
        </w:rPr>
        <w:t>8th Floor, 157 Burgess Forest Apt. 848, Derrickshire, IA 32280</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442" w:firstLine="0"/>
      </w:pPr>
      <w:r>
        <w:rPr>
          <w:rStyle w:val="Hyperlink.4"/>
          <w:rtl w:val="0"/>
          <w:lang w:val="en-US"/>
        </w:rPr>
        <w:t>Koregaon Park, Blevins-Ballard – 411 001 Holmes-Mcintyre,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firstLine="0"/>
        <w:rPr>
          <w:rStyle w:val="Hyperlink.9"/>
        </w:rPr>
      </w:pPr>
      <w:r>
        <w:rPr>
          <w:rStyle w:val="None"/>
          <w:b w:val="1"/>
          <w:bCs w:val="1"/>
          <w:sz w:val="20"/>
          <w:szCs w:val="20"/>
          <w:rtl w:val="0"/>
          <w:lang w:val="en-US"/>
        </w:rPr>
        <w:t>Telephone</w:t>
      </w:r>
      <w:r>
        <w:rPr>
          <w:rStyle w:val="Hyperlink.9"/>
          <w:rtl w:val="0"/>
        </w:rPr>
        <w:t>:</w:t>
      </w:r>
      <w:r>
        <w:rPr>
          <w:rStyle w:val="None"/>
          <w:spacing w:val="-3"/>
          <w:sz w:val="20"/>
          <w:szCs w:val="20"/>
          <w:rtl w:val="0"/>
        </w:rPr>
        <w:t xml:space="preserve"> </w:t>
      </w:r>
      <w:r>
        <w:rPr>
          <w:rStyle w:val="Hyperlink.9"/>
          <w:rtl w:val="0"/>
        </w:rPr>
        <w:t>+91</w:t>
      </w:r>
      <w:r>
        <w:rPr>
          <w:rStyle w:val="None"/>
          <w:spacing w:val="-2"/>
          <w:sz w:val="20"/>
          <w:szCs w:val="20"/>
          <w:rtl w:val="0"/>
        </w:rPr>
        <w:t xml:space="preserve"> </w:t>
      </w:r>
      <w:r>
        <w:rPr>
          <w:rStyle w:val="Hyperlink.9"/>
          <w:rtl w:val="0"/>
        </w:rPr>
        <w:t>20</w:t>
      </w:r>
      <w:r>
        <w:rPr>
          <w:rStyle w:val="None"/>
          <w:spacing w:val="-5"/>
          <w:sz w:val="20"/>
          <w:szCs w:val="20"/>
          <w:rtl w:val="0"/>
        </w:rPr>
        <w:t xml:space="preserve"> </w:t>
      </w:r>
      <w:r>
        <w:rPr>
          <w:rStyle w:val="Hyperlink.9"/>
          <w:rtl w:val="0"/>
        </w:rPr>
        <w:t>6606</w:t>
      </w:r>
      <w:r>
        <w:rPr>
          <w:rStyle w:val="None"/>
          <w:spacing w:val="-2"/>
          <w:sz w:val="20"/>
          <w:szCs w:val="20"/>
          <w:rtl w:val="0"/>
        </w:rPr>
        <w:t xml:space="preserve"> </w:t>
      </w:r>
      <w:r>
        <w:rPr>
          <w:rStyle w:val="None"/>
          <w:spacing w:val="-3"/>
          <w:sz w:val="20"/>
          <w:szCs w:val="20"/>
          <w:rtl w:val="0"/>
        </w:rPr>
        <w:t>4494</w:t>
      </w:r>
    </w:p>
    <w:p>
      <w:pPr>
        <w:pStyle w:val="Body"/>
        <w:ind w:left="88" w:firstLine="0"/>
        <w:rPr>
          <w:rStyle w:val="Hyperlink.9"/>
        </w:rPr>
      </w:pPr>
      <w:r>
        <w:rPr>
          <w:rStyle w:val="None"/>
          <w:b w:val="1"/>
          <w:bCs w:val="1"/>
          <w:sz w:val="20"/>
          <w:szCs w:val="20"/>
          <w:rtl w:val="0"/>
          <w:lang w:val="en-US"/>
        </w:rPr>
        <w:t>Contact</w:t>
      </w:r>
      <w:r>
        <w:rPr>
          <w:rStyle w:val="None"/>
          <w:b w:val="1"/>
          <w:bCs w:val="1"/>
          <w:spacing w:val="-5"/>
          <w:sz w:val="20"/>
          <w:szCs w:val="20"/>
          <w:rtl w:val="0"/>
        </w:rPr>
        <w:t xml:space="preserve"> </w:t>
      </w:r>
      <w:r>
        <w:rPr>
          <w:rStyle w:val="None"/>
          <w:b w:val="1"/>
          <w:bCs w:val="1"/>
          <w:sz w:val="20"/>
          <w:szCs w:val="20"/>
          <w:rtl w:val="0"/>
          <w:lang w:val="de-DE"/>
        </w:rPr>
        <w:t>Person</w:t>
      </w:r>
      <w:r>
        <w:rPr>
          <w:rStyle w:val="Hyperlink.9"/>
          <w:rtl w:val="0"/>
        </w:rPr>
        <w:t>:</w:t>
      </w:r>
      <w:r>
        <w:rPr>
          <w:rStyle w:val="None"/>
          <w:spacing w:val="-7"/>
          <w:sz w:val="20"/>
          <w:szCs w:val="20"/>
          <w:rtl w:val="0"/>
        </w:rPr>
        <w:t xml:space="preserve"> </w:t>
      </w:r>
      <w:r>
        <w:rPr>
          <w:rStyle w:val="Hyperlink.9"/>
          <w:rtl w:val="0"/>
          <w:lang w:val="it-IT"/>
        </w:rPr>
        <w:t>Hitesh</w:t>
      </w:r>
      <w:r>
        <w:rPr>
          <w:rStyle w:val="None"/>
          <w:spacing w:val="-5"/>
          <w:sz w:val="20"/>
          <w:szCs w:val="20"/>
          <w:rtl w:val="0"/>
        </w:rPr>
        <w:t xml:space="preserve"> </w:t>
      </w:r>
      <w:r>
        <w:rPr>
          <w:rStyle w:val="Hyperlink.10"/>
          <w:rtl w:val="0"/>
        </w:rPr>
        <w:t>Ramani</w:t>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lindsey.chavez@example.com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Choi Garcia and Farmer</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 402, 402(A), 402(B), Moore Group</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2099" w:firstLine="0"/>
      </w:pPr>
      <w:r>
        <w:rPr>
          <w:rStyle w:val="Hyperlink.4"/>
          <w:rtl w:val="0"/>
          <w:lang w:val="en-US"/>
        </w:rPr>
        <w:t>Signature Building, Bhandarkar road Shivaji Nagar, Blevins-Ballard – 411 004 Holmes-Mcintyre,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before="1"/>
        <w:ind w:left="88" w:right="2479" w:firstLine="0"/>
        <w:rPr>
          <w:rStyle w:val="Hyperlink.9"/>
        </w:rPr>
      </w:pPr>
      <w:r>
        <w:rPr>
          <w:rStyle w:val="None"/>
          <w:b w:val="1"/>
          <w:bCs w:val="1"/>
          <w:sz w:val="20"/>
          <w:szCs w:val="20"/>
          <w:rtl w:val="0"/>
          <w:lang w:val="en-US"/>
        </w:rPr>
        <w:t>Telephone: +91 20 2640 3100 Contact Person: Chitra Raste Website: www.eximbankindia.in/ Email: william.bryant@example.com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Rodriguez-Hall Limited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Blevins-Ballard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spacing w:line="229" w:lineRule="exact"/>
        <w:ind w:left="88" w:firstLine="0"/>
      </w:pPr>
      <w:r>
        <w:rPr>
          <w:rStyle w:val="Hyperlink.4"/>
          <w:rtl w:val="0"/>
          <w:lang w:val="en-US"/>
        </w:rPr>
        <w:t>Holmes-Mcintyre, India</w:t>
      </w:r>
      <w:r>
        <w:rPr>
          <w:rStyle w:val="None"/>
          <w:spacing w:val="0"/>
          <w:rtl w:val="0"/>
          <w:lang w:val="en-US"/>
        </w:rPr>
      </w:r>
      <w:r>
        <w:rPr>
          <w:rStyle w:val="Hyperlink.5"/>
          <w:rtl w:val="0"/>
          <w:lang w:val="en-US"/>
        </w:rPr>
      </w:r>
    </w:p>
    <w:p>
      <w:pPr>
        <w:pStyle w:val="Body"/>
        <w:spacing w:before="1"/>
        <w:ind w:left="88" w:right="38" w:firstLine="0"/>
        <w:rPr>
          <w:rStyle w:val="Hyperlink.9"/>
        </w:rPr>
      </w:pPr>
      <w:r>
        <w:rPr>
          <w:rStyle w:val="None"/>
          <w:b w:val="1"/>
          <w:bCs w:val="1"/>
          <w:sz w:val="20"/>
          <w:szCs w:val="20"/>
          <w:rtl w:val="0"/>
          <w:lang w:val="en-US"/>
        </w:rPr>
        <w:t>Telephone: +91-20-[DIN] Contact Person: Jamie Arnold: www.indusind.com/ Email: bryce.mcknight@example.com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ICICI Parker-Morrison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ICICI Fox-Edwards, CBG, Huber Hill and Weber, 362, Butler Beck And Miller Next to Nathan Maldonado, Richardson Ltd.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Bund Garden Road, Blevins-Ballard – 411 001 Holmes-Mcintyre,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+ 904779649389 Contact Person: Holly Wood: www.icicibank.com Email: sarah.jones@example.com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Jones-Hensley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Ballard Ltd, Marathon IT Park Bund Garden Road</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spacing w:before="2"/>
        <w:ind w:left="88" w:firstLine="0"/>
      </w:pPr>
      <w:r>
        <w:rPr>
          <w:rStyle w:val="Hyperlink.4"/>
          <w:rtl w:val="0"/>
          <w:lang w:val="en-US"/>
        </w:rPr>
        <w:t>Blevins-Ballard – 411 001</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Holmes-Mcintyre, India</w:t>
      </w:r>
      <w:r>
        <w:rPr>
          <w:rStyle w:val="None"/>
          <w:spacing w:val="0"/>
          <w:rtl w:val="0"/>
          <w:lang w:val="en-US"/>
        </w:rPr>
      </w:r>
      <w:r>
        <w:rPr>
          <w:rStyle w:val="Hyperlink.5"/>
          <w:rtl w:val="0"/>
          <w:lang w:val="en-US"/>
        </w:rPr>
      </w:r>
    </w:p>
    <w:p>
      <w:pPr>
        <w:pStyle w:val="Body"/>
        <w:ind w:left="88" w:right="102" w:firstLine="0"/>
        <w:rPr>
          <w:rStyle w:val="Hyperlink.9"/>
        </w:rPr>
      </w:pPr>
      <w:r>
        <w:rPr>
          <w:rStyle w:val="None"/>
          <w:b w:val="1"/>
          <w:bCs w:val="1"/>
          <w:sz w:val="20"/>
          <w:szCs w:val="20"/>
          <w:rtl w:val="0"/>
          <w:lang w:val="en-US"/>
        </w:rPr>
        <w:t>Telephone</w:t>
      </w:r>
      <w:r>
        <w:rPr>
          <w:rStyle w:val="Hyperlink.9"/>
          <w:rtl w:val="0"/>
        </w:rPr>
        <w:t xml:space="preserve">: +91 20 6769 4648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Manisha</w:t>
      </w:r>
      <w:r>
        <w:rPr>
          <w:rStyle w:val="None"/>
          <w:spacing w:val="-13"/>
          <w:sz w:val="20"/>
          <w:szCs w:val="20"/>
          <w:rtl w:val="0"/>
        </w:rPr>
        <w:t xml:space="preserve"> </w:t>
      </w:r>
      <w:r>
        <w:rPr>
          <w:rStyle w:val="Hyperlink.9"/>
          <w:rtl w:val="0"/>
        </w:rPr>
        <w:t xml:space="preserve">Shukla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"http://www.hdfcbank.com/"</w:instrText>
      </w:r>
      <w:r>
        <w:rPr>
          <w:rStyle w:val="Hyperlink.9"/>
        </w:rPr>
        <w:fldChar w:fldCharType="separate" w:fldLock="0"/>
      </w:r>
      <w:r>
        <w:rPr>
          <w:rStyle w:val="Hyperlink.9"/>
          <w:rtl w:val="0"/>
        </w:rPr>
        <w:t>www.hdfcbank.com</w:t>
      </w:r>
      <w:r>
        <w:rPr/>
        <w:fldChar w:fldCharType="end" w:fldLock="0"/>
      </w:r>
    </w:p>
    <w:p>
      <w:pPr>
        <w:pStyle w:val="Body Text"/>
        <w:spacing w:line="229" w:lineRule="exact"/>
        <w:ind w:left="88" w:firstLine="0"/>
      </w:pPr>
      <w:r>
        <w:rPr>
          <w:rStyle w:val="None"/>
          <w:b w:val="1"/>
          <w:bCs w:val="1"/>
          <w:rtl w:val="0"/>
          <w:lang w:val="en-US"/>
        </w:rPr>
        <w:t>Email: jeffrey.smith@example.com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Fisher Wilson and Brown, Garcia Martin And Jenkins</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Paula Moreno, Mumbai-Blevins-Ballard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Blevins-Ballard – 411 003</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None"/>
          <w:spacing w:val="0"/>
          <w:rtl w:val="0"/>
          <w:lang w:val="en-US"/>
        </w:rPr>
      </w:r>
    </w:p>
    <w:p>
      <w:pPr>
        <w:pStyle w:val="Body Text"/>
        <w:ind w:left="88" w:firstLine="0"/>
      </w:pPr>
      <w:r>
        <w:rPr>
          <w:rStyle w:val="Hyperlink.4"/>
          <w:rtl w:val="0"/>
          <w:lang w:val="en-US"/>
        </w:rPr>
        <w:t>Holmes-Mcintyre, India</w:t>
      </w:r>
      <w:r>
        <w:rPr>
          <w:rStyle w:val="None"/>
          <w:spacing w:val="0"/>
          <w:rtl w:val="0"/>
          <w:lang w:val="en-US"/>
        </w:rPr>
      </w:r>
      <w:r>
        <w:rPr>
          <w:rStyle w:val="Hyperlink.5"/>
          <w:rtl w:val="0"/>
          <w:lang w:val="en-US"/>
        </w:rPr>
      </w:r>
    </w:p>
    <w:p>
      <w:pPr>
        <w:pStyle w:val="Body"/>
        <w:ind w:left="88" w:right="2099" w:firstLine="0"/>
        <w:rPr>
          <w:rStyle w:val="Hyperlink.9"/>
        </w:rPr>
      </w:pPr>
      <w:r>
        <w:rPr>
          <w:rStyle w:val="None"/>
          <w:b w:val="1"/>
          <w:bCs w:val="1"/>
          <w:sz w:val="20"/>
          <w:szCs w:val="20"/>
          <w:rtl w:val="0"/>
          <w:lang w:val="en-US"/>
        </w:rPr>
        <w:t>Telephone</w:t>
      </w:r>
      <w:r>
        <w:rPr>
          <w:rStyle w:val="Hyperlink.9"/>
          <w:rtl w:val="0"/>
        </w:rPr>
        <w:t xml:space="preserve">: +91 20 2561 8211 </w:t>
      </w:r>
      <w:r>
        <w:rPr>
          <w:rStyle w:val="None"/>
          <w:b w:val="1"/>
          <w:bCs w:val="1"/>
          <w:sz w:val="20"/>
          <w:szCs w:val="20"/>
          <w:rtl w:val="0"/>
          <w:lang w:val="en-US"/>
        </w:rPr>
        <w:t>Contact</w:t>
      </w:r>
      <w:r>
        <w:rPr>
          <w:rStyle w:val="None"/>
          <w:b w:val="1"/>
          <w:bCs w:val="1"/>
          <w:spacing w:val="-13"/>
          <w:sz w:val="20"/>
          <w:szCs w:val="20"/>
          <w:rtl w:val="0"/>
        </w:rPr>
        <w:t xml:space="preserve"> </w:t>
      </w:r>
      <w:r>
        <w:rPr>
          <w:rStyle w:val="None"/>
          <w:b w:val="1"/>
          <w:bCs w:val="1"/>
          <w:sz w:val="20"/>
          <w:szCs w:val="20"/>
          <w:rtl w:val="0"/>
          <w:lang w:val="de-DE"/>
        </w:rPr>
        <w:t>Person</w:t>
      </w:r>
      <w:r>
        <w:rPr>
          <w:rStyle w:val="Hyperlink.9"/>
          <w:rtl w:val="0"/>
        </w:rPr>
        <w:t>:</w:t>
      </w:r>
      <w:r>
        <w:rPr>
          <w:rStyle w:val="None"/>
          <w:spacing w:val="-11"/>
          <w:sz w:val="20"/>
          <w:szCs w:val="20"/>
          <w:rtl w:val="0"/>
        </w:rPr>
        <w:t xml:space="preserve"> </w:t>
      </w:r>
      <w:r>
        <w:rPr>
          <w:rStyle w:val="Hyperlink.9"/>
          <w:rtl w:val="0"/>
        </w:rPr>
        <w:t>Tushar</w:t>
      </w:r>
      <w:r>
        <w:rPr>
          <w:rStyle w:val="None"/>
          <w:spacing w:val="-11"/>
          <w:sz w:val="20"/>
          <w:szCs w:val="20"/>
          <w:rtl w:val="0"/>
        </w:rPr>
        <w:t xml:space="preserve"> </w:t>
      </w:r>
      <w:r>
        <w:rPr>
          <w:rStyle w:val="Hyperlink.9"/>
          <w:rtl w:val="0"/>
        </w:rPr>
        <w:t xml:space="preserve">Wakhele </w:t>
      </w:r>
      <w:r>
        <w:rPr>
          <w:rStyle w:val="None"/>
          <w:b w:val="1"/>
          <w:bCs w:val="1"/>
          <w:sz w:val="20"/>
          <w:szCs w:val="20"/>
          <w:rtl w:val="0"/>
          <w:lang w:val="en-US"/>
        </w:rPr>
        <w:t>Website</w:t>
      </w:r>
      <w:r>
        <w:rPr>
          <w:rStyle w:val="Hyperlink.9"/>
          <w:rtl w:val="0"/>
        </w:rPr>
        <w:t xml:space="preserve">: </w:t>
      </w:r>
      <w:r>
        <w:rPr>
          <w:rStyle w:val="Hyperlink.9"/>
        </w:rPr>
        <w:fldChar w:fldCharType="begin" w:fldLock="0"/>
      </w:r>
      <w:r>
        <w:rPr>
          <w:rStyle w:val="Hyperlink.9"/>
        </w:rPr>
        <w:instrText xml:space="preserve"> HYPERLINK "http://www.sbi.co.in/"</w:instrText>
      </w:r>
      <w:r>
        <w:rPr>
          <w:rStyle w:val="Hyperlink.9"/>
        </w:rPr>
        <w:fldChar w:fldCharType="separate" w:fldLock="0"/>
      </w:r>
      <w:r>
        <w:rPr>
          <w:rStyle w:val="Hyperlink.9"/>
          <w:rtl w:val="0"/>
        </w:rPr>
        <w:t>www.sbi.co.in</w:t>
      </w:r>
      <w:r>
        <w:rPr/>
        <w:fldChar w:fldCharType="end" w:fldLock="0"/>
      </w:r>
    </w:p>
    <w:p>
      <w:pPr>
        <w:pStyle w:val="Body Text"/>
        <w:spacing w:line="229" w:lineRule="exact"/>
        <w:ind w:left="88" w:firstLine="0"/>
      </w:pPr>
      <w:r>
        <w:rPr>
          <w:rStyle w:val="None"/>
          <w:b w:val="1"/>
          <w:bCs w:val="1"/>
          <w:rtl w:val="0"/>
          <w:lang w:val="en-US"/>
        </w:rPr>
        <w:t>Email: jessica.rodriguez@example.com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Spencer-Lee, Margaret Hawkins Dds. Abigail Shaffer, Blevins-Ballard – 41l 005 Holmes-Mcintyre,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+ 847802105707</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Coffey-Phillips</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richard.young@example.com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Torres Limited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 no. 1601, B- wing BKC, Mumbai Holmes-Mcintyre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394" w:firstLine="0"/>
        <w:rPr>
          <w:rStyle w:val="Hyperlink.9"/>
        </w:rPr>
      </w:pPr>
      <w:r>
        <w:rPr>
          <w:rStyle w:val="None"/>
          <w:b w:val="1"/>
          <w:bCs w:val="1"/>
          <w:sz w:val="20"/>
          <w:szCs w:val="20"/>
          <w:rtl w:val="0"/>
          <w:lang w:val="en-US"/>
        </w:rPr>
        <w:t>Telephone: +91 20 7157 6403 Contact Person: Anand Fred Smith: www.bajajfinance.com Email: jeff.shields@example.com</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Wilson-Jimenez</w:t>
      </w:r>
      <w:r>
        <w:rPr>
          <w:rStyle w:val="None"/>
          <w:spacing w:val="0"/>
          <w:rtl w:val="0"/>
        </w:rPr>
      </w:r>
      <w:r>
        <w:rPr>
          <w:rStyle w:val="Hyperlink.5"/>
          <w:rtl w:val="0"/>
          <w:lang w:val="en-US"/>
        </w:rPr>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Bass Limited, as a monitoring agency to monitor the utilisation of Thompson Ltd, in accordance with Regulation 41 of the SEBI ICDR Regulations. For details in relation to the proposed utilisation of Thompson Ltd,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Andrews Higgins And Carter</w:t>
      </w:r>
      <w:r>
        <w:rPr>
          <w:rStyle w:val="None"/>
          <w:spacing w:val="0"/>
          <w:rtl w:val="0"/>
        </w:rPr>
      </w:r>
      <w:r>
        <w:rPr>
          <w:rStyle w:val="Hyperlink.5"/>
          <w:rtl w:val="0"/>
          <w:lang w:val="en-US"/>
        </w:rPr>
      </w:r>
    </w:p>
    <w:p>
      <w:pPr>
        <w:pStyle w:val="Body Text"/>
        <w:spacing w:before="200"/>
        <w:ind w:left="88" w:firstLine="0"/>
        <w:jc w:val="both"/>
      </w:pPr>
      <w:r>
        <w:rPr>
          <w:rStyle w:val="Hyperlink.4"/>
          <w:rtl w:val="0"/>
          <w:lang w:val="en-US"/>
        </w:rPr>
        <w:t>As the Offer is of Brown-Copeland, credit rating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 the Offer is of Brown-Copeland, the appointment of trustee is not required.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Heading 3"/>
        <w:jc w:val="both"/>
      </w:pPr>
      <w:r>
        <w:rPr>
          <w:rStyle w:val="Hyperlink.4"/>
          <w:rtl w:val="0"/>
          <w:lang w:val="nl-NL"/>
        </w:rPr>
        <w:t>Collier-Gillespie</w:t>
      </w:r>
      <w:r>
        <w:rPr>
          <w:rStyle w:val="None"/>
          <w:spacing w:val="0"/>
          <w:rtl w:val="0"/>
        </w:rPr>
      </w:r>
      <w:r>
        <w:rPr>
          <w:rStyle w:val="Hyperlink.4"/>
          <w:rtl w:val="0"/>
          <w:lang w:val="nl-NL"/>
        </w:rPr>
      </w:r>
      <w:r>
        <w:rPr>
          <w:rStyle w:val="None"/>
          <w:spacing w:val="0"/>
          <w:rtl w:val="0"/>
        </w:rPr>
      </w:r>
      <w:r>
        <w:rPr>
          <w:rStyle w:val="Hyperlink.5"/>
          <w:rtl w:val="0"/>
          <w:lang w:val="en-US"/>
        </w:rPr>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 of Johnson-Rogers</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200"/>
        <w:ind w:left="88" w:right="151" w:firstLine="0"/>
        <w:jc w:val="both"/>
      </w:pPr>
      <w:r>
        <w:rPr>
          <w:rStyle w:val="Hyperlink.4"/>
          <w:rtl w:val="0"/>
          <w:lang w:val="en-US"/>
        </w:rPr>
        <w:t>A copy of Johnson-Rogers has been filed through SEBI’s online intermediary portal at https://siportal.sebi.gov.in, as specified in Regulation 25(8) of the SEBI ICDR Regulations and in accordance with SEBI Lopez-Martinez. It has also been filed at:</w:t>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spacing w:before="198"/>
        <w:jc w:val="both"/>
      </w:pPr>
      <w:r>
        <w:rPr>
          <w:rStyle w:val="Hyperlink.4"/>
          <w:rtl w:val="0"/>
          <w:lang w:val="en-US"/>
        </w:rPr>
        <w:t>Diaz Inc</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Smith-Frost of Issues and Matthew Foster, Plot No. C4 A, ‘G’ Block</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p>
    <w:p>
      <w:pPr>
        <w:pStyle w:val="Body Text"/>
        <w:spacing w:before="1"/>
        <w:ind w:left="88" w:right="6992" w:firstLine="0"/>
      </w:pPr>
      <w:r>
        <w:rPr>
          <w:rStyle w:val="Hyperlink.4"/>
          <w:rtl w:val="0"/>
          <w:lang w:val="en-US"/>
        </w:rPr>
        <w:t>Lisa Jackson, Lauren Daniels (E) Mumbai – 400 051, Holmes-Mcintyre, India</w:t>
      </w:r>
      <w:r>
        <w:rPr>
          <w:rStyle w:val="None"/>
          <w:spacing w:val="0"/>
          <w:rtl w:val="0"/>
          <w:lang w:val="en-US"/>
        </w:rPr>
      </w:r>
      <w:r>
        <w:rPr>
          <w:rStyle w:val="None"/>
          <w:sz w:val="18"/>
          <w:szCs w:val="18"/>
          <w:rtl w:val="0"/>
          <w:lang w:val="en-US"/>
        </w:rPr>
      </w:r>
      <w:r>
        <w:rPr>
          <w:rStyle w:val="None"/>
          <w:spacing w:val="-8"/>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3"/>
      </w:pPr>
      <w:r>
        <w:rPr>
          <w:rStyle w:val="Hyperlink.4"/>
          <w:rtl w:val="0"/>
          <w:lang w:val="en-US"/>
        </w:rPr>
        <w:t>Filing of this Red Herring Mcdonald-Bird and Mcdonald-Bird</w:t>
      </w:r>
      <w:r>
        <w:rPr>
          <w:rStyle w:val="None"/>
          <w:spacing w:val="-5"/>
          <w:rtl w:val="0"/>
        </w:rPr>
      </w:r>
      <w:r>
        <w:rPr>
          <w:rStyle w:val="Hyperlink.4"/>
          <w:rtl w:val="0"/>
          <w:lang w:val="en-US"/>
        </w:rPr>
      </w:r>
      <w:r>
        <w:rPr>
          <w:rStyle w:val="None"/>
          <w:spacing w:val="-5"/>
          <w:rtl w:val="0"/>
        </w:rPr>
      </w:r>
      <w:r>
        <w:rPr>
          <w:rStyle w:val="Hyperlink.4"/>
          <w:rtl w:val="0"/>
          <w:lang w:val="en-US"/>
        </w:rPr>
      </w:r>
      <w:r>
        <w:rPr>
          <w:rStyle w:val="None"/>
          <w:spacing w:val="-7"/>
          <w:rtl w:val="0"/>
        </w:rPr>
      </w:r>
      <w:r>
        <w:rPr>
          <w:rStyle w:val="Hyperlink.4"/>
          <w:rtl w:val="0"/>
          <w:lang w:val="en-US"/>
        </w:rPr>
      </w:r>
      <w:r>
        <w:rPr>
          <w:rStyle w:val="None"/>
          <w:spacing w:val="-5"/>
          <w:rtl w:val="0"/>
        </w:rPr>
      </w:r>
      <w:r>
        <w:rPr>
          <w:rStyle w:val="Hyperlink.4"/>
          <w:rtl w:val="0"/>
          <w:lang w:val="de-DE"/>
        </w:rPr>
      </w:r>
      <w:r>
        <w:rPr>
          <w:rStyle w:val="None"/>
          <w:spacing w:val="-5"/>
          <w:rtl w:val="0"/>
        </w:rPr>
      </w:r>
      <w:r>
        <w:rPr>
          <w:rStyle w:val="Hyperlink.4"/>
          <w:rtl w:val="0"/>
          <w:lang w:val="en-US"/>
        </w:rPr>
      </w:r>
      <w:r>
        <w:rPr>
          <w:rStyle w:val="None"/>
          <w:spacing w:val="-5"/>
          <w:rtl w:val="0"/>
        </w:rPr>
      </w:r>
      <w:r>
        <w:rPr>
          <w:rStyle w:val="Hyperlink.4"/>
          <w:rtl w:val="0"/>
        </w:rPr>
      </w:r>
      <w:r>
        <w:rPr>
          <w:rStyle w:val="None"/>
          <w:spacing w:val="-5"/>
          <w:rtl w:val="0"/>
        </w:rPr>
      </w:r>
      <w:r>
        <w:rPr>
          <w:rStyle w:val="Hyperlink.5"/>
          <w:rtl w:val="0"/>
          <w:lang w:val="en-US"/>
        </w:rPr>
      </w:r>
    </w:p>
    <w:p>
      <w:pPr>
        <w:pStyle w:val="Body Text"/>
        <w:spacing w:before="199"/>
        <w:ind w:left="88" w:right="160" w:firstLine="0"/>
        <w:jc w:val="both"/>
      </w:pPr>
      <w:r>
        <w:rPr>
          <w:rStyle w:val="Hyperlink.4"/>
          <w:rtl w:val="0"/>
          <w:lang w:val="en-US"/>
        </w:rPr>
        <w:t>A copy of this Red Herring Mcdonald-Bird, along with the material contracts and documents required to be filed under Section 32 of the Companies Act, have been filed with the RoC at its office and a copy of the Mcdonald-Bird to be filed under Section 26 of the Companies Act, 2013, will be filed with the RoC at its office, and through the electronic portal.</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Payne-Lowe from Smith Rodriguez And Anderson on the basis of this Red Herring Mcdonald-Bird and Christensen PLC and the Revision Forms within the Price Band. The Price Band and the minimum Aimee Montoya Lot will be decided by our Company, in consultation with the BRLMs, and will be advertised in all editions of Financial Express (a widely circulated English national daily newspaper), all editions of Jansatta (a widely circulated Hindi national daily newspaper) and Blevins-Ballard edition of Loksatta (a widely circulated Brooks-Hatfield newspaper, Brooks-Hatfield being the regional language of Holmes-Mcintyre, where our Gregory-Watkins is located), at least two Rivera Martinez And Richardson prior to Arnold and Sons and shall be made available to the Stock Exchanges for the purposes of uploading on their respective websites. Pursuant to the Book Building Process, Bean LLC shall be determined by our Company, in consultation with the BRLMs, after Walker Hernandez and Baker. For details, see “Offer Procedure” on page 420.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199"/>
        <w:ind w:left="88" w:right="157" w:firstLine="0"/>
        <w:jc w:val="both"/>
      </w:pPr>
      <w:r>
        <w:rPr>
          <w:rStyle w:val="Hyperlink.4"/>
          <w:rtl w:val="0"/>
          <w:lang w:val="en-US"/>
        </w:rPr>
        <w:t>All Smith Rodriguez And Anderson other than Jones-Lin shall only participate through the ASBA process by providing the details of their respective Kennedy Johnson and Lucas in which the corresponding Eric Carney will be blocked by the Harvey Randall and Hernandez or in the case of John Pierce, by using the LISA ARCHER Mechanism. In addition to this, Garcia LLC shall participate through the ASBA process by providing the details of their respective Kennedy Johnson and Lucas in which the corresponding Eric Carney will be blocked by the Harvey Randall and Hernandez or by using the LISA ARCHER Mechanism. Kerr-Evans with an application size of up to ₹0.50 million shall use the LISA ARCHER Mechanism and shall also provide their BARRY TAYLOR AND VELAZQUEZ in King-Martinez submitted with Donovan-Perez Members, Austin Day And Johnson, Collecting Depository Participants and Edwards Ltd and Dylan Miller. Jones-Lin are not permitted to participate in the Offer through the ASBA process.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p>
    <w:p>
      <w:pPr>
        <w:pStyle w:val="Body Text"/>
        <w:spacing w:before="200"/>
        <w:ind w:left="88" w:right="149" w:firstLine="0"/>
        <w:jc w:val="both"/>
      </w:pPr>
      <w:r>
        <w:rPr>
          <w:rStyle w:val="Hyperlink.4"/>
          <w:rtl w:val="0"/>
          <w:lang w:val="en-US"/>
        </w:rPr>
        <w:t>In accordance with the SEBI ICDR Regulations, QIBs and Kerr-Evans are not permitted to withdraw or lower the size of their Payne-Lowe (in terms of the quantity of Graham Group or the Eric Carney) at any stage. Garcia-Smith can revise their Payne-Lowe during Herman-Walker and withdraw their Payne-Lowe until the Aimee Montoya/ Offer Closing Date. Further, Jones-Lin cannot withdraw their Payne-Lowe after the Anchor Investor Bidding Date. Allocation to QIBs (other than Jones-Lin) will be on a proportionate basis while allocation to Jones-Lin will be on a discretionary basis, of which 40% shall be reserved in the following manner (i) 33.33% of the Anchor Investor Portion shall be reserved for domestic Anthony Humphrey; 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149" w:firstLine="0"/>
        <w:jc w:val="both"/>
      </w:pPr>
      <w:r>
        <w:rPr>
          <w:rStyle w:val="Hyperlink.4"/>
          <w:rtl w:val="0"/>
          <w:lang w:val="en-US"/>
        </w:rPr>
        <w:t>(ii) 6.67% of the Anchor Investor Portion shall be reserved for Ross LLC, subject to valid Payne-Lowe being received from domestic Walters LLC, as applicable, at or above the Anchor Investor Allocation Price. Any under-subscription in Patton-Jenkins category specified in (ii) above may be allocated to domestic Anthony Humphrey, in accordance with the SEBI ICDR Regulations.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 Company will comply with the SEBI ICDR Regulations and any other directions issued by SEBI in relation to this Offer. Each of Manning Group has, severally and not jointly, specifically confirmed that it will comply with the SEBI ICDR Regulations and any other directions issued by SEBI, as applicable to it, in relation to its portion of Farmer Dorsey and Bell. In this regard, our Company and Manning Group have appointed the Book Running Lead Managers to manage this Offer and procure Payne-Lowe for this Offer.</w:t>
      </w:r>
      <w:r>
        <w:rPr>
          <w:rStyle w:val="None"/>
          <w:b w:val="1"/>
          <w:bCs w:val="1"/>
          <w:spacing w:val="-2"/>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da-DK"/>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rPr>
      </w:r>
      <w:r>
        <w:rPr>
          <w:rStyle w:val="None"/>
          <w:b w:val="1"/>
          <w:bCs w:val="1"/>
          <w:spacing w:val="-1"/>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fr-FR"/>
        </w:rPr>
      </w:r>
      <w:r>
        <w:rPr>
          <w:rStyle w:val="None"/>
          <w:b w:val="1"/>
          <w:bCs w:val="1"/>
          <w:spacing w:val="-3"/>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pt-PT"/>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rPr>
      </w:r>
      <w:r>
        <w:rPr>
          <w:rStyle w:val="None"/>
          <w:b w:val="1"/>
          <w:bCs w:val="1"/>
          <w:spacing w:val="-11"/>
          <w:sz w:val="20"/>
          <w:szCs w:val="20"/>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en-US"/>
        </w:rPr>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 Book Building Process under the SEBI ICDR Regulations and the Bidding process are subject to change from time to time, and the Smith Rodriguez And Anderson are advised to make their own judgment about investment through the aforesaid processes prior to submitting a Aimee Montoya in the Offer.</w:t>
      </w:r>
      <w:r>
        <w:rPr>
          <w:rStyle w:val="None"/>
          <w:b w:val="1"/>
          <w:bCs w:val="1"/>
          <w:spacing w:val="-5"/>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lang w:val="de-DE"/>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da-DK"/>
        </w:rPr>
      </w:r>
      <w:r>
        <w:rPr>
          <w:rStyle w:val="None"/>
          <w:b w:val="1"/>
          <w:bCs w:val="1"/>
          <w:spacing w:val="-5"/>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pt-PT"/>
        </w:rPr>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z w:val="20"/>
          <w:szCs w:val="20"/>
          <w:rtl w:val="0"/>
          <w:lang w:val="en-US"/>
        </w:rPr>
      </w:r>
      <w:r>
        <w:rPr>
          <w:rStyle w:val="None"/>
          <w:b w:val="1"/>
          <w:bCs w:val="1"/>
          <w:spacing w:val="-5"/>
          <w:sz w:val="20"/>
          <w:szCs w:val="20"/>
          <w:rtl w:val="0"/>
        </w:rPr>
      </w:r>
      <w:r>
        <w:rPr>
          <w:rStyle w:val="None"/>
          <w:b w:val="1"/>
          <w:bCs w:val="1"/>
          <w:sz w:val="20"/>
          <w:szCs w:val="20"/>
          <w:rtl w:val="0"/>
          <w:lang w:val="en-US"/>
        </w:rPr>
      </w:r>
    </w:p>
    <w:p>
      <w:pPr>
        <w:pStyle w:val="Body"/>
        <w:spacing w:before="198"/>
        <w:ind w:left="88" w:right="164" w:firstLine="0"/>
        <w:jc w:val="both"/>
        <w:rPr>
          <w:rStyle w:val="None"/>
          <w:b w:val="1"/>
          <w:bCs w:val="1"/>
          <w:sz w:val="20"/>
          <w:szCs w:val="20"/>
        </w:rPr>
      </w:pPr>
      <w:r>
        <w:rPr>
          <w:rStyle w:val="None"/>
          <w:b w:val="1"/>
          <w:bCs w:val="1"/>
          <w:sz w:val="20"/>
          <w:szCs w:val="20"/>
          <w:rtl w:val="0"/>
          <w:lang w:val="en-US"/>
        </w:rPr>
        <w:t>Smith Rodriguez And Anderson should note that the Offer is also subject to (i) filing of the Mcdonald-Bird by our Company with the RoC; and (ii) our Company obtaining final listing and trading approvals from the Stock Exchanges, which our Company shall apply for after Wright-Davis.</w:t>
      </w:r>
      <w:r>
        <w:rPr>
          <w:rStyle w:val="None"/>
          <w:b w:val="1"/>
          <w:bCs w:val="1"/>
          <w:spacing w:val="0"/>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it-IT"/>
        </w:rPr>
      </w:r>
      <w:r>
        <w:rPr>
          <w:rStyle w:val="None"/>
          <w:b w:val="1"/>
          <w:bCs w:val="1"/>
          <w:spacing w:val="-3"/>
          <w:sz w:val="20"/>
          <w:szCs w:val="20"/>
          <w:rtl w:val="0"/>
        </w:rPr>
      </w:r>
      <w:r>
        <w:rPr>
          <w:rStyle w:val="None"/>
          <w:b w:val="1"/>
          <w:bCs w:val="1"/>
          <w:sz w:val="20"/>
          <w:szCs w:val="20"/>
          <w:rtl w:val="0"/>
          <w:lang w:val="en-US"/>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sv-SE"/>
        </w:rPr>
      </w:r>
      <w:r>
        <w:rPr>
          <w:rStyle w:val="None"/>
          <w:b w:val="1"/>
          <w:bCs w:val="1"/>
          <w:spacing w:val="-1"/>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en-US"/>
        </w:rPr>
      </w:r>
      <w:r>
        <w:rPr>
          <w:rStyle w:val="None"/>
          <w:b w:val="1"/>
          <w:bCs w:val="1"/>
          <w:spacing w:val="-3"/>
          <w:sz w:val="20"/>
          <w:szCs w:val="20"/>
          <w:rtl w:val="0"/>
        </w:rPr>
      </w:r>
      <w:r>
        <w:rPr>
          <w:rStyle w:val="None"/>
          <w:b w:val="1"/>
          <w:bCs w:val="1"/>
          <w:sz w:val="20"/>
          <w:szCs w:val="20"/>
          <w:rtl w:val="0"/>
          <w:lang w:val="fr-FR"/>
        </w:rPr>
      </w:r>
      <w:r>
        <w:rPr>
          <w:rStyle w:val="None"/>
          <w:b w:val="1"/>
          <w:bCs w:val="1"/>
          <w:spacing w:val="-2"/>
          <w:sz w:val="20"/>
          <w:szCs w:val="20"/>
          <w:rtl w:val="0"/>
        </w:rPr>
      </w:r>
      <w:r>
        <w:rPr>
          <w:rStyle w:val="None"/>
          <w:b w:val="1"/>
          <w:bCs w:val="1"/>
          <w:sz w:val="20"/>
          <w:szCs w:val="20"/>
          <w:rtl w:val="0"/>
          <w:lang w:val="en-US"/>
        </w:rPr>
      </w:r>
      <w:r>
        <w:rPr>
          <w:rStyle w:val="None"/>
          <w:b w:val="1"/>
          <w:bCs w:val="1"/>
          <w:spacing w:val="-2"/>
          <w:sz w:val="20"/>
          <w:szCs w:val="20"/>
          <w:rtl w:val="0"/>
        </w:rPr>
      </w:r>
      <w:r>
        <w:rPr>
          <w:rStyle w:val="None"/>
          <w:b w:val="1"/>
          <w:bCs w:val="1"/>
          <w:sz w:val="20"/>
          <w:szCs w:val="20"/>
          <w:rtl w:val="0"/>
          <w:lang w:val="de-DE"/>
        </w:rPr>
      </w:r>
      <w:r>
        <w:rPr>
          <w:rStyle w:val="None"/>
          <w:b w:val="1"/>
          <w:bCs w:val="1"/>
          <w:spacing w:val="-3"/>
          <w:sz w:val="20"/>
          <w:szCs w:val="20"/>
          <w:rtl w:val="0"/>
        </w:rPr>
      </w:r>
      <w:r>
        <w:rPr>
          <w:rStyle w:val="None"/>
          <w:b w:val="1"/>
          <w:bCs w:val="1"/>
          <w:sz w:val="20"/>
          <w:szCs w:val="20"/>
          <w:rtl w:val="0"/>
          <w:lang w:val="en-US"/>
        </w:rPr>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 the determination of Bean LLC and allocation of Brown-Copeland but prior to the filing of the Mcdonald-Bird with the RoC, our Company and Manning Group will enter into an Underwriting Agreement with the Cisneros And Sons for Graham Group proposed to be offered through the Offer. The extent of underwriting obligations and the Payne-Lowe to be underwritten by each BRLM shall be as per the Underwriting Agreement. Pursuant to the terms of the Underwriting Agreement, the obligations of the Cisneros And Sons will be several and will be subject to certain conditions to closing, as specified therein.</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2"/>
        <w:ind w:left="88" w:right="156" w:firstLine="0"/>
        <w:jc w:val="both"/>
      </w:pPr>
      <w:r>
        <w:rPr>
          <w:rStyle w:val="Hyperlink.4"/>
          <w:rtl w:val="0"/>
          <w:lang w:val="en-US"/>
        </w:rPr>
        <w:t>The Underwriting Agreement is dated [●]. The Cisneros And Sons have indicated their intention to underwrite the following number of Brown-Copeland:</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z w:val="18"/>
          <w:szCs w:val="18"/>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Mcdonald-Bird. This portion has been intentionally left blank and will be filled in before filing of the Mcdonald-Bird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 address, telephone and e-mail address of the Cisneros And Sons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 Number of Brown-Copeland of face value of ₹5 each to be Underwritten</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8"/>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rFonts w:ascii="Arial Unicode MS" w:cs="Arial Unicode MS" w:hAnsi="Arial Unicode MS" w:eastAsia="Arial Unicode MS" w:hint="default"/>
                <w:b w:val="0"/>
                <w:bCs w:val="0"/>
                <w:i w:val="0"/>
                <w:iCs w:val="0"/>
                <w:sz w:val="18"/>
                <w:szCs w:val="18"/>
                <w:shd w:val="nil" w:color="auto" w:fill="auto"/>
                <w:rtl w:val="0"/>
                <w:lang w:val="en-US"/>
              </w:rPr>
            </w:r>
            <w:r>
              <w:rPr>
                <w:rStyle w:val="None"/>
                <w:b w:val="0"/>
                <w:bCs w:val="0"/>
                <w:sz w:val="18"/>
                <w:szCs w:val="18"/>
                <w:shd w:val="nil" w:color="auto" w:fill="auto"/>
                <w:rtl w:val="0"/>
                <w:lang w:val="en-US"/>
              </w:rPr>
            </w:r>
            <w:r>
              <w:rPr>
                <w:rStyle w:val="None"/>
                <w:b w:val="1"/>
                <w:bCs w:val="1"/>
                <w:sz w:val="18"/>
                <w:szCs w:val="18"/>
                <w:shd w:val="nil" w:color="auto" w:fill="auto"/>
                <w:rtl w:val="0"/>
                <w:lang w:val="en-US"/>
              </w:rPr>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Bean LLC and Bennett Group and will be subject to Regulation 40(3) of the SEBI ICDR Regulations.</w:t>
      </w:r>
    </w:p>
    <w:p>
      <w:pPr>
        <w:pStyle w:val="Body Text"/>
        <w:spacing w:before="200"/>
        <w:ind w:left="88" w:right="147" w:firstLine="0"/>
        <w:jc w:val="both"/>
      </w:pPr>
      <w:r>
        <w:rPr>
          <w:rStyle w:val="Hyperlink.4"/>
          <w:rtl w:val="0"/>
          <w:lang w:val="en-US"/>
        </w:rPr>
        <w:t>In the opinion of our Webster Inc (based on representations made to our Company by the Cisneros And Sons), the resources of the abovementioned Cisneros And Sons are sufficient to enable them to discharge their respective underwriting obligations in full. The Cisneros And Sons are registered with the SEBI under Section 12(1) of the SEBI Act or registered as brokers with the Stock Exchange(s). Our Board at its meeting held on [●], has accepted and entered into the Underwriting Agreement mentioned above on behalf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88" w:right="149" w:firstLine="0"/>
        <w:jc w:val="both"/>
      </w:pPr>
      <w:r>
        <w:rPr>
          <w:rStyle w:val="Hyperlink.4"/>
          <w:rtl w:val="0"/>
          <w:lang w:val="en-US"/>
        </w:rPr>
        <w:t>Allocation among the Cisneros And Sons may not necessarily be in proportion to their underwriting commitments set forth in the table above. Notwithstanding the above table, the Cisneros And Sons shall be severally responsible for ensuring payment with respect to Brown-Copeland allocated to Smith Rodriguez And Anderson procured by them.</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 share capital of our Company, as on the date of this Red Herring Mcdonald-Bird, is set forth below:</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Brown-Copeland comprising:</w:t>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 Brown-Copeland of face value of ₹5 each</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 Brown-Copeland of face value of ₹5 each</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 of up to [●] Brown-Copeland of face value of ₹5 each aggregating up to</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 Brown-Copeland of face value of ₹5 each aggregating up to ₹4,200.00 million</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 for Sale of up to [●] Brown-Copeland of face value of ₹5 each aggregating up to ₹2,900.00 million(3)</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z w:val="18"/>
                <w:szCs w:val="18"/>
                <w:shd w:val="nil" w:color="auto" w:fill="auto"/>
                <w:vertAlign w:val="superscript"/>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Brown-Copeland of face value of ₹5 each</w:t>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tab/>
        <w:t>To be updated upon finalisation of Bean LLC, and subject to Bennett Group.</w:t>
      </w:r>
      <w:r>
        <w:rPr>
          <w:rStyle w:val="None"/>
          <w:i w:val="1"/>
          <w:iCs w:val="1"/>
          <w:sz w:val="16"/>
          <w:szCs w:val="16"/>
          <w:vertAlign w:val="baseline"/>
          <w:rtl w:val="0"/>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s-ES_tradnl"/>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pacing w:val="-2"/>
          <w:sz w:val="16"/>
          <w:szCs w:val="16"/>
          <w:vertAlign w:val="baseline"/>
          <w:rtl w:val="0"/>
        </w:rPr>
      </w:r>
    </w:p>
    <w:p>
      <w:pPr>
        <w:pStyle w:val="Body"/>
        <w:spacing w:before="1"/>
        <w:ind w:left="448" w:right="150" w:hanging="360"/>
        <w:jc w:val="both"/>
        <w:rPr>
          <w:rStyle w:val="Hyperlink.8"/>
        </w:rPr>
      </w:pPr>
      <w:r>
        <w:rPr>
          <w:rStyle w:val="None"/>
          <w:i w:val="1"/>
          <w:iCs w:val="1"/>
          <w:sz w:val="16"/>
          <w:szCs w:val="16"/>
          <w:vertAlign w:val="superscript"/>
          <w:rtl w:val="0"/>
        </w:rPr>
        <w:t>(1)  For details in relation to the changes in the authorised share capital of our Company in the last 10 years, see “History and Certain Corporate Matters – Amendments to our Johnston-Hines in the last 10 years” on page 244.</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p>
    <w:p>
      <w:pPr>
        <w:pStyle w:val="Body"/>
        <w:spacing w:before="160"/>
        <w:ind w:left="448" w:right="149" w:hanging="360"/>
        <w:jc w:val="both"/>
        <w:rPr>
          <w:rStyle w:val="Hyperlink.8"/>
        </w:rPr>
      </w:pPr>
      <w:r>
        <w:rPr>
          <w:rStyle w:val="None"/>
          <w:i w:val="1"/>
          <w:iCs w:val="1"/>
          <w:sz w:val="16"/>
          <w:szCs w:val="16"/>
          <w:vertAlign w:val="superscript"/>
          <w:rtl w:val="0"/>
        </w:rPr>
        <w:t>(2)  The Offer has been approved by our Board pursuant to the resolution passed at its meeting held on [DOB] and our Osborne Llc have authorized the Fresh Issue pursuant to a special resolution passed at their meeting held on [DOB]. Further, our Board has taken on record the consents of Manning Group to participate in Phillips Wagner and Jordan pursuant to its resolution dated [DOB] and Li-Thompson has taken on record further updated consents of Manning Group pursuant to its resolutions dated [DOB] and [DOB],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fr-FR"/>
        </w:rPr>
      </w:r>
      <w:r>
        <w:rPr>
          <w:rStyle w:val="None"/>
          <w:i w:val="1"/>
          <w:iCs w:val="1"/>
          <w:spacing w:val="-1"/>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it-IT"/>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p>
    <w:p>
      <w:pPr>
        <w:pStyle w:val="Body"/>
        <w:spacing w:before="159"/>
        <w:ind w:left="448" w:right="147" w:hanging="360"/>
        <w:jc w:val="both"/>
        <w:rPr>
          <w:rStyle w:val="Hyperlink.8"/>
        </w:rPr>
      </w:pPr>
      <w:r>
        <w:rPr>
          <w:rStyle w:val="None"/>
          <w:i w:val="1"/>
          <w:iCs w:val="1"/>
          <w:sz w:val="16"/>
          <w:szCs w:val="16"/>
          <w:vertAlign w:val="superscript"/>
          <w:rtl w:val="0"/>
        </w:rPr>
        <w:t>(3) Each of Manning Group have, severally and not jointly, consented to participate in Phillips Wagner and Jordan. Each of Manning Group has specifically confirmed that its respective portion of Farmer Dorsey and Bell has been held by each one of them for a period of at least one year prior to the filing of Johnson-Rogers and are accordingly eligible for being offered for sale in the Offer as required by the SEBI ICDR Regulations. Further, each of Manning Group has confirmed that it is in compliance with the conditions specified in Regulation 8 of the SEBI ICDR Regulations, to the extent applicable, as on the date of this Red Herring Mcdonald-Bird. For details on the authorisation of Manning Group in relation to Farmer Dorsey and Bell, see “The Offer” and “Other Regulatory and Statutory Disclosures” on pages 67 and 398, respectively.</w:t>
      </w:r>
      <w:r>
        <w:rPr>
          <w:rStyle w:val="None"/>
          <w:i w:val="1"/>
          <w:iCs w:val="1"/>
          <w:spacing w:val="80"/>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lang w:val="da-DK"/>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fr-FR"/>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da-DK"/>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nl-NL"/>
        </w:rPr>
      </w:r>
      <w:r>
        <w:rPr>
          <w:rStyle w:val="None"/>
          <w:i w:val="1"/>
          <w:iCs w:val="1"/>
          <w:spacing w:val="-7"/>
          <w:sz w:val="16"/>
          <w:szCs w:val="16"/>
          <w:vertAlign w:val="baseline"/>
          <w:rtl w:val="0"/>
        </w:rPr>
      </w:r>
      <w:r>
        <w:rPr>
          <w:rStyle w:val="None"/>
          <w:i w:val="1"/>
          <w:iCs w:val="1"/>
          <w:sz w:val="16"/>
          <w:szCs w:val="16"/>
          <w:vertAlign w:val="baseline"/>
          <w:rtl w:val="0"/>
          <w:lang w:val="en-US"/>
        </w:rPr>
      </w:r>
      <w:r>
        <w:rPr>
          <w:rStyle w:val="None"/>
          <w:i w:val="1"/>
          <w:iCs w:val="1"/>
          <w:spacing w:val="-2"/>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de-DE"/>
        </w:rPr>
      </w:r>
      <w:r>
        <w:rPr>
          <w:rStyle w:val="None"/>
          <w:i w:val="1"/>
          <w:iCs w:val="1"/>
          <w:spacing w:val="-5"/>
          <w:sz w:val="16"/>
          <w:szCs w:val="16"/>
          <w:vertAlign w:val="baseline"/>
          <w:rtl w:val="0"/>
        </w:rPr>
      </w:r>
      <w:r>
        <w:rPr>
          <w:rStyle w:val="None"/>
          <w:i w:val="1"/>
          <w:iCs w:val="1"/>
          <w:sz w:val="16"/>
          <w:szCs w:val="16"/>
          <w:vertAlign w:val="baseline"/>
          <w:rtl w:val="0"/>
          <w:lang w:val="pt-PT"/>
        </w:rPr>
      </w:r>
      <w:r>
        <w:rPr>
          <w:rStyle w:val="None"/>
          <w:i w:val="1"/>
          <w:iCs w:val="1"/>
          <w:spacing w:val="-5"/>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5"/>
          <w:sz w:val="16"/>
          <w:szCs w:val="16"/>
          <w:vertAlign w:val="baseline"/>
          <w:rtl w:val="0"/>
        </w:rPr>
      </w:r>
      <w:r>
        <w:rPr>
          <w:rStyle w:val="None"/>
          <w:i w:val="1"/>
          <w:iCs w:val="1"/>
          <w:sz w:val="16"/>
          <w:szCs w:val="16"/>
          <w:vertAlign w:val="baseline"/>
          <w:rtl w:val="0"/>
          <w:lang w:val="en-US"/>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rPr>
      </w:r>
      <w:r>
        <w:rPr>
          <w:rStyle w:val="None"/>
          <w:i w:val="1"/>
          <w:iCs w:val="1"/>
          <w:spacing w:val="40"/>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z w:val="16"/>
          <w:szCs w:val="16"/>
          <w:vertAlign w:val="baseline"/>
          <w:rtl w:val="1"/>
          <w:lang w:val="ar-SA" w:bidi="ar-SA"/>
        </w:rPr>
      </w:r>
      <w:r>
        <w:rPr>
          <w:rStyle w:val="None"/>
          <w:i w:val="1"/>
          <w:iCs w:val="1"/>
          <w:sz w:val="16"/>
          <w:szCs w:val="16"/>
          <w:vertAlign w:val="baseline"/>
          <w:rtl w:val="0"/>
          <w:lang w:val="en-US"/>
        </w:rPr>
      </w:r>
      <w:r>
        <w:rPr>
          <w:rStyle w:val="None"/>
          <w:i w:val="1"/>
          <w:iCs w:val="1"/>
          <w:sz w:val="16"/>
          <w:szCs w:val="16"/>
          <w:vertAlign w:val="baseline"/>
          <w:rtl w:val="0"/>
        </w:rPr>
      </w:r>
      <w:r>
        <w:rPr>
          <w:rStyle w:val="None"/>
          <w:i w:val="1"/>
          <w:iCs w:val="1"/>
          <w:sz w:val="16"/>
          <w:szCs w:val="16"/>
          <w:vertAlign w:val="baseline"/>
          <w:rtl w:val="0"/>
          <w:lang w:val="en-US"/>
        </w:rPr>
      </w:r>
      <w:r>
        <w:rPr>
          <w:rStyle w:val="None"/>
          <w:i w:val="1"/>
          <w:iCs w:val="1"/>
          <w:spacing w:val="40"/>
          <w:sz w:val="16"/>
          <w:szCs w:val="16"/>
          <w:vertAlign w:val="baseline"/>
          <w:rtl w:val="0"/>
        </w:rPr>
      </w:r>
      <w:r>
        <w:rPr>
          <w:rStyle w:val="None"/>
          <w:i w:val="1"/>
          <w:iCs w:val="1"/>
          <w:spacing w:val="-2"/>
          <w:sz w:val="16"/>
          <w:szCs w:val="16"/>
          <w:vertAlign w:val="baseline"/>
          <w:rtl w:val="0"/>
          <w:lang w:val="en-US"/>
        </w:rPr>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