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Cronograma do Projeto Gerenciamento Imobiliário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06/04 – Análise de requisitos e entrega do cronograma;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07/04 – Cadastro de Clientes (locatário e locador), corretores e secretários e imóveis;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08/04 – Editar listar clientes, corretores e imóveis; realização de vendas e alugueis.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09/04 – Agendamento de visitas : Parte 1. excluir e listar clientes, corretores e imóveis;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10/04 – Agendamento de visitas: Parte 2. Entrega do projeto;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13/04 – Apresentação do projeto;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