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160" w:before="0"/>
        <w:jc w:val="center"/>
      </w:pPr>
      <w:r>
        <w:rPr>
          <w:rFonts w:ascii="Arial" w:cs="Arial" w:eastAsia="Arial" w:hAnsi="Arial"/>
          <w:b/>
          <w:bCs/>
          <w:color w:val="1F4E79"/>
          <w:sz w:val="52"/>
          <w:szCs w:val="52"/>
        </w:rPr>
        <w:t xml:space="preserve">CBIZ EPR Customization for Acumatica</w:t>
      </w:r>
    </w:p>
    <w:p>
      <w:pPr>
        <w:spacing w:after="80" w:before="0"/>
        <w:jc w:val="center"/>
      </w:pPr>
      <w:r>
        <w:rPr>
          <w:rFonts w:ascii="Arial" w:cs="Arial" w:eastAsia="Arial" w:hAnsi="Arial"/>
          <w:color w:val="2E75B6"/>
          <w:sz w:val="32"/>
          <w:szCs w:val="32"/>
        </w:rPr>
        <w:t xml:space="preserve">End User Documentation</w:t>
      </w:r>
    </w:p>
    <w:p>
      <w:pPr>
        <w:spacing w:after="80" w:before="0"/>
        <w:jc w:val="center"/>
      </w:pPr>
      <w:r>
        <w:rPr>
          <w:rFonts w:ascii="Arial" w:cs="Arial" w:eastAsia="Arial" w:hAnsi="Arial"/>
          <w:b/>
          <w:bCs/>
          <w:color w:val="595959"/>
          <w:sz w:val="28"/>
          <w:szCs w:val="28"/>
        </w:rPr>
        <w:t xml:space="preserve">Version 1.10.3</w:t>
      </w:r>
    </w:p>
    <w:p>
      <w:pPr>
        <w:spacing w:after="480" w:before="0"/>
        <w:jc w:val="center"/>
      </w:pPr>
      <w:r>
        <w:rPr>
          <w:rFonts w:ascii="Arial" w:cs="Arial" w:eastAsia="Arial" w:hAnsi="Arial"/>
          <w:color w:val="595959"/>
          <w:sz w:val="22"/>
          <w:szCs w:val="22"/>
        </w:rPr>
        <w:t xml:space="preserve">Release Date: June 23, 2025</w:t>
      </w:r>
    </w:p>
    <w:p>
      <w:pPr>
        <w:pBdr>
          <w:bottom w:val="single" w:color="2E75B6" w:sz="6" w:space="1"/>
        </w:pBdr>
        <w:spacing w:after="120" w:before="120"/>
      </w:pPr>
      <w:r>
        <w:t xml:space="preserve"/>
      </w:r>
    </w:p>
    <w:p>
      <w:pPr>
        <w:spacing w:after="0" w:before="240"/>
      </w:pPr>
      <w:r>
        <w:t xml:space="preserve"/>
      </w:r>
    </w:p>
    <w:p>
      <w:pPr>
        <w:spacing w:after="80" w:before="0"/>
        <w:jc w:val="center"/>
      </w:pPr>
      <w:r>
        <w:rPr>
          <w:rFonts w:ascii="Arial" w:cs="Arial" w:eastAsia="Arial" w:hAnsi="Arial"/>
          <w:i/>
          <w:iCs/>
          <w:color w:val="595959"/>
          <w:sz w:val="20"/>
          <w:szCs w:val="20"/>
        </w:rPr>
        <w:t xml:space="preserve">Prepared for Internal Distribution</w:t>
      </w:r>
    </w:p>
    <w:p>
      <w:pPr>
        <w:spacing w:after="80" w:before="0"/>
        <w:jc w:val="center"/>
      </w:pPr>
      <w:r>
        <w:rPr>
          <w:rFonts w:ascii="Arial" w:cs="Arial" w:eastAsia="Arial" w:hAnsi="Arial"/>
          <w:color w:val="595959"/>
          <w:sz w:val="20"/>
          <w:szCs w:val="20"/>
        </w:rPr>
        <w:t xml:space="preserve">Acumatica Version 24.210</w:t>
      </w:r>
    </w:p>
    <w:p>
      <w:r>
        <w:br w:type="page"/>
      </w:r>
    </w:p>
    <w:p>
      <w:pPr>
        <w:pStyle w:val="Heading1"/>
        <w:spacing w:after="120" w:before="360"/>
      </w:pPr>
      <w:r>
        <w:rPr>
          <w:rFonts w:ascii="Arial" w:cs="Arial" w:eastAsia="Arial" w:hAnsi="Arial"/>
          <w:b/>
          <w:bCs/>
          <w:color w:val="1F4E79"/>
          <w:sz w:val="32"/>
          <w:szCs w:val="32"/>
        </w:rPr>
        <w:t xml:space="preserve">1.  Purpose and Background</w:t>
      </w:r>
    </w:p>
    <w:p>
      <w:pPr>
        <w:pBdr>
          <w:bottom w:val="single" w:color="2E75B6" w:sz="6" w:space="1"/>
        </w:pBdr>
        <w:spacing w:after="120" w:before="120"/>
      </w:pPr>
      <w:r>
        <w:t xml:space="preserve"/>
      </w:r>
    </w:p>
    <w:p>
      <w:pPr>
        <w:spacing w:after="80" w:before="60"/>
      </w:pPr>
      <w:r>
        <w:rPr>
          <w:rFonts w:ascii="Arial" w:cs="Arial" w:eastAsia="Arial" w:hAnsi="Arial"/>
          <w:color w:val="595959"/>
          <w:sz w:val="22"/>
          <w:szCs w:val="22"/>
        </w:rPr>
        <w:t xml:space="preserve">This customization adds an EPR (Extended Producer Responsibility) tab to the Stock Items and Non-Stock Items screens in Acumatica. It enables your organization to capture packaging material weights and component counts per inventory item, supporting compliance reporting obligations under EPR regulations.</w:t>
      </w:r>
    </w:p>
    <w:p>
      <w:pPr>
        <w:spacing w:after="0" w:before="80"/>
      </w:pPr>
      <w:r>
        <w:t xml:space="preserve"/>
      </w:r>
    </w:p>
    <w:p>
      <w:pPr>
        <w:spacing w:after="80" w:before="60"/>
      </w:pPr>
      <w:r>
        <w:rPr>
          <w:rFonts w:ascii="Arial" w:cs="Arial" w:eastAsia="Arial" w:hAnsi="Arial"/>
          <w:color w:val="595959"/>
          <w:sz w:val="22"/>
          <w:szCs w:val="22"/>
        </w:rPr>
        <w:t xml:space="preserve">California's EPR legislation introduced an additional requirement: plastic packaging materials must track not only weight but also the number of individual packaging components. This release addresses both the standard weight-based reporting and the California-specific count requirement.</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1.1  What Is EPR Reporting?</w:t>
      </w:r>
    </w:p>
    <w:p>
      <w:pPr>
        <w:spacing w:after="80" w:before="60"/>
      </w:pPr>
      <w:r>
        <w:rPr>
          <w:rFonts w:ascii="Arial" w:cs="Arial" w:eastAsia="Arial" w:hAnsi="Arial"/>
          <w:color w:val="595959"/>
          <w:sz w:val="22"/>
          <w:szCs w:val="22"/>
        </w:rPr>
        <w:t xml:space="preserve">Extended Producer Responsibility (EPR) programs require producers to report the type and quantity of packaging materials associated with their products. Reported data is typically submitted to a Producer Responsibility Organization (PRO) and used to calculate fees, recycling targets, and compliance standing.</w:t>
      </w:r>
    </w:p>
    <w:p>
      <w:pPr>
        <w:spacing w:after="0" w:before="80"/>
      </w:pPr>
      <w:r>
        <w:t xml:space="preserve"/>
      </w:r>
    </w:p>
    <w:p>
      <w:pPr>
        <w:spacing w:after="80" w:before="60"/>
      </w:pPr>
      <w:r>
        <w:rPr>
          <w:rFonts w:ascii="Arial" w:cs="Arial" w:eastAsia="Arial" w:hAnsi="Arial"/>
          <w:color w:val="595959"/>
          <w:sz w:val="22"/>
          <w:szCs w:val="22"/>
        </w:rPr>
        <w:t xml:space="preserve">The fields added by this customization correspond to the material categories defined in EPR reporting frameworks. Each field stores a value per inventory item, which your reporting process can aggregate across sales volumes to generate required submissions.</w:t>
      </w:r>
    </w:p>
    <w:p>
      <w:r>
        <w:br w:type="page"/>
      </w:r>
    </w:p>
    <w:p>
      <w:pPr>
        <w:pStyle w:val="Heading1"/>
        <w:spacing w:after="120" w:before="360"/>
      </w:pPr>
      <w:r>
        <w:rPr>
          <w:rFonts w:ascii="Arial" w:cs="Arial" w:eastAsia="Arial" w:hAnsi="Arial"/>
          <w:b/>
          <w:bCs/>
          <w:color w:val="1F4E79"/>
          <w:sz w:val="32"/>
          <w:szCs w:val="32"/>
        </w:rPr>
        <w:t xml:space="preserve">2.  What Changed in Version 1.10.3</w:t>
      </w:r>
    </w:p>
    <w:p>
      <w:pPr>
        <w:pBdr>
          <w:bottom w:val="single" w:color="2E75B6" w:sz="6" w:space="1"/>
        </w:pBdr>
        <w:spacing w:after="120" w:before="120"/>
      </w:pPr>
      <w:r>
        <w:t xml:space="preserve"/>
      </w:r>
    </w:p>
    <w:p>
      <w:pPr>
        <w:spacing w:after="80" w:before="60"/>
      </w:pPr>
      <w:r>
        <w:rPr>
          <w:rFonts w:ascii="Arial" w:cs="Arial" w:eastAsia="Arial" w:hAnsi="Arial"/>
          <w:color w:val="595959"/>
          <w:sz w:val="22"/>
          <w:szCs w:val="22"/>
        </w:rPr>
        <w:t xml:space="preserve">This is the initial production release of the EPR customization. The following changes were made to the Acumatica environment:</w:t>
      </w:r>
    </w:p>
    <w:p>
      <w:pPr>
        <w:spacing w:after="0" w:before="80"/>
      </w:pPr>
      <w:r>
        <w:t xml:space="preserve"/>
      </w:r>
    </w:p>
    <w:p>
      <w:pPr>
        <w:pStyle w:val="ListParagraph"/>
        <w:numPr>
          <w:ilvl w:val="0"/>
          <w:numId w:val="2"/>
        </w:numPr>
        <w:spacing w:after="40" w:before="40"/>
      </w:pPr>
      <w:r>
        <w:rPr>
          <w:rFonts w:ascii="Arial" w:cs="Arial" w:eastAsia="Arial" w:hAnsi="Arial"/>
          <w:color w:val="595959"/>
          <w:sz w:val="22"/>
          <w:szCs w:val="22"/>
        </w:rPr>
        <w:t xml:space="preserve">A new EPR tab was added to both the Stock Items screen (IN202000) and the Non-Stock Items screen (IN202500).</w:t>
      </w:r>
    </w:p>
    <w:p>
      <w:pPr>
        <w:pStyle w:val="ListParagraph"/>
        <w:numPr>
          <w:ilvl w:val="0"/>
          <w:numId w:val="2"/>
        </w:numPr>
        <w:spacing w:after="40" w:before="40"/>
      </w:pPr>
      <w:r>
        <w:rPr>
          <w:rFonts w:ascii="Arial" w:cs="Arial" w:eastAsia="Arial" w:hAnsi="Arial"/>
          <w:color w:val="595959"/>
          <w:sz w:val="22"/>
          <w:szCs w:val="22"/>
        </w:rPr>
        <w:t xml:space="preserve">Fifteen data fields were created to capture packaging material information per inventory item.</w:t>
      </w:r>
    </w:p>
    <w:p>
      <w:pPr>
        <w:pStyle w:val="ListParagraph"/>
        <w:numPr>
          <w:ilvl w:val="0"/>
          <w:numId w:val="2"/>
        </w:numPr>
        <w:spacing w:after="40" w:before="40"/>
      </w:pPr>
      <w:r>
        <w:rPr>
          <w:rFonts w:ascii="Arial" w:cs="Arial" w:eastAsia="Arial" w:hAnsi="Arial"/>
          <w:color w:val="595959"/>
          <w:sz w:val="22"/>
          <w:szCs w:val="22"/>
        </w:rPr>
        <w:t xml:space="preserve">Eleven fields capture weight-based amounts (stored as decimal values with up to 9 decimal places of precision).</w:t>
      </w:r>
    </w:p>
    <w:p>
      <w:pPr>
        <w:pStyle w:val="ListParagraph"/>
        <w:numPr>
          <w:ilvl w:val="0"/>
          <w:numId w:val="2"/>
        </w:numPr>
        <w:spacing w:after="40" w:before="40"/>
      </w:pPr>
      <w:r>
        <w:rPr>
          <w:rFonts w:ascii="Arial" w:cs="Arial" w:eastAsia="Arial" w:hAnsi="Arial"/>
          <w:color w:val="595959"/>
          <w:sz w:val="22"/>
          <w:szCs w:val="22"/>
        </w:rPr>
        <w:t xml:space="preserve">Four fields capture component counts for plastic materials, as required by California EPR regulations (stored as integers).</w:t>
      </w:r>
    </w:p>
    <w:p>
      <w:pPr>
        <w:pStyle w:val="ListParagraph"/>
        <w:numPr>
          <w:ilvl w:val="0"/>
          <w:numId w:val="2"/>
        </w:numPr>
        <w:spacing w:after="40" w:before="40"/>
      </w:pPr>
      <w:r>
        <w:rPr>
          <w:rFonts w:ascii="Arial" w:cs="Arial" w:eastAsia="Arial" w:hAnsi="Arial"/>
          <w:color w:val="595959"/>
          <w:sz w:val="22"/>
          <w:szCs w:val="22"/>
        </w:rPr>
        <w:t xml:space="preserve">All fields are optional — leaving a field blank or at zero will not prevent saving the item record.</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2.1  Screens Affected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ECCE4" w:sz="1"/>
              <w:left w:val="single" w:color="AECCE4" w:sz="1"/>
              <w:bottom w:val="single" w:color="AECCE4" w:sz="1"/>
              <w:right w:val="single" w:color="AE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 ID</w:t>
            </w:r>
          </w:p>
        </w:tc>
        <w:tc>
          <w:tcPr>
            <w:tcW w:type="dxa" w:w="3000"/>
            <w:tcBorders>
              <w:top w:val="single" w:color="AECCE4" w:sz="1"/>
              <w:left w:val="single" w:color="AECCE4" w:sz="1"/>
              <w:bottom w:val="single" w:color="AECCE4" w:sz="1"/>
              <w:right w:val="single" w:color="AE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 Name</w:t>
            </w:r>
          </w:p>
        </w:tc>
        <w:tc>
          <w:tcPr>
            <w:tcW w:type="dxa" w:w="4360"/>
            <w:tcBorders>
              <w:top w:val="single" w:color="AECCE4" w:sz="1"/>
              <w:left w:val="single" w:color="AECCE4" w:sz="1"/>
              <w:bottom w:val="single" w:color="AECCE4" w:sz="1"/>
              <w:right w:val="single" w:color="AE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Changes</w:t>
            </w:r>
          </w:p>
        </w:tc>
      </w:tr>
      <w:tr>
        <w:tc>
          <w:tcPr>
            <w:tcW w:type="dxa" w:w="2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IN202000</w:t>
            </w:r>
          </w:p>
        </w:tc>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Stock Items</w:t>
            </w:r>
          </w:p>
        </w:tc>
        <w:tc>
          <w:tcPr>
            <w:tcW w:type="dxa" w:w="4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EPR tab added with all 15 fields</w:t>
            </w:r>
          </w:p>
        </w:tc>
      </w:tr>
      <w:tr>
        <w:tc>
          <w:tcPr>
            <w:tcW w:type="dxa" w:w="2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IN202500</w:t>
            </w:r>
          </w:p>
        </w:tc>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Non-Stock Items</w:t>
            </w:r>
          </w:p>
        </w:tc>
        <w:tc>
          <w:tcPr>
            <w:tcW w:type="dxa" w:w="4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EPR tab added with all 15 fields</w:t>
            </w:r>
          </w:p>
        </w:tc>
      </w:tr>
    </w:tbl>
    <w:p>
      <w:pPr>
        <w:spacing w:after="0" w:before="160"/>
      </w:pPr>
      <w:r>
        <w:t xml:space="preserve"/>
      </w:r>
    </w:p>
    <w:p>
      <w:pPr>
        <w:pStyle w:val="Heading2"/>
        <w:spacing w:after="80" w:before="240"/>
      </w:pPr>
      <w:r>
        <w:rPr>
          <w:rFonts w:ascii="Arial" w:cs="Arial" w:eastAsia="Arial" w:hAnsi="Arial"/>
          <w:b/>
          <w:bCs/>
          <w:color w:val="2E75B6"/>
          <w:sz w:val="26"/>
          <w:szCs w:val="26"/>
        </w:rPr>
        <w:t xml:space="preserve">2.2  Database Changes</w:t>
      </w:r>
    </w:p>
    <w:p>
      <w:pPr>
        <w:spacing w:after="80" w:before="60"/>
      </w:pPr>
      <w:r>
        <w:rPr>
          <w:rFonts w:ascii="Arial" w:cs="Arial" w:eastAsia="Arial" w:hAnsi="Arial"/>
          <w:color w:val="595959"/>
          <w:sz w:val="22"/>
          <w:szCs w:val="22"/>
        </w:rPr>
        <w:t xml:space="preserve">Fifteen new columns were added to the InventoryItem table in the Acumatica database. Weight columns are stored as decimal(16,9), providing sufficient precision for fractional gram-level weights. Count columns are stored as integers.</w:t>
      </w:r>
    </w:p>
    <w:p>
      <w:pPr>
        <w:spacing w:after="80" w:before="60"/>
      </w:pPr>
      <w:r>
        <w:rPr>
          <w:rFonts w:ascii="Arial" w:cs="Arial" w:eastAsia="Arial" w:hAnsi="Arial"/>
          <w:color w:val="595959"/>
          <w:sz w:val="22"/>
          <w:szCs w:val="22"/>
        </w:rPr>
        <w:t xml:space="preserve">No existing columns or data were modified. This customization is additive only.</w:t>
      </w:r>
    </w:p>
    <w:p>
      <w:r>
        <w:br w:type="page"/>
      </w:r>
    </w:p>
    <w:p>
      <w:pPr>
        <w:pStyle w:val="Heading1"/>
        <w:spacing w:after="120" w:before="360"/>
      </w:pPr>
      <w:r>
        <w:rPr>
          <w:rFonts w:ascii="Arial" w:cs="Arial" w:eastAsia="Arial" w:hAnsi="Arial"/>
          <w:b/>
          <w:bCs/>
          <w:color w:val="1F4E79"/>
          <w:sz w:val="32"/>
          <w:szCs w:val="32"/>
        </w:rPr>
        <w:t xml:space="preserve">3.  Navigating to the EPR Tab</w:t>
      </w:r>
    </w:p>
    <w:p>
      <w:pPr>
        <w:pBdr>
          <w:bottom w:val="single" w:color="2E75B6" w:sz="6"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3.1  Stock Items (IN202000)</w:t>
      </w:r>
    </w:p>
    <w:p>
      <w:pPr>
        <w:spacing w:after="80" w:before="60"/>
      </w:pPr>
      <w:r>
        <w:rPr>
          <w:rFonts w:ascii="Arial" w:cs="Arial" w:eastAsia="Arial" w:hAnsi="Arial"/>
          <w:color w:val="595959"/>
          <w:sz w:val="22"/>
          <w:szCs w:val="22"/>
        </w:rPr>
        <w:t xml:space="preserve">The EPR tab is accessible from the Stock Items maintenance screen:</w:t>
      </w:r>
    </w:p>
    <w:p>
      <w:pPr>
        <w:spacing w:after="0" w:before="60"/>
      </w:pPr>
      <w:r>
        <w:t xml:space="preserve"/>
      </w:r>
    </w:p>
    <w:p>
      <w:pPr>
        <w:pStyle w:val="ListParagraph"/>
        <w:numPr>
          <w:ilvl w:val="0"/>
          <w:numId w:val="2"/>
        </w:numPr>
        <w:spacing w:after="40" w:before="40"/>
      </w:pPr>
      <w:r>
        <w:rPr>
          <w:rFonts w:ascii="Arial" w:cs="Arial" w:eastAsia="Arial" w:hAnsi="Arial"/>
          <w:color w:val="595959"/>
          <w:sz w:val="22"/>
          <w:szCs w:val="22"/>
        </w:rPr>
        <w:t xml:space="preserve">Navigate to Inventory &gt; Inventory Items &gt; Stock Items.</w:t>
      </w:r>
    </w:p>
    <w:p>
      <w:pPr>
        <w:pStyle w:val="ListParagraph"/>
        <w:numPr>
          <w:ilvl w:val="0"/>
          <w:numId w:val="2"/>
        </w:numPr>
        <w:spacing w:after="40" w:before="40"/>
      </w:pPr>
      <w:r>
        <w:rPr>
          <w:rFonts w:ascii="Arial" w:cs="Arial" w:eastAsia="Arial" w:hAnsi="Arial"/>
          <w:color w:val="595959"/>
          <w:sz w:val="22"/>
          <w:szCs w:val="22"/>
        </w:rPr>
        <w:t xml:space="preserve">Open any existing stock item, or create a new one.</w:t>
      </w:r>
    </w:p>
    <w:p>
      <w:pPr>
        <w:pStyle w:val="ListParagraph"/>
        <w:numPr>
          <w:ilvl w:val="0"/>
          <w:numId w:val="2"/>
        </w:numPr>
        <w:spacing w:after="40" w:before="40"/>
      </w:pPr>
      <w:r>
        <w:rPr>
          <w:rFonts w:ascii="Arial" w:cs="Arial" w:eastAsia="Arial" w:hAnsi="Arial"/>
          <w:color w:val="595959"/>
          <w:sz w:val="22"/>
          <w:szCs w:val="22"/>
        </w:rPr>
        <w:t xml:space="preserve">Locate the tab row near the top of the form. The tabs include General, Price/Cost, Manufacturing, Warehouses, Vendors, Attributes, Packaging, Cross-Reference, Related Items, and EPR.</w:t>
      </w:r>
    </w:p>
    <w:p>
      <w:pPr>
        <w:pStyle w:val="ListParagraph"/>
        <w:numPr>
          <w:ilvl w:val="0"/>
          <w:numId w:val="2"/>
        </w:numPr>
        <w:spacing w:after="40" w:before="40"/>
      </w:pPr>
      <w:r>
        <w:rPr>
          <w:rFonts w:ascii="Arial" w:cs="Arial" w:eastAsia="Arial" w:hAnsi="Arial"/>
          <w:color w:val="595959"/>
          <w:sz w:val="22"/>
          <w:szCs w:val="22"/>
        </w:rPr>
        <w:t xml:space="preserve">Click the EPR tab to display the packaging material fields.</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3.2  Non-Stock Items (IN202500)</w:t>
      </w:r>
    </w:p>
    <w:p>
      <w:pPr>
        <w:spacing w:after="80" w:before="60"/>
      </w:pPr>
      <w:r>
        <w:rPr>
          <w:rFonts w:ascii="Arial" w:cs="Arial" w:eastAsia="Arial" w:hAnsi="Arial"/>
          <w:color w:val="595959"/>
          <w:sz w:val="22"/>
          <w:szCs w:val="22"/>
        </w:rPr>
        <w:t xml:space="preserve">The EPR tab is also available on the Non-Stock Items screen:</w:t>
      </w:r>
    </w:p>
    <w:p>
      <w:pPr>
        <w:spacing w:after="0" w:before="60"/>
      </w:pPr>
      <w:r>
        <w:t xml:space="preserve"/>
      </w:r>
    </w:p>
    <w:p>
      <w:pPr>
        <w:pStyle w:val="ListParagraph"/>
        <w:numPr>
          <w:ilvl w:val="0"/>
          <w:numId w:val="2"/>
        </w:numPr>
        <w:spacing w:after="40" w:before="40"/>
      </w:pPr>
      <w:r>
        <w:rPr>
          <w:rFonts w:ascii="Arial" w:cs="Arial" w:eastAsia="Arial" w:hAnsi="Arial"/>
          <w:color w:val="595959"/>
          <w:sz w:val="22"/>
          <w:szCs w:val="22"/>
        </w:rPr>
        <w:t xml:space="preserve">Navigate to Inventory &gt; Inventory Items &gt; Non-Stock Items.</w:t>
      </w:r>
    </w:p>
    <w:p>
      <w:pPr>
        <w:pStyle w:val="ListParagraph"/>
        <w:numPr>
          <w:ilvl w:val="0"/>
          <w:numId w:val="2"/>
        </w:numPr>
        <w:spacing w:after="40" w:before="40"/>
      </w:pPr>
      <w:r>
        <w:rPr>
          <w:rFonts w:ascii="Arial" w:cs="Arial" w:eastAsia="Arial" w:hAnsi="Arial"/>
          <w:color w:val="595959"/>
          <w:sz w:val="22"/>
          <w:szCs w:val="22"/>
        </w:rPr>
        <w:t xml:space="preserve">Open any existing non-stock item, or create a new one.</w:t>
      </w:r>
    </w:p>
    <w:p>
      <w:pPr>
        <w:pStyle w:val="ListParagraph"/>
        <w:numPr>
          <w:ilvl w:val="0"/>
          <w:numId w:val="2"/>
        </w:numPr>
        <w:spacing w:after="40" w:before="40"/>
      </w:pPr>
      <w:r>
        <w:rPr>
          <w:rFonts w:ascii="Arial" w:cs="Arial" w:eastAsia="Arial" w:hAnsi="Arial"/>
          <w:color w:val="595959"/>
          <w:sz w:val="22"/>
          <w:szCs w:val="22"/>
        </w:rPr>
        <w:t xml:space="preserve">Click the EPR tab in the tab row.</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3.3  Tab Layout</w:t>
      </w:r>
    </w:p>
    <w:p>
      <w:pPr>
        <w:spacing w:after="80" w:before="60"/>
      </w:pPr>
      <w:r>
        <w:rPr>
          <w:rFonts w:ascii="Arial" w:cs="Arial" w:eastAsia="Arial" w:hAnsi="Arial"/>
          <w:color w:val="595959"/>
          <w:sz w:val="22"/>
          <w:szCs w:val="22"/>
        </w:rPr>
        <w:t xml:space="preserve">The EPR tab displays all packaging fields in a vertical list. For the four plastic material types that require a count (LDPEWRAP, LDPEBAG, PPRIGID, and EPSFOAM), the weight field appears on the left and the corresponding count field appears immediately to its right on the same row.</w:t>
      </w:r>
    </w:p>
    <w:p>
      <w:pPr>
        <w:spacing w:after="80" w:before="60"/>
      </w:pPr>
      <w:r>
        <w:rPr>
          <w:rFonts w:ascii="Arial" w:cs="Arial" w:eastAsia="Arial" w:hAnsi="Arial"/>
          <w:color w:val="595959"/>
          <w:sz w:val="22"/>
          <w:szCs w:val="22"/>
        </w:rPr>
        <w:t xml:space="preserve">All other material types display a single weight field per row.</w:t>
      </w:r>
    </w:p>
    <w:p>
      <w:r>
        <w:br w:type="page"/>
      </w:r>
    </w:p>
    <w:p>
      <w:pPr>
        <w:pStyle w:val="Heading1"/>
        <w:spacing w:after="120" w:before="360"/>
      </w:pPr>
      <w:r>
        <w:rPr>
          <w:rFonts w:ascii="Arial" w:cs="Arial" w:eastAsia="Arial" w:hAnsi="Arial"/>
          <w:b/>
          <w:bCs/>
          <w:color w:val="1F4E79"/>
          <w:sz w:val="32"/>
          <w:szCs w:val="32"/>
        </w:rPr>
        <w:t xml:space="preserve">4.  Field Reference</w:t>
      </w:r>
    </w:p>
    <w:p>
      <w:pPr>
        <w:pBdr>
          <w:bottom w:val="single" w:color="2E75B6" w:sz="6" w:space="1"/>
        </w:pBdr>
        <w:spacing w:after="120" w:before="120"/>
      </w:pPr>
      <w:r>
        <w:t xml:space="preserve"/>
      </w:r>
    </w:p>
    <w:p>
      <w:pPr>
        <w:spacing w:after="80" w:before="60"/>
      </w:pPr>
      <w:r>
        <w:rPr>
          <w:rFonts w:ascii="Arial" w:cs="Arial" w:eastAsia="Arial" w:hAnsi="Arial"/>
          <w:color w:val="595959"/>
          <w:sz w:val="22"/>
          <w:szCs w:val="22"/>
        </w:rPr>
        <w:t xml:space="preserve">The table below describes all fields available on the EPR tab. Rows highlighted in blue are the California-specific plastic count fields introduced in this release.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860"/>
      </w:tblGrid>
      <w:tr>
        <w:trPr>
          <w:tblHeader/>
        </w:trPr>
        <w:tc>
          <w:tcPr>
            <w:tcW w:type="dxa" w:w="2200"/>
            <w:tcBorders>
              <w:top w:val="single" w:color="AECCE4" w:sz="1"/>
              <w:left w:val="single" w:color="AECCE4" w:sz="1"/>
              <w:bottom w:val="single" w:color="AECCE4" w:sz="1"/>
              <w:right w:val="single" w:color="AE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 Name</w:t>
            </w:r>
          </w:p>
        </w:tc>
        <w:tc>
          <w:tcPr>
            <w:tcW w:type="dxa" w:w="2800"/>
            <w:tcBorders>
              <w:top w:val="single" w:color="AECCE4" w:sz="1"/>
              <w:left w:val="single" w:color="AECCE4" w:sz="1"/>
              <w:bottom w:val="single" w:color="AECCE4" w:sz="1"/>
              <w:right w:val="single" w:color="AE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 Label</w:t>
            </w:r>
          </w:p>
        </w:tc>
        <w:tc>
          <w:tcPr>
            <w:tcW w:type="dxa" w:w="1500"/>
            <w:tcBorders>
              <w:top w:val="single" w:color="AECCE4" w:sz="1"/>
              <w:left w:val="single" w:color="AECCE4" w:sz="1"/>
              <w:bottom w:val="single" w:color="AECCE4" w:sz="1"/>
              <w:right w:val="single" w:color="AE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860"/>
            <w:tcBorders>
              <w:top w:val="single" w:color="AECCE4" w:sz="1"/>
              <w:left w:val="single" w:color="AECCE4" w:sz="1"/>
              <w:bottom w:val="single" w:color="AECCE4" w:sz="1"/>
              <w:right w:val="single" w:color="AE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UsrSteel</w:t>
            </w:r>
          </w:p>
        </w:tc>
        <w:tc>
          <w:tcPr>
            <w:tcW w:type="dxa" w:w="2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STEEL (Amount in eaches)</w:t>
            </w:r>
          </w:p>
        </w:tc>
        <w:tc>
          <w:tcPr>
            <w:tcW w:type="dxa" w:w="1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Decimal</w:t>
            </w:r>
          </w:p>
        </w:tc>
        <w:tc>
          <w:tcPr>
            <w:tcW w:type="dxa" w:w="28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Weight of steel packaging components</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UsrLDPEWRAP</w:t>
            </w:r>
          </w:p>
        </w:tc>
        <w:tc>
          <w:tcPr>
            <w:tcW w:type="dxa" w:w="2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LDPEWRAP (Amount in eaches)</w:t>
            </w:r>
          </w:p>
        </w:tc>
        <w:tc>
          <w:tcPr>
            <w:tcW w:type="dxa" w:w="1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Decimal</w:t>
            </w:r>
          </w:p>
        </w:tc>
        <w:tc>
          <w:tcPr>
            <w:tcW w:type="dxa" w:w="28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Weight of LDPE wrap packaging</w:t>
            </w:r>
          </w:p>
        </w:tc>
      </w:tr>
      <w:tr>
        <w:tc>
          <w:tcPr>
            <w:tcW w:type="dxa" w:w="22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bCs/>
                <w:color w:val="595959"/>
                <w:sz w:val="20"/>
                <w:szCs w:val="20"/>
              </w:rPr>
              <w:t xml:space="preserve">UsrLDPEWRAPCnt</w:t>
            </w:r>
          </w:p>
        </w:tc>
        <w:tc>
          <w:tcPr>
            <w:tcW w:type="dxa" w:w="28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val="false"/>
                <w:bCs w:val="false"/>
                <w:color w:val="595959"/>
                <w:sz w:val="20"/>
                <w:szCs w:val="20"/>
              </w:rPr>
              <w:t xml:space="preserve">LDPEWRAP (Count)</w:t>
            </w:r>
          </w:p>
        </w:tc>
        <w:tc>
          <w:tcPr>
            <w:tcW w:type="dxa" w:w="15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val="false"/>
                <w:bCs w:val="false"/>
                <w:color w:val="595959"/>
                <w:sz w:val="20"/>
                <w:szCs w:val="20"/>
              </w:rPr>
              <w:t xml:space="preserve">Integer</w:t>
            </w:r>
          </w:p>
        </w:tc>
        <w:tc>
          <w:tcPr>
            <w:tcW w:type="dxa" w:w="286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val="false"/>
                <w:bCs w:val="false"/>
                <w:color w:val="595959"/>
                <w:sz w:val="20"/>
                <w:szCs w:val="20"/>
              </w:rPr>
              <w:t xml:space="preserve">Number of LDPE wrap components (CA plastic count)</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UsrLDPEBAG</w:t>
            </w:r>
          </w:p>
        </w:tc>
        <w:tc>
          <w:tcPr>
            <w:tcW w:type="dxa" w:w="2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LDPEBAG (Amount in eaches)</w:t>
            </w:r>
          </w:p>
        </w:tc>
        <w:tc>
          <w:tcPr>
            <w:tcW w:type="dxa" w:w="1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Decimal</w:t>
            </w:r>
          </w:p>
        </w:tc>
        <w:tc>
          <w:tcPr>
            <w:tcW w:type="dxa" w:w="28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Weight of LDPE bag packaging</w:t>
            </w:r>
          </w:p>
        </w:tc>
      </w:tr>
      <w:tr>
        <w:tc>
          <w:tcPr>
            <w:tcW w:type="dxa" w:w="22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bCs/>
                <w:color w:val="595959"/>
                <w:sz w:val="20"/>
                <w:szCs w:val="20"/>
              </w:rPr>
              <w:t xml:space="preserve">UsrLDPEBAGCnt</w:t>
            </w:r>
          </w:p>
        </w:tc>
        <w:tc>
          <w:tcPr>
            <w:tcW w:type="dxa" w:w="28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val="false"/>
                <w:bCs w:val="false"/>
                <w:color w:val="595959"/>
                <w:sz w:val="20"/>
                <w:szCs w:val="20"/>
              </w:rPr>
              <w:t xml:space="preserve">LDPEBAG (Count)</w:t>
            </w:r>
          </w:p>
        </w:tc>
        <w:tc>
          <w:tcPr>
            <w:tcW w:type="dxa" w:w="15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val="false"/>
                <w:bCs w:val="false"/>
                <w:color w:val="595959"/>
                <w:sz w:val="20"/>
                <w:szCs w:val="20"/>
              </w:rPr>
              <w:t xml:space="preserve">Integer</w:t>
            </w:r>
          </w:p>
        </w:tc>
        <w:tc>
          <w:tcPr>
            <w:tcW w:type="dxa" w:w="286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val="false"/>
                <w:bCs w:val="false"/>
                <w:color w:val="595959"/>
                <w:sz w:val="20"/>
                <w:szCs w:val="20"/>
              </w:rPr>
              <w:t xml:space="preserve">Number of LDPE bag components (CA plastic count)</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UsrPPRIGID</w:t>
            </w:r>
          </w:p>
        </w:tc>
        <w:tc>
          <w:tcPr>
            <w:tcW w:type="dxa" w:w="2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PPRIGID (Amount in eaches)</w:t>
            </w:r>
          </w:p>
        </w:tc>
        <w:tc>
          <w:tcPr>
            <w:tcW w:type="dxa" w:w="1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Decimal</w:t>
            </w:r>
          </w:p>
        </w:tc>
        <w:tc>
          <w:tcPr>
            <w:tcW w:type="dxa" w:w="28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Weight of rigid polypropylene packaging</w:t>
            </w:r>
          </w:p>
        </w:tc>
      </w:tr>
      <w:tr>
        <w:tc>
          <w:tcPr>
            <w:tcW w:type="dxa" w:w="22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bCs/>
                <w:color w:val="595959"/>
                <w:sz w:val="20"/>
                <w:szCs w:val="20"/>
              </w:rPr>
              <w:t xml:space="preserve">UsrPPRIGIDCnt</w:t>
            </w:r>
          </w:p>
        </w:tc>
        <w:tc>
          <w:tcPr>
            <w:tcW w:type="dxa" w:w="28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val="false"/>
                <w:bCs w:val="false"/>
                <w:color w:val="595959"/>
                <w:sz w:val="20"/>
                <w:szCs w:val="20"/>
              </w:rPr>
              <w:t xml:space="preserve">PPRIGID (Count)</w:t>
            </w:r>
          </w:p>
        </w:tc>
        <w:tc>
          <w:tcPr>
            <w:tcW w:type="dxa" w:w="15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val="false"/>
                <w:bCs w:val="false"/>
                <w:color w:val="595959"/>
                <w:sz w:val="20"/>
                <w:szCs w:val="20"/>
              </w:rPr>
              <w:t xml:space="preserve">Integer</w:t>
            </w:r>
          </w:p>
        </w:tc>
        <w:tc>
          <w:tcPr>
            <w:tcW w:type="dxa" w:w="286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val="false"/>
                <w:bCs w:val="false"/>
                <w:color w:val="595959"/>
                <w:sz w:val="20"/>
                <w:szCs w:val="20"/>
              </w:rPr>
              <w:t xml:space="preserve">Number of rigid PP components (CA plastic count)</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UsrPAPCORR</w:t>
            </w:r>
          </w:p>
        </w:tc>
        <w:tc>
          <w:tcPr>
            <w:tcW w:type="dxa" w:w="2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PAPCORR (Amount in eaches)</w:t>
            </w:r>
          </w:p>
        </w:tc>
        <w:tc>
          <w:tcPr>
            <w:tcW w:type="dxa" w:w="1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Decimal</w:t>
            </w:r>
          </w:p>
        </w:tc>
        <w:tc>
          <w:tcPr>
            <w:tcW w:type="dxa" w:w="28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Weight of corrugated paper packaging</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UsrPAPBRD</w:t>
            </w:r>
          </w:p>
        </w:tc>
        <w:tc>
          <w:tcPr>
            <w:tcW w:type="dxa" w:w="2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PAPBRD (Amount in eaches)</w:t>
            </w:r>
          </w:p>
        </w:tc>
        <w:tc>
          <w:tcPr>
            <w:tcW w:type="dxa" w:w="1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Decimal</w:t>
            </w:r>
          </w:p>
        </w:tc>
        <w:tc>
          <w:tcPr>
            <w:tcW w:type="dxa" w:w="28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Weight of paperboard packaging</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UsrPAPWHT</w:t>
            </w:r>
          </w:p>
        </w:tc>
        <w:tc>
          <w:tcPr>
            <w:tcW w:type="dxa" w:w="2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PAPWHT (Amount in eaches)</w:t>
            </w:r>
          </w:p>
        </w:tc>
        <w:tc>
          <w:tcPr>
            <w:tcW w:type="dxa" w:w="1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Decimal</w:t>
            </w:r>
          </w:p>
        </w:tc>
        <w:tc>
          <w:tcPr>
            <w:tcW w:type="dxa" w:w="28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Weight of white paper packaging</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UsrEPSFOAM</w:t>
            </w:r>
          </w:p>
        </w:tc>
        <w:tc>
          <w:tcPr>
            <w:tcW w:type="dxa" w:w="2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EPSFOAM (Amount in eaches)</w:t>
            </w:r>
          </w:p>
        </w:tc>
        <w:tc>
          <w:tcPr>
            <w:tcW w:type="dxa" w:w="1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Decimal</w:t>
            </w:r>
          </w:p>
        </w:tc>
        <w:tc>
          <w:tcPr>
            <w:tcW w:type="dxa" w:w="28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Weight of EPS foam packaging</w:t>
            </w:r>
          </w:p>
        </w:tc>
      </w:tr>
      <w:tr>
        <w:tc>
          <w:tcPr>
            <w:tcW w:type="dxa" w:w="22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bCs/>
                <w:color w:val="595959"/>
                <w:sz w:val="20"/>
                <w:szCs w:val="20"/>
              </w:rPr>
              <w:t xml:space="preserve">UsrEPSFOAMCnt</w:t>
            </w:r>
          </w:p>
        </w:tc>
        <w:tc>
          <w:tcPr>
            <w:tcW w:type="dxa" w:w="28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val="false"/>
                <w:bCs w:val="false"/>
                <w:color w:val="595959"/>
                <w:sz w:val="20"/>
                <w:szCs w:val="20"/>
              </w:rPr>
              <w:t xml:space="preserve">EPSFOAM (Count)</w:t>
            </w:r>
          </w:p>
        </w:tc>
        <w:tc>
          <w:tcPr>
            <w:tcW w:type="dxa" w:w="15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val="false"/>
                <w:bCs w:val="false"/>
                <w:color w:val="595959"/>
                <w:sz w:val="20"/>
                <w:szCs w:val="20"/>
              </w:rPr>
              <w:t xml:space="preserve">Integer</w:t>
            </w:r>
          </w:p>
        </w:tc>
        <w:tc>
          <w:tcPr>
            <w:tcW w:type="dxa" w:w="286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val="false"/>
                <w:bCs w:val="false"/>
                <w:color w:val="595959"/>
                <w:sz w:val="20"/>
                <w:szCs w:val="20"/>
              </w:rPr>
              <w:t xml:space="preserve">Number of EPS foam components (CA plastic count)</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UsrPAPKRAFT</w:t>
            </w:r>
          </w:p>
        </w:tc>
        <w:tc>
          <w:tcPr>
            <w:tcW w:type="dxa" w:w="2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PAPKRAFT (Amount in eaches)</w:t>
            </w:r>
          </w:p>
        </w:tc>
        <w:tc>
          <w:tcPr>
            <w:tcW w:type="dxa" w:w="1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Decimal</w:t>
            </w:r>
          </w:p>
        </w:tc>
        <w:tc>
          <w:tcPr>
            <w:tcW w:type="dxa" w:w="28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Weight of kraft paper packaging</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UsrPAPFORMS</w:t>
            </w:r>
          </w:p>
        </w:tc>
        <w:tc>
          <w:tcPr>
            <w:tcW w:type="dxa" w:w="2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PAPFORMS (Amount in eaches)</w:t>
            </w:r>
          </w:p>
        </w:tc>
        <w:tc>
          <w:tcPr>
            <w:tcW w:type="dxa" w:w="1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Decimal</w:t>
            </w:r>
          </w:p>
        </w:tc>
        <w:tc>
          <w:tcPr>
            <w:tcW w:type="dxa" w:w="28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Weight of paper forms packaging</w:t>
            </w:r>
          </w:p>
        </w:tc>
      </w:tr>
      <w:tr>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UsrWOOD</w:t>
            </w:r>
          </w:p>
        </w:tc>
        <w:tc>
          <w:tcPr>
            <w:tcW w:type="dxa" w:w="2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WOOD (Amount in eaches)</w:t>
            </w:r>
          </w:p>
        </w:tc>
        <w:tc>
          <w:tcPr>
            <w:tcW w:type="dxa" w:w="1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Decimal</w:t>
            </w:r>
          </w:p>
        </w:tc>
        <w:tc>
          <w:tcPr>
            <w:tcW w:type="dxa" w:w="28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Weight of wood packaging components</w:t>
            </w:r>
          </w:p>
        </w:tc>
      </w:tr>
    </w:tbl>
    <w:p>
      <w:pPr>
        <w:spacing w:after="0" w:before="160"/>
      </w:pPr>
      <w:r>
        <w:t xml:space="preserve"/>
      </w:r>
    </w:p>
    <w:p>
      <w:pPr>
        <w:pStyle w:val="Heading2"/>
        <w:spacing w:after="80" w:before="240"/>
      </w:pPr>
      <w:r>
        <w:rPr>
          <w:rFonts w:ascii="Arial" w:cs="Arial" w:eastAsia="Arial" w:hAnsi="Arial"/>
          <w:b/>
          <w:bCs/>
          <w:color w:val="2E75B6"/>
          <w:sz w:val="26"/>
          <w:szCs w:val="26"/>
        </w:rPr>
        <w:t xml:space="preserve">4.1  Weight Fields (Decimal)</w:t>
      </w:r>
    </w:p>
    <w:p>
      <w:pPr>
        <w:spacing w:after="80" w:before="60"/>
      </w:pPr>
      <w:r>
        <w:rPr>
          <w:rFonts w:ascii="Arial" w:cs="Arial" w:eastAsia="Arial" w:hAnsi="Arial"/>
          <w:color w:val="595959"/>
          <w:sz w:val="22"/>
          <w:szCs w:val="22"/>
        </w:rPr>
        <w:t xml:space="preserve">Weight fields accept decimal values representing the amount of each packaging material type associated with the product, expressed in eaches (the unit used by your EPR reporting framework). Values are stored with up to 9 decimal places of precision.</w:t>
      </w:r>
    </w:p>
    <w:p>
      <w:pPr>
        <w:spacing w:after="0" w:before="60"/>
      </w:pPr>
      <w:r>
        <w:t xml:space="preserve"/>
      </w:r>
    </w:p>
    <w:p>
      <w:pPr>
        <w:pStyle w:val="ListParagraph"/>
        <w:numPr>
          <w:ilvl w:val="0"/>
          <w:numId w:val="2"/>
        </w:numPr>
        <w:spacing w:after="40" w:before="40"/>
      </w:pPr>
      <w:r>
        <w:rPr>
          <w:rFonts w:ascii="Arial" w:cs="Arial" w:eastAsia="Arial" w:hAnsi="Arial"/>
          <w:color w:val="595959"/>
          <w:sz w:val="22"/>
          <w:szCs w:val="22"/>
        </w:rPr>
        <w:t xml:space="preserve">Acceptable entry: 0, 1, 0.5, 1.234567890</w:t>
      </w:r>
    </w:p>
    <w:p>
      <w:pPr>
        <w:pStyle w:val="ListParagraph"/>
        <w:numPr>
          <w:ilvl w:val="0"/>
          <w:numId w:val="2"/>
        </w:numPr>
        <w:spacing w:after="40" w:before="40"/>
      </w:pPr>
      <w:r>
        <w:rPr>
          <w:rFonts w:ascii="Arial" w:cs="Arial" w:eastAsia="Arial" w:hAnsi="Arial"/>
          <w:color w:val="595959"/>
          <w:sz w:val="22"/>
          <w:szCs w:val="22"/>
        </w:rPr>
        <w:t xml:space="preserve">Blank entries are treated as zero for reporting purposes.</w:t>
      </w:r>
    </w:p>
    <w:p>
      <w:pPr>
        <w:pStyle w:val="ListParagraph"/>
        <w:numPr>
          <w:ilvl w:val="0"/>
          <w:numId w:val="2"/>
        </w:numPr>
        <w:spacing w:after="40" w:before="40"/>
      </w:pPr>
      <w:r>
        <w:rPr>
          <w:rFonts w:ascii="Arial" w:cs="Arial" w:eastAsia="Arial" w:hAnsi="Arial"/>
          <w:color w:val="595959"/>
          <w:sz w:val="22"/>
          <w:szCs w:val="22"/>
        </w:rPr>
        <w:t xml:space="preserve">Negative values should not be entered.</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4.2  Count Fields (Integer) — California Requirement</w:t>
      </w:r>
    </w:p>
    <w:p>
      <w:pPr>
        <w:spacing w:after="80" w:before="60"/>
      </w:pPr>
      <w:r>
        <w:rPr>
          <w:rFonts w:ascii="Arial" w:cs="Arial" w:eastAsia="Arial" w:hAnsi="Arial"/>
          <w:color w:val="595959"/>
          <w:sz w:val="22"/>
          <w:szCs w:val="22"/>
        </w:rPr>
        <w:t xml:space="preserve">Count fields are present only for the four plastic material types subject to California's component count requirement: LDPEWRAP, LDPEBAG, PPRIGID, and EPSFOAM. These fields capture the number of discrete packaging components made from each material.</w:t>
      </w:r>
    </w:p>
    <w:p>
      <w:pPr>
        <w:spacing w:after="0" w:before="60"/>
      </w:pPr>
      <w:r>
        <w:t xml:space="preserve"/>
      </w:r>
    </w:p>
    <w:p>
      <w:pPr>
        <w:pStyle w:val="ListParagraph"/>
        <w:numPr>
          <w:ilvl w:val="0"/>
          <w:numId w:val="2"/>
        </w:numPr>
        <w:spacing w:after="40" w:before="40"/>
      </w:pPr>
      <w:r>
        <w:rPr>
          <w:rFonts w:ascii="Arial" w:cs="Arial" w:eastAsia="Arial" w:hAnsi="Arial"/>
          <w:color w:val="595959"/>
          <w:sz w:val="22"/>
          <w:szCs w:val="22"/>
        </w:rPr>
        <w:t xml:space="preserve">Enter a whole number representing how many separate packaging pieces of this material type are used per product unit.</w:t>
      </w:r>
    </w:p>
    <w:p>
      <w:pPr>
        <w:pStyle w:val="ListParagraph"/>
        <w:numPr>
          <w:ilvl w:val="0"/>
          <w:numId w:val="2"/>
        </w:numPr>
        <w:spacing w:after="40" w:before="40"/>
      </w:pPr>
      <w:r>
        <w:rPr>
          <w:rFonts w:ascii="Arial" w:cs="Arial" w:eastAsia="Arial" w:hAnsi="Arial"/>
          <w:color w:val="595959"/>
          <w:sz w:val="22"/>
          <w:szCs w:val="22"/>
        </w:rPr>
        <w:t xml:space="preserve">Example: If a product ships with 2 LDPE bags, enter 2 in the LDPEBAG (Count) field.</w:t>
      </w:r>
    </w:p>
    <w:p>
      <w:pPr>
        <w:pStyle w:val="ListParagraph"/>
        <w:numPr>
          <w:ilvl w:val="0"/>
          <w:numId w:val="2"/>
        </w:numPr>
        <w:spacing w:after="40" w:before="40"/>
      </w:pPr>
      <w:r>
        <w:rPr>
          <w:rFonts w:ascii="Arial" w:cs="Arial" w:eastAsia="Arial" w:hAnsi="Arial"/>
          <w:color w:val="595959"/>
          <w:sz w:val="22"/>
          <w:szCs w:val="22"/>
        </w:rPr>
        <w:t xml:space="preserve">A value of 0 or blank means no components of that type are present.</w:t>
      </w:r>
    </w:p>
    <w:p>
      <w:pPr>
        <w:pStyle w:val="ListParagraph"/>
        <w:numPr>
          <w:ilvl w:val="0"/>
          <w:numId w:val="2"/>
        </w:numPr>
        <w:spacing w:after="40" w:before="40"/>
      </w:pPr>
      <w:r>
        <w:rPr>
          <w:rFonts w:ascii="Arial" w:cs="Arial" w:eastAsia="Arial" w:hAnsi="Arial"/>
          <w:color w:val="595959"/>
          <w:sz w:val="22"/>
          <w:szCs w:val="22"/>
        </w:rPr>
        <w:t xml:space="preserve">Decimal values are not accepted in count fields.</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4.3  Material Type Descriptions</w:t>
      </w:r>
    </w:p>
    <w:p>
      <w:pPr>
        <w:spacing w:after="80" w:before="60"/>
      </w:pPr>
      <w:r>
        <w:rPr>
          <w:rFonts w:ascii="Arial" w:cs="Arial" w:eastAsia="Arial" w:hAnsi="Arial"/>
          <w:color w:val="595959"/>
          <w:sz w:val="22"/>
          <w:szCs w:val="22"/>
        </w:rPr>
        <w:t xml:space="preserve">The following material categories correspond to standard EPR reporting classifications:</w:t>
      </w:r>
    </w:p>
    <w:p>
      <w:pPr>
        <w:spacing w:after="0" w:before="60"/>
      </w:pPr>
      <w:r>
        <w:t xml:space="preserve"/>
      </w:r>
    </w:p>
    <w:p>
      <w:pPr>
        <w:pStyle w:val="ListParagraph"/>
        <w:numPr>
          <w:ilvl w:val="0"/>
          <w:numId w:val="2"/>
        </w:numPr>
        <w:spacing w:after="40" w:before="40"/>
      </w:pPr>
      <w:r>
        <w:rPr>
          <w:rFonts w:ascii="Arial" w:cs="Arial" w:eastAsia="Arial" w:hAnsi="Arial"/>
          <w:color w:val="595959"/>
          <w:sz w:val="22"/>
          <w:szCs w:val="22"/>
        </w:rPr>
        <w:t xml:space="preserve">STEEL — Steel or metal packaging such as tins, cans, or banding straps.</w:t>
      </w:r>
    </w:p>
    <w:p>
      <w:pPr>
        <w:pStyle w:val="ListParagraph"/>
        <w:numPr>
          <w:ilvl w:val="0"/>
          <w:numId w:val="2"/>
        </w:numPr>
        <w:spacing w:after="40" w:before="40"/>
      </w:pPr>
      <w:r>
        <w:rPr>
          <w:rFonts w:ascii="Arial" w:cs="Arial" w:eastAsia="Arial" w:hAnsi="Arial"/>
          <w:color w:val="595959"/>
          <w:sz w:val="22"/>
          <w:szCs w:val="22"/>
        </w:rPr>
        <w:t xml:space="preserve">LDPEWRAP — Low-density polyethylene film used as wrap or overwrap.</w:t>
      </w:r>
    </w:p>
    <w:p>
      <w:pPr>
        <w:pStyle w:val="ListParagraph"/>
        <w:numPr>
          <w:ilvl w:val="0"/>
          <w:numId w:val="2"/>
        </w:numPr>
        <w:spacing w:after="40" w:before="40"/>
      </w:pPr>
      <w:r>
        <w:rPr>
          <w:rFonts w:ascii="Arial" w:cs="Arial" w:eastAsia="Arial" w:hAnsi="Arial"/>
          <w:color w:val="595959"/>
          <w:sz w:val="22"/>
          <w:szCs w:val="22"/>
        </w:rPr>
        <w:t xml:space="preserve">LDPEBAG — Low-density polyethylene bags (including poly mailers and liners).</w:t>
      </w:r>
    </w:p>
    <w:p>
      <w:pPr>
        <w:pStyle w:val="ListParagraph"/>
        <w:numPr>
          <w:ilvl w:val="0"/>
          <w:numId w:val="2"/>
        </w:numPr>
        <w:spacing w:after="40" w:before="40"/>
      </w:pPr>
      <w:r>
        <w:rPr>
          <w:rFonts w:ascii="Arial" w:cs="Arial" w:eastAsia="Arial" w:hAnsi="Arial"/>
          <w:color w:val="595959"/>
          <w:sz w:val="22"/>
          <w:szCs w:val="22"/>
        </w:rPr>
        <w:t xml:space="preserve">PPRIGID — Rigid polypropylene plastic (tubs, trays, caps, or rigid containers).</w:t>
      </w:r>
    </w:p>
    <w:p>
      <w:pPr>
        <w:pStyle w:val="ListParagraph"/>
        <w:numPr>
          <w:ilvl w:val="0"/>
          <w:numId w:val="2"/>
        </w:numPr>
        <w:spacing w:after="40" w:before="40"/>
      </w:pPr>
      <w:r>
        <w:rPr>
          <w:rFonts w:ascii="Arial" w:cs="Arial" w:eastAsia="Arial" w:hAnsi="Arial"/>
          <w:color w:val="595959"/>
          <w:sz w:val="22"/>
          <w:szCs w:val="22"/>
        </w:rPr>
        <w:t xml:space="preserve">PAPCORR — Corrugated cardboard (boxes, shippers, dividers).</w:t>
      </w:r>
    </w:p>
    <w:p>
      <w:pPr>
        <w:pStyle w:val="ListParagraph"/>
        <w:numPr>
          <w:ilvl w:val="0"/>
          <w:numId w:val="2"/>
        </w:numPr>
        <w:spacing w:after="40" w:before="40"/>
      </w:pPr>
      <w:r>
        <w:rPr>
          <w:rFonts w:ascii="Arial" w:cs="Arial" w:eastAsia="Arial" w:hAnsi="Arial"/>
          <w:color w:val="595959"/>
          <w:sz w:val="22"/>
          <w:szCs w:val="22"/>
        </w:rPr>
        <w:t xml:space="preserve">PAPBRD — Paperboard (folding cartons, sleeves, set-up boxes).</w:t>
      </w:r>
    </w:p>
    <w:p>
      <w:pPr>
        <w:pStyle w:val="ListParagraph"/>
        <w:numPr>
          <w:ilvl w:val="0"/>
          <w:numId w:val="2"/>
        </w:numPr>
        <w:spacing w:after="40" w:before="40"/>
      </w:pPr>
      <w:r>
        <w:rPr>
          <w:rFonts w:ascii="Arial" w:cs="Arial" w:eastAsia="Arial" w:hAnsi="Arial"/>
          <w:color w:val="595959"/>
          <w:sz w:val="22"/>
          <w:szCs w:val="22"/>
        </w:rPr>
        <w:t xml:space="preserve">PAPWHT — White office or printing paper used in packaging.</w:t>
      </w:r>
    </w:p>
    <w:p>
      <w:pPr>
        <w:pStyle w:val="ListParagraph"/>
        <w:numPr>
          <w:ilvl w:val="0"/>
          <w:numId w:val="2"/>
        </w:numPr>
        <w:spacing w:after="40" w:before="40"/>
      </w:pPr>
      <w:r>
        <w:rPr>
          <w:rFonts w:ascii="Arial" w:cs="Arial" w:eastAsia="Arial" w:hAnsi="Arial"/>
          <w:color w:val="595959"/>
          <w:sz w:val="22"/>
          <w:szCs w:val="22"/>
        </w:rPr>
        <w:t xml:space="preserve">EPSFOAM — Expanded polystyrene foam (molded inserts, peanuts).</w:t>
      </w:r>
    </w:p>
    <w:p>
      <w:pPr>
        <w:pStyle w:val="ListParagraph"/>
        <w:numPr>
          <w:ilvl w:val="0"/>
          <w:numId w:val="2"/>
        </w:numPr>
        <w:spacing w:after="40" w:before="40"/>
      </w:pPr>
      <w:r>
        <w:rPr>
          <w:rFonts w:ascii="Arial" w:cs="Arial" w:eastAsia="Arial" w:hAnsi="Arial"/>
          <w:color w:val="595959"/>
          <w:sz w:val="22"/>
          <w:szCs w:val="22"/>
        </w:rPr>
        <w:t xml:space="preserve">PAPKRAFT — Kraft paper (wrapping paper, paper cushioning, bags).</w:t>
      </w:r>
    </w:p>
    <w:p>
      <w:pPr>
        <w:pStyle w:val="ListParagraph"/>
        <w:numPr>
          <w:ilvl w:val="0"/>
          <w:numId w:val="2"/>
        </w:numPr>
        <w:spacing w:after="40" w:before="40"/>
      </w:pPr>
      <w:r>
        <w:rPr>
          <w:rFonts w:ascii="Arial" w:cs="Arial" w:eastAsia="Arial" w:hAnsi="Arial"/>
          <w:color w:val="595959"/>
          <w:sz w:val="22"/>
          <w:szCs w:val="22"/>
        </w:rPr>
        <w:t xml:space="preserve">PAPFORMS — Paper forms or labels included with the product.</w:t>
      </w:r>
    </w:p>
    <w:p>
      <w:pPr>
        <w:pStyle w:val="ListParagraph"/>
        <w:numPr>
          <w:ilvl w:val="0"/>
          <w:numId w:val="2"/>
        </w:numPr>
        <w:spacing w:after="40" w:before="40"/>
      </w:pPr>
      <w:r>
        <w:rPr>
          <w:rFonts w:ascii="Arial" w:cs="Arial" w:eastAsia="Arial" w:hAnsi="Arial"/>
          <w:color w:val="595959"/>
          <w:sz w:val="22"/>
          <w:szCs w:val="22"/>
        </w:rPr>
        <w:t xml:space="preserve">WOOD — Wood packaging (pallets, crates, wooden reels).</w:t>
      </w:r>
    </w:p>
    <w:p>
      <w:r>
        <w:br w:type="page"/>
      </w:r>
    </w:p>
    <w:p>
      <w:pPr>
        <w:pStyle w:val="Heading1"/>
        <w:spacing w:after="120" w:before="360"/>
      </w:pPr>
      <w:r>
        <w:rPr>
          <w:rFonts w:ascii="Arial" w:cs="Arial" w:eastAsia="Arial" w:hAnsi="Arial"/>
          <w:b/>
          <w:bCs/>
          <w:color w:val="1F4E79"/>
          <w:sz w:val="32"/>
          <w:szCs w:val="32"/>
        </w:rPr>
        <w:t xml:space="preserve">5.  Data Entry Guidelines</w:t>
      </w:r>
    </w:p>
    <w:p>
      <w:pPr>
        <w:pBdr>
          <w:bottom w:val="single" w:color="2E75B6" w:sz="6"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5.1  General Guidance</w:t>
      </w:r>
    </w:p>
    <w:p>
      <w:pPr>
        <w:spacing w:after="80" w:before="60"/>
      </w:pPr>
      <w:r>
        <w:rPr>
          <w:rFonts w:ascii="Arial" w:cs="Arial" w:eastAsia="Arial" w:hAnsi="Arial"/>
          <w:color w:val="595959"/>
          <w:sz w:val="22"/>
          <w:szCs w:val="22"/>
        </w:rPr>
        <w:t xml:space="preserve">EPR field values represent the packaging associated with one unit of the inventory item. When filling in the EPR tab, consider the packaging that leaves your facility with the product — not reusable or returnable packaging that stays with your organization.</w:t>
      </w:r>
    </w:p>
    <w:p>
      <w:pPr>
        <w:spacing w:after="0" w:before="60"/>
      </w:pPr>
      <w:r>
        <w:t xml:space="preserve"/>
      </w:r>
    </w:p>
    <w:p>
      <w:pPr>
        <w:pStyle w:val="ListParagraph"/>
        <w:numPr>
          <w:ilvl w:val="0"/>
          <w:numId w:val="2"/>
        </w:numPr>
        <w:spacing w:after="40" w:before="40"/>
      </w:pPr>
      <w:r>
        <w:rPr>
          <w:rFonts w:ascii="Arial" w:cs="Arial" w:eastAsia="Arial" w:hAnsi="Arial"/>
          <w:color w:val="595959"/>
          <w:sz w:val="22"/>
          <w:szCs w:val="22"/>
        </w:rPr>
        <w:t xml:space="preserve">Enter the weight per individual unit sold, not per case or pallet.</w:t>
      </w:r>
    </w:p>
    <w:p>
      <w:pPr>
        <w:pStyle w:val="ListParagraph"/>
        <w:numPr>
          <w:ilvl w:val="0"/>
          <w:numId w:val="2"/>
        </w:numPr>
        <w:spacing w:after="40" w:before="40"/>
      </w:pPr>
      <w:r>
        <w:rPr>
          <w:rFonts w:ascii="Arial" w:cs="Arial" w:eastAsia="Arial" w:hAnsi="Arial"/>
          <w:color w:val="595959"/>
          <w:sz w:val="22"/>
          <w:szCs w:val="22"/>
        </w:rPr>
        <w:t xml:space="preserve">If the same item ships in different configurations, use the most common outbound configuration, or work with your compliance team to establish a standard.</w:t>
      </w:r>
    </w:p>
    <w:p>
      <w:pPr>
        <w:pStyle w:val="ListParagraph"/>
        <w:numPr>
          <w:ilvl w:val="0"/>
          <w:numId w:val="2"/>
        </w:numPr>
        <w:spacing w:after="40" w:before="40"/>
      </w:pPr>
      <w:r>
        <w:rPr>
          <w:rFonts w:ascii="Arial" w:cs="Arial" w:eastAsia="Arial" w:hAnsi="Arial"/>
          <w:color w:val="595959"/>
          <w:sz w:val="22"/>
          <w:szCs w:val="22"/>
        </w:rPr>
        <w:t xml:space="preserve">Fields for materials not used can be left at zero — there is no need to enter data for every material type.</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5.2  Saving Changes</w:t>
      </w:r>
    </w:p>
    <w:p>
      <w:pPr>
        <w:spacing w:after="80" w:before="60"/>
      </w:pPr>
      <w:r>
        <w:rPr>
          <w:rFonts w:ascii="Arial" w:cs="Arial" w:eastAsia="Arial" w:hAnsi="Arial"/>
          <w:color w:val="595959"/>
          <w:sz w:val="22"/>
          <w:szCs w:val="22"/>
        </w:rPr>
        <w:t xml:space="preserve">EPR fields save as part of the standard item record. After updating any fields on the EPR tab:</w:t>
      </w:r>
    </w:p>
    <w:p>
      <w:pPr>
        <w:spacing w:after="0" w:before="60"/>
      </w:pPr>
      <w:r>
        <w:t xml:space="preserve"/>
      </w:r>
    </w:p>
    <w:p>
      <w:pPr>
        <w:pStyle w:val="ListParagraph"/>
        <w:numPr>
          <w:ilvl w:val="0"/>
          <w:numId w:val="2"/>
        </w:numPr>
        <w:spacing w:after="40" w:before="40"/>
      </w:pPr>
      <w:r>
        <w:rPr>
          <w:rFonts w:ascii="Arial" w:cs="Arial" w:eastAsia="Arial" w:hAnsi="Arial"/>
          <w:color w:val="595959"/>
          <w:sz w:val="22"/>
          <w:szCs w:val="22"/>
        </w:rPr>
        <w:t xml:space="preserve">Click the Save button (floppy disk icon) in the toolbar, or press Ctrl+S.</w:t>
      </w:r>
    </w:p>
    <w:p>
      <w:pPr>
        <w:pStyle w:val="ListParagraph"/>
        <w:numPr>
          <w:ilvl w:val="0"/>
          <w:numId w:val="2"/>
        </w:numPr>
        <w:spacing w:after="40" w:before="40"/>
      </w:pPr>
      <w:r>
        <w:rPr>
          <w:rFonts w:ascii="Arial" w:cs="Arial" w:eastAsia="Arial" w:hAnsi="Arial"/>
          <w:color w:val="595959"/>
          <w:sz w:val="22"/>
          <w:szCs w:val="22"/>
        </w:rPr>
        <w:t xml:space="preserve">The record will validate and save normally. EPR fields do not introduce any additional required fields or save restrictions.</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5.3  Bulk Updates</w:t>
      </w:r>
    </w:p>
    <w:p>
      <w:pPr>
        <w:spacing w:after="80" w:before="60"/>
      </w:pPr>
      <w:r>
        <w:rPr>
          <w:rFonts w:ascii="Arial" w:cs="Arial" w:eastAsia="Arial" w:hAnsi="Arial"/>
          <w:color w:val="595959"/>
          <w:sz w:val="22"/>
          <w:szCs w:val="22"/>
        </w:rPr>
        <w:t xml:space="preserve">If you need to populate EPR data across a large number of items, contact your Acumatica administrator. Options may include import scenarios using the Acumatica Import by Scenario feature, which can accept a spreadsheet with inventory IDs and EPR field values and apply them in bulk.</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5.4  Who Should Fill In These Fields?</w:t>
      </w:r>
    </w:p>
    <w:p>
      <w:pPr>
        <w:spacing w:after="80" w:before="60"/>
      </w:pPr>
      <w:r>
        <w:rPr>
          <w:rFonts w:ascii="Arial" w:cs="Arial" w:eastAsia="Arial" w:hAnsi="Arial"/>
          <w:color w:val="595959"/>
          <w:sz w:val="22"/>
          <w:szCs w:val="22"/>
        </w:rPr>
        <w:t xml:space="preserve">EPR data entry is typically handled by the team responsible for product or packaging compliance — often a combination of operations, product management, and the compliance or sustainability team. Your organization should establish a process for:</w:t>
      </w:r>
    </w:p>
    <w:p>
      <w:pPr>
        <w:spacing w:after="0" w:before="60"/>
      </w:pPr>
      <w:r>
        <w:t xml:space="preserve"/>
      </w:r>
    </w:p>
    <w:p>
      <w:pPr>
        <w:pStyle w:val="ListParagraph"/>
        <w:numPr>
          <w:ilvl w:val="0"/>
          <w:numId w:val="2"/>
        </w:numPr>
        <w:spacing w:after="40" w:before="40"/>
      </w:pPr>
      <w:r>
        <w:rPr>
          <w:rFonts w:ascii="Arial" w:cs="Arial" w:eastAsia="Arial" w:hAnsi="Arial"/>
          <w:color w:val="595959"/>
          <w:sz w:val="22"/>
          <w:szCs w:val="22"/>
        </w:rPr>
        <w:t xml:space="preserve">Populating EPR fields when new items are created.</w:t>
      </w:r>
    </w:p>
    <w:p>
      <w:pPr>
        <w:pStyle w:val="ListParagraph"/>
        <w:numPr>
          <w:ilvl w:val="0"/>
          <w:numId w:val="2"/>
        </w:numPr>
        <w:spacing w:after="40" w:before="40"/>
      </w:pPr>
      <w:r>
        <w:rPr>
          <w:rFonts w:ascii="Arial" w:cs="Arial" w:eastAsia="Arial" w:hAnsi="Arial"/>
          <w:color w:val="595959"/>
          <w:sz w:val="22"/>
          <w:szCs w:val="22"/>
        </w:rPr>
        <w:t xml:space="preserve">Reviewing and updating EPR fields when packaging changes.</w:t>
      </w:r>
    </w:p>
    <w:p>
      <w:pPr>
        <w:pStyle w:val="ListParagraph"/>
        <w:numPr>
          <w:ilvl w:val="0"/>
          <w:numId w:val="2"/>
        </w:numPr>
        <w:spacing w:after="40" w:before="40"/>
      </w:pPr>
      <w:r>
        <w:rPr>
          <w:rFonts w:ascii="Arial" w:cs="Arial" w:eastAsia="Arial" w:hAnsi="Arial"/>
          <w:color w:val="595959"/>
          <w:sz w:val="22"/>
          <w:szCs w:val="22"/>
        </w:rPr>
        <w:t xml:space="preserve">Periodic audits to ensure data accuracy before regulatory submissions.</w:t>
      </w:r>
    </w:p>
    <w:p>
      <w:r>
        <w:br w:type="page"/>
      </w:r>
    </w:p>
    <w:p>
      <w:pPr>
        <w:pStyle w:val="Heading1"/>
        <w:spacing w:after="120" w:before="360"/>
      </w:pPr>
      <w:r>
        <w:rPr>
          <w:rFonts w:ascii="Arial" w:cs="Arial" w:eastAsia="Arial" w:hAnsi="Arial"/>
          <w:b/>
          <w:bCs/>
          <w:color w:val="1F4E79"/>
          <w:sz w:val="32"/>
          <w:szCs w:val="32"/>
        </w:rPr>
        <w:t xml:space="preserve">6.  Frequently Asked Questions</w:t>
      </w:r>
    </w:p>
    <w:p>
      <w:pPr>
        <w:pBdr>
          <w:bottom w:val="single" w:color="2E75B6" w:sz="6" w:space="1"/>
        </w:pBdr>
        <w:spacing w:after="120" w:before="120"/>
      </w:pPr>
      <w:r>
        <w:t xml:space="preserve"/>
      </w:r>
    </w:p>
    <w:p>
      <w:pPr>
        <w:spacing w:after="0" w:before="60"/>
      </w:pPr>
      <w:r>
        <w:t xml:space="preserve"/>
      </w:r>
    </w:p>
    <w:p>
      <w:pPr>
        <w:spacing w:after="60" w:before="200"/>
      </w:pPr>
      <w:r>
        <w:rPr>
          <w:rFonts w:ascii="Arial" w:cs="Arial" w:eastAsia="Arial" w:hAnsi="Arial"/>
          <w:b/>
          <w:bCs/>
          <w:color w:val="1F4E79"/>
          <w:sz w:val="22"/>
          <w:szCs w:val="22"/>
        </w:rPr>
        <w:t xml:space="preserve">Can I leave all EPR fields blank?</w:t>
      </w:r>
    </w:p>
    <w:p>
      <w:pPr>
        <w:spacing w:after="80" w:before="60"/>
      </w:pPr>
      <w:r>
        <w:rPr>
          <w:rFonts w:ascii="Arial" w:cs="Arial" w:eastAsia="Arial" w:hAnsi="Arial"/>
          <w:color w:val="595959"/>
          <w:sz w:val="22"/>
          <w:szCs w:val="22"/>
        </w:rPr>
        <w:t xml:space="preserve">Yes. All EPR fields are optional. Blank fields are treated as zero. If your organization has not yet completed a packaging audit, you can leave fields blank and populate them over time.</w:t>
      </w:r>
    </w:p>
    <w:p>
      <w:pPr>
        <w:spacing w:after="0" w:before="80"/>
      </w:pPr>
      <w:r>
        <w:t xml:space="preserve"/>
      </w:r>
    </w:p>
    <w:p>
      <w:pPr>
        <w:spacing w:after="60" w:before="200"/>
      </w:pPr>
      <w:r>
        <w:rPr>
          <w:rFonts w:ascii="Arial" w:cs="Arial" w:eastAsia="Arial" w:hAnsi="Arial"/>
          <w:b/>
          <w:bCs/>
          <w:color w:val="1F4E79"/>
          <w:sz w:val="22"/>
          <w:szCs w:val="22"/>
        </w:rPr>
        <w:t xml:space="preserve">Why do some fields appear in pairs on the same row?</w:t>
      </w:r>
    </w:p>
    <w:p>
      <w:pPr>
        <w:spacing w:after="80" w:before="60"/>
      </w:pPr>
      <w:r>
        <w:rPr>
          <w:rFonts w:ascii="Arial" w:cs="Arial" w:eastAsia="Arial" w:hAnsi="Arial"/>
          <w:color w:val="595959"/>
          <w:sz w:val="22"/>
          <w:szCs w:val="22"/>
        </w:rPr>
        <w:t xml:space="preserve">The four plastic material types subject to California's EPR count requirement (LDPEWRAP, LDPEBAG, PPRIGID, EPSFOAM) each have two fields: a weight field on the left and a count field on the right of the same row. This pairing makes it easy to enter both data points for the same material without scrolling.</w:t>
      </w:r>
    </w:p>
    <w:p>
      <w:pPr>
        <w:spacing w:after="0" w:before="80"/>
      </w:pPr>
      <w:r>
        <w:t xml:space="preserve"/>
      </w:r>
    </w:p>
    <w:p>
      <w:pPr>
        <w:spacing w:after="60" w:before="200"/>
      </w:pPr>
      <w:r>
        <w:rPr>
          <w:rFonts w:ascii="Arial" w:cs="Arial" w:eastAsia="Arial" w:hAnsi="Arial"/>
          <w:b/>
          <w:bCs/>
          <w:color w:val="1F4E79"/>
          <w:sz w:val="22"/>
          <w:szCs w:val="22"/>
        </w:rPr>
        <w:t xml:space="preserve">What units should I use for weight fields?</w:t>
      </w:r>
    </w:p>
    <w:p>
      <w:pPr>
        <w:spacing w:after="80" w:before="60"/>
      </w:pPr>
      <w:r>
        <w:rPr>
          <w:rFonts w:ascii="Arial" w:cs="Arial" w:eastAsia="Arial" w:hAnsi="Arial"/>
          <w:color w:val="595959"/>
          <w:sz w:val="22"/>
          <w:szCs w:val="22"/>
        </w:rPr>
        <w:t xml:space="preserve">The unit is defined by your EPR reporting framework and PRO agreement. Most programs use pounds or kilograms per unit. Work with your compliance team to confirm the expected unit, and apply it consistently across all items.</w:t>
      </w:r>
    </w:p>
    <w:p>
      <w:pPr>
        <w:spacing w:after="0" w:before="80"/>
      </w:pPr>
      <w:r>
        <w:t xml:space="preserve"/>
      </w:r>
    </w:p>
    <w:p>
      <w:pPr>
        <w:spacing w:after="60" w:before="200"/>
      </w:pPr>
      <w:r>
        <w:rPr>
          <w:rFonts w:ascii="Arial" w:cs="Arial" w:eastAsia="Arial" w:hAnsi="Arial"/>
          <w:b/>
          <w:bCs/>
          <w:color w:val="1F4E79"/>
          <w:sz w:val="22"/>
          <w:szCs w:val="22"/>
        </w:rPr>
        <w:t xml:space="preserve">Does this customization affect existing item records?</w:t>
      </w:r>
    </w:p>
    <w:p>
      <w:pPr>
        <w:spacing w:after="80" w:before="60"/>
      </w:pPr>
      <w:r>
        <w:rPr>
          <w:rFonts w:ascii="Arial" w:cs="Arial" w:eastAsia="Arial" w:hAnsi="Arial"/>
          <w:color w:val="595959"/>
          <w:sz w:val="22"/>
          <w:szCs w:val="22"/>
        </w:rPr>
        <w:t xml:space="preserve">No existing data is modified by this customization. The new fields are simply blank (null) on all existing records until values are entered. No existing functionality of the Stock Items or Non-Stock Items screens is changed.</w:t>
      </w:r>
    </w:p>
    <w:p>
      <w:pPr>
        <w:spacing w:after="0" w:before="80"/>
      </w:pPr>
      <w:r>
        <w:t xml:space="preserve"/>
      </w:r>
    </w:p>
    <w:p>
      <w:pPr>
        <w:spacing w:after="60" w:before="200"/>
      </w:pPr>
      <w:r>
        <w:rPr>
          <w:rFonts w:ascii="Arial" w:cs="Arial" w:eastAsia="Arial" w:hAnsi="Arial"/>
          <w:b/>
          <w:bCs/>
          <w:color w:val="1F4E79"/>
          <w:sz w:val="22"/>
          <w:szCs w:val="22"/>
        </w:rPr>
        <w:t xml:space="preserve">Is this available on mobile or in the Acumatica app?</w:t>
      </w:r>
    </w:p>
    <w:p>
      <w:pPr>
        <w:spacing w:after="80" w:before="60"/>
      </w:pPr>
      <w:r>
        <w:rPr>
          <w:rFonts w:ascii="Arial" w:cs="Arial" w:eastAsia="Arial" w:hAnsi="Arial"/>
          <w:color w:val="595959"/>
          <w:sz w:val="22"/>
          <w:szCs w:val="22"/>
        </w:rPr>
        <w:t xml:space="preserve">The EPR tab follows standard Acumatica screen behavior and should be accessible wherever the Stock Items and Non-Stock Items screens are available, including the Acumatica mobile app. Contact your administrator if you experience any display issues on specific devices.</w:t>
      </w:r>
    </w:p>
    <w:p>
      <w:pPr>
        <w:spacing w:after="0" w:before="80"/>
      </w:pPr>
      <w:r>
        <w:t xml:space="preserve"/>
      </w:r>
    </w:p>
    <w:p>
      <w:pPr>
        <w:spacing w:after="60" w:before="200"/>
      </w:pPr>
      <w:r>
        <w:rPr>
          <w:rFonts w:ascii="Arial" w:cs="Arial" w:eastAsia="Arial" w:hAnsi="Arial"/>
          <w:b/>
          <w:bCs/>
          <w:color w:val="1F4E79"/>
          <w:sz w:val="22"/>
          <w:szCs w:val="22"/>
        </w:rPr>
        <w:t xml:space="preserve">Will these fields appear in reports?</w:t>
      </w:r>
    </w:p>
    <w:p>
      <w:pPr>
        <w:spacing w:after="80" w:before="60"/>
      </w:pPr>
      <w:r>
        <w:rPr>
          <w:rFonts w:ascii="Arial" w:cs="Arial" w:eastAsia="Arial" w:hAnsi="Arial"/>
          <w:color w:val="595959"/>
          <w:sz w:val="22"/>
          <w:szCs w:val="22"/>
        </w:rPr>
        <w:t xml:space="preserve">The fields are stored in the InventoryItem database table and are available to any Acumatica report or generic inquiry that references that table. Your administrator or report developer can create a Generic Inquiry or SSRS report to aggregate EPR data across items for compliance submissions.</w:t>
      </w:r>
    </w:p>
    <w:p>
      <w:r>
        <w:br w:type="page"/>
      </w:r>
    </w:p>
    <w:p>
      <w:pPr>
        <w:pStyle w:val="Heading1"/>
        <w:spacing w:after="120" w:before="360"/>
      </w:pPr>
      <w:r>
        <w:rPr>
          <w:rFonts w:ascii="Arial" w:cs="Arial" w:eastAsia="Arial" w:hAnsi="Arial"/>
          <w:b/>
          <w:bCs/>
          <w:color w:val="1F4E79"/>
          <w:sz w:val="32"/>
          <w:szCs w:val="32"/>
        </w:rPr>
        <w:t xml:space="preserve">7.  Change Log</w:t>
      </w:r>
    </w:p>
    <w:p>
      <w:pPr>
        <w:pBdr>
          <w:bottom w:val="single" w:color="2E75B6" w:sz="6" w:space="1"/>
        </w:pBdr>
        <w:spacing w:after="120" w:before="12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AECCE4" w:sz="1"/>
              <w:left w:val="single" w:color="AECCE4" w:sz="1"/>
              <w:bottom w:val="single" w:color="AECCE4" w:sz="1"/>
              <w:right w:val="single" w:color="AE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400"/>
            <w:tcBorders>
              <w:top w:val="single" w:color="AECCE4" w:sz="1"/>
              <w:left w:val="single" w:color="AECCE4" w:sz="1"/>
              <w:bottom w:val="single" w:color="AECCE4" w:sz="1"/>
              <w:right w:val="single" w:color="AE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6760"/>
            <w:tcBorders>
              <w:top w:val="single" w:color="AECCE4" w:sz="1"/>
              <w:left w:val="single" w:color="AECCE4" w:sz="1"/>
              <w:bottom w:val="single" w:color="AECCE4" w:sz="1"/>
              <w:right w:val="single" w:color="AE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Changes</w:t>
            </w:r>
          </w:p>
        </w:tc>
      </w:tr>
      <w:tr>
        <w:tc>
          <w:tcPr>
            <w:tcW w:type="dxa" w:w="1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1.10.3</w:t>
            </w:r>
          </w:p>
        </w:tc>
        <w:tc>
          <w:tcPr>
            <w:tcW w:type="dxa" w:w="14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2025-06-23</w:t>
            </w:r>
          </w:p>
        </w:tc>
        <w:tc>
          <w:tcPr>
            <w:tcW w:type="dxa" w:w="67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Initial release. Added EPR tab to Stock Items (IN202000) and Non-Stock Items (IN202500). 11 decimal weight fields; 4 integer count fields for CA plastic compliance (LDPEWRAP, LDPEBAG, PPRIGID, EPSFOAM). All fields stored as decimal(16,9) in database.</w:t>
            </w:r>
          </w:p>
        </w:tc>
      </w:tr>
    </w:tbl>
    <w:p>
      <w:pPr>
        <w:spacing w:after="0" w:before="160"/>
      </w:pPr>
      <w:r>
        <w:t xml:space="preserve"/>
      </w:r>
    </w:p>
    <w:p>
      <w:pPr>
        <w:pStyle w:val="Heading1"/>
        <w:spacing w:after="120" w:before="360"/>
      </w:pPr>
      <w:r>
        <w:rPr>
          <w:rFonts w:ascii="Arial" w:cs="Arial" w:eastAsia="Arial" w:hAnsi="Arial"/>
          <w:b/>
          <w:bCs/>
          <w:color w:val="1F4E79"/>
          <w:sz w:val="32"/>
          <w:szCs w:val="32"/>
        </w:rPr>
        <w:t xml:space="preserve">8.  Support</w:t>
      </w:r>
    </w:p>
    <w:p>
      <w:pPr>
        <w:pBdr>
          <w:bottom w:val="single" w:color="2E75B6" w:sz="6" w:space="1"/>
        </w:pBdr>
        <w:spacing w:after="120" w:before="120"/>
      </w:pPr>
      <w:r>
        <w:t xml:space="preserve"/>
      </w:r>
    </w:p>
    <w:p>
      <w:pPr>
        <w:spacing w:after="80" w:before="60"/>
      </w:pPr>
      <w:r>
        <w:rPr>
          <w:rFonts w:ascii="Arial" w:cs="Arial" w:eastAsia="Arial" w:hAnsi="Arial"/>
          <w:color w:val="595959"/>
          <w:sz w:val="22"/>
          <w:szCs w:val="22"/>
        </w:rPr>
        <w:t xml:space="preserve">For questions about this customization, data entry guidance, or to report unexpected behavior, contact your Acumatica administrator or the team responsible for managing the CBIZ EPR customization package.</w:t>
      </w:r>
    </w:p>
    <w:p>
      <w:pPr>
        <w:spacing w:after="0" w:before="80"/>
      </w:pPr>
      <w:r>
        <w:t xml:space="preserve"/>
      </w:r>
    </w:p>
    <w:p>
      <w:pPr>
        <w:spacing w:after="80" w:before="60"/>
      </w:pPr>
      <w:r>
        <w:rPr>
          <w:rFonts w:ascii="Arial" w:cs="Arial" w:eastAsia="Arial" w:hAnsi="Arial"/>
          <w:color w:val="595959"/>
          <w:sz w:val="22"/>
          <w:szCs w:val="22"/>
        </w:rPr>
        <w:t xml:space="preserve">When reporting an issue, please include:</w:t>
      </w:r>
    </w:p>
    <w:p>
      <w:pPr>
        <w:pStyle w:val="ListParagraph"/>
        <w:numPr>
          <w:ilvl w:val="0"/>
          <w:numId w:val="2"/>
        </w:numPr>
        <w:spacing w:after="40" w:before="40"/>
      </w:pPr>
      <w:r>
        <w:rPr>
          <w:rFonts w:ascii="Arial" w:cs="Arial" w:eastAsia="Arial" w:hAnsi="Arial"/>
          <w:color w:val="595959"/>
          <w:sz w:val="22"/>
          <w:szCs w:val="22"/>
        </w:rPr>
        <w:t xml:space="preserve">The screen you were on (Stock Items or Non-Stock Items).</w:t>
      </w:r>
    </w:p>
    <w:p>
      <w:pPr>
        <w:pStyle w:val="ListParagraph"/>
        <w:numPr>
          <w:ilvl w:val="0"/>
          <w:numId w:val="2"/>
        </w:numPr>
        <w:spacing w:after="40" w:before="40"/>
      </w:pPr>
      <w:r>
        <w:rPr>
          <w:rFonts w:ascii="Arial" w:cs="Arial" w:eastAsia="Arial" w:hAnsi="Arial"/>
          <w:color w:val="595959"/>
          <w:sz w:val="22"/>
          <w:szCs w:val="22"/>
        </w:rPr>
        <w:t xml:space="preserve">The Inventory ID of the item you were working with.</w:t>
      </w:r>
    </w:p>
    <w:p>
      <w:pPr>
        <w:pStyle w:val="ListParagraph"/>
        <w:numPr>
          <w:ilvl w:val="0"/>
          <w:numId w:val="2"/>
        </w:numPr>
        <w:spacing w:after="40" w:before="40"/>
      </w:pPr>
      <w:r>
        <w:rPr>
          <w:rFonts w:ascii="Arial" w:cs="Arial" w:eastAsia="Arial" w:hAnsi="Arial"/>
          <w:color w:val="595959"/>
          <w:sz w:val="22"/>
          <w:szCs w:val="22"/>
        </w:rPr>
        <w:t xml:space="preserve">A description of what you expected to happen and what actually occurred.</w:t>
      </w:r>
    </w:p>
    <w:p>
      <w:pPr>
        <w:pStyle w:val="ListParagraph"/>
        <w:numPr>
          <w:ilvl w:val="0"/>
          <w:numId w:val="2"/>
        </w:numPr>
        <w:spacing w:after="40" w:before="40"/>
      </w:pPr>
      <w:r>
        <w:rPr>
          <w:rFonts w:ascii="Arial" w:cs="Arial" w:eastAsia="Arial" w:hAnsi="Arial"/>
          <w:color w:val="595959"/>
          <w:sz w:val="22"/>
          <w:szCs w:val="22"/>
        </w:rPr>
        <w:t xml:space="preserve">Any error messages displayed on screen.</w:t>
      </w:r>
    </w:p>
    <w:p>
      <w:pPr>
        <w:spacing w:after="0" w:before="200"/>
      </w:pPr>
      <w:r>
        <w:t xml:space="preserve"/>
      </w:r>
    </w:p>
    <w:p>
      <w:pPr>
        <w:pBdr>
          <w:bottom w:val="single" w:color="2E75B6" w:sz="6" w:space="1"/>
        </w:pBdr>
        <w:spacing w:after="120" w:before="120"/>
      </w:pPr>
      <w:r>
        <w:t xml:space="preserve"/>
      </w:r>
    </w:p>
    <w:p>
      <w:pPr>
        <w:spacing w:after="0" w:before="80"/>
        <w:jc w:val="center"/>
      </w:pPr>
      <w:r>
        <w:rPr>
          <w:rFonts w:ascii="Arial" w:cs="Arial" w:eastAsia="Arial" w:hAnsi="Arial"/>
          <w:i/>
          <w:iCs/>
          <w:color w:val="595959"/>
          <w:sz w:val="18"/>
          <w:szCs w:val="18"/>
        </w:rPr>
        <w:t xml:space="preserve">CBIZ EPR Customization v1.10.3  |  Acumatica 24.210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after="0" w:before="80"/>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before="0"/>
    </w:pPr>
    <w:r>
      <w:rPr>
        <w:rFonts w:ascii="Arial" w:cs="Arial" w:eastAsia="Arial" w:hAnsi="Arial"/>
        <w:b/>
        <w:bCs/>
        <w:color w:val="1F4E79"/>
        <w:sz w:val="18"/>
        <w:szCs w:val="18"/>
      </w:rPr>
      <w:t xml:space="preserve">CBIZ EPR Customization for Acumatica</w:t>
    </w:r>
    <w:r>
      <w:rPr>
        <w:rFonts w:ascii="Arial" w:cs="Arial" w:eastAsia="Arial" w:hAnsi="Arial"/>
        <w:color w:val="595959"/>
        <w:sz w:val="18"/>
        <w:szCs w:val="18"/>
      </w:rPr>
      <w:t xml:space="preserve">	Version 1.10.3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2026-04-07T12:36:11.048Z</dcterms:created>
  <dcterms:modified xsi:type="dcterms:W3CDTF">2026-04-07T12:36:11.049Z</dcterms:modified>
</cp:coreProperties>
</file>

<file path=docProps/custom.xml><?xml version="1.0" encoding="utf-8"?>
<Properties xmlns="http://schemas.openxmlformats.org/officeDocument/2006/custom-properties" xmlns:vt="http://schemas.openxmlformats.org/officeDocument/2006/docPropsVTypes"/>
</file>