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80" w:line="360"/>
        <w:jc w:val="center"/>
      </w:pPr>
      <w:r>
        <w:rPr>
          <w:rFonts w:ascii="Times New Roman" w:cs="Times New Roman" w:eastAsia="Times New Roman" w:hAnsi="Times New Roman"/>
          <w:b/>
          <w:bCs/>
          <w:sz w:val="32"/>
          <w:szCs w:val="32"/>
        </w:rPr>
        <w:t xml:space="preserve">A Horizon-Associated Scalar Field from Holographic Decoherence:</w:t>
      </w:r>
    </w:p>
    <w:p>
      <w:pPr>
        <w:spacing w:after="400" w:line="360"/>
        <w:jc w:val="center"/>
      </w:pPr>
      <w:r>
        <w:rPr>
          <w:rFonts w:ascii="Times New Roman" w:cs="Times New Roman" w:eastAsia="Times New Roman" w:hAnsi="Times New Roman"/>
          <w:b/>
          <w:bCs/>
          <w:sz w:val="32"/>
          <w:szCs w:val="32"/>
        </w:rPr>
        <w:t xml:space="preserve">Toward a Self-Contained Alternative to Sterile Neutrinos at Cluster Scales</w:t>
      </w:r>
    </w:p>
    <w:p>
      <w:pPr>
        <w:spacing w:after="40" w:line="360"/>
        <w:jc w:val="center"/>
      </w:pPr>
      <w:r>
        <w:rPr>
          <w:rFonts w:ascii="Times New Roman" w:cs="Times New Roman" w:eastAsia="Times New Roman" w:hAnsi="Times New Roman"/>
          <w:sz w:val="24"/>
          <w:szCs w:val="24"/>
        </w:rPr>
        <w:t xml:space="preserve">Charles Quarra</w:t>
      </w:r>
    </w:p>
    <w:p>
      <w:pPr>
        <w:spacing w:after="40" w:line="360"/>
        <w:jc w:val="center"/>
      </w:pPr>
      <w:r>
        <w:rPr>
          <w:rFonts w:ascii="Times New Roman" w:cs="Times New Roman" w:eastAsia="Times New Roman" w:hAnsi="Times New Roman"/>
          <w:i/>
          <w:iCs/>
          <w:sz w:val="22"/>
          <w:szCs w:val="22"/>
        </w:rPr>
        <w:t xml:space="preserve">Pegasus Intellectual Capital Solutions, Chicago, Illinois, USA</w:t>
      </w:r>
    </w:p>
    <w:p>
      <w:pPr>
        <w:spacing w:after="400" w:line="360"/>
        <w:jc w:val="center"/>
      </w:pPr>
      <w:r>
        <w:rPr>
          <w:rFonts w:ascii="Times New Roman" w:cs="Times New Roman" w:eastAsia="Times New Roman" w:hAnsi="Times New Roman"/>
          <w:sz w:val="22"/>
          <w:szCs w:val="22"/>
        </w:rPr>
        <w:t xml:space="preserve">(Dated: March 2026 — Revised with observational data)</w:t>
      </w:r>
    </w:p>
    <w:p>
      <w:pPr>
        <w:spacing w:after="100" w:line="360"/>
        <w:jc w:val="center"/>
      </w:pPr>
      <w:r>
        <w:rPr>
          <w:rFonts w:ascii="Times New Roman" w:cs="Times New Roman" w:eastAsia="Times New Roman" w:hAnsi="Times New Roman"/>
          <w:b/>
          <w:bCs/>
          <w:sz w:val="24"/>
          <w:szCs w:val="24"/>
        </w:rPr>
        <w:t xml:space="preserve">Abstract</w:t>
      </w:r>
    </w:p>
    <w:p>
      <w:pPr>
        <w:spacing w:after="400" w:line="360"/>
        <w:jc w:val="both"/>
      </w:pPr>
      <w:r>
        <w:rPr>
          <w:rFonts w:ascii="Times New Roman" w:cs="Times New Roman" w:eastAsia="Times New Roman" w:hAnsi="Times New Roman"/>
          <w:sz w:val="24"/>
          <w:szCs w:val="24"/>
        </w:rPr>
        <w:t xml:space="preserve">Papers 1–3 of this series established a holographic decoherence framework in which the cosmological acceleration scale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ᵤ = cH₀/(2π) arises from horizon-induced decoherence and entropy extremization, yielding zero-free-parameter fits to 171 SPARC galaxy rotation curves (Paper 1, median χ²/ν = 1.41) and a cluster-scale extension via an interaction complexity source function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(Paper 3, Bullet Cluster). However, Paper 3 required importing ~11 eV sterile neutrinos. In this paper, we demonstrate that the sterile neutrino is unnecessary. A Fourier analysis of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reveals spectral content corresponding to an effective scalar field at mass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ₑff ~ 1.2 × 10⁻²⁹ eV, emergent from the cluster correlation length rather than fitted. This quasiparticle has energy density Ωφ ~ 4 × 10⁻¹⁰, seven orders of magnitude below eRASS1 constraints, because its gravitational effect operates through the memory kernel rather than through its energy density. We introduce a nonlocal memory kernel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(x,x′;t,t′) that reproduces the Bullet Cluster lensing–gas offset (~220 kpc) without any new particles. This mechanism produces a unique falsifiable prediction: the lensing–gas offset should decay with time since merger. We compile the first observational dataset of lensing–gas offsets versus dynamical merger ages for seven dissociative merging clusters (Table I, Figure 3) and perform a first-order geometry-normalized residual analysis (Figure 4). The data are consistent with the predicted time-decay (Pearson r = −0.14 after geometry correction) but the sample size precludes a statistically decisive test.</w:t>
      </w:r>
    </w:p>
    <w:p>
      <w:pPr>
        <w:pStyle w:val="Heading1"/>
        <w:spacing w:after="200" w:line="360"/>
        <w:jc w:val="left"/>
      </w:pPr>
      <w:r>
        <w:rPr>
          <w:rFonts w:ascii="Times New Roman" w:cs="Times New Roman" w:eastAsia="Times New Roman" w:hAnsi="Times New Roman"/>
          <w:b/>
          <w:bCs/>
          <w:sz w:val="24"/>
          <w:szCs w:val="24"/>
        </w:rPr>
        <w:t xml:space="preserve">I. INTRODUCTION</w:t>
      </w:r>
    </w:p>
    <w:p>
      <w:pPr>
        <w:spacing w:after="200" w:line="360"/>
        <w:jc w:val="both"/>
      </w:pPr>
      <w:r>
        <w:rPr>
          <w:rFonts w:ascii="Times New Roman" w:cs="Times New Roman" w:eastAsia="Times New Roman" w:hAnsi="Times New Roman"/>
          <w:sz w:val="24"/>
          <w:szCs w:val="24"/>
        </w:rPr>
        <w:t xml:space="preserve">The standard cosmological model (ΛCDM) attributes approximately 27% of the universe’s energy budget to cold dark matter (CDM)—a component that interacts gravitationally but has not been directly detected despite decades of experimental effort. An alternative program, pursued in Papers 1–3 of this series, proposes that the gravitational phenomena attributed to dark matter arise instead from the holographic encoding of bulk information on the cosmological boundary.</w:t>
      </w:r>
    </w:p>
    <w:p>
      <w:pPr>
        <w:spacing w:after="200" w:line="360"/>
        <w:jc w:val="both"/>
      </w:pPr>
      <w:r>
        <w:rPr>
          <w:rFonts w:ascii="Times New Roman" w:cs="Times New Roman" w:eastAsia="Times New Roman" w:hAnsi="Times New Roman"/>
          <w:sz w:val="24"/>
          <w:szCs w:val="24"/>
        </w:rPr>
        <w:t xml:space="preserve">Paper 1 demonstrated that the interpolation function ν(</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1/(1 − e⁻√y), where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gN/aᵤ and aᵤ = cH₀/(2π), fits 171 SPARC galaxy rotation curves with zero free acceleration parameters and a median χ²/ν = 1.41. Paper 2 derived both aᵤ and ν(</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from horizon-induced decoherence and von Neumann entropy extremization. Paper 3 extended the framework to cluster scales by introducing the interaction complexity source function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 ṡᵢᵣᵣ(x)/kB, which concentrates the holographic gravitational density near stellar-dominated regions, successfully addressing the Bullet Cluster lensing offset.</w:t>
      </w:r>
    </w:p>
    <w:p>
      <w:pPr>
        <w:spacing w:after="200" w:line="360"/>
        <w:jc w:val="both"/>
      </w:pPr>
      <w:r>
        <w:rPr>
          <w:rFonts w:ascii="Times New Roman" w:cs="Times New Roman" w:eastAsia="Times New Roman" w:hAnsi="Times New Roman"/>
          <w:sz w:val="24"/>
          <w:szCs w:val="24"/>
        </w:rPr>
        <w:t xml:space="preserve">However, Paper 3 required an external ingredient: sterile neutrinos at ~11 eV. This paper addresses that gap. We show that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when analyzed in Fourier space, already contains spectral content at an effective mass scale of ~10⁻²⁹ eV. We introduce a nonlocal memory kernel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(x,x′;t,t′) that replaces the sterile neutrino’s role entirely. We compile the first dataset of lensing–gas offsets versus merger ages for seven dissociative merging clusters, providing a preliminary observational test of the framework’s central falsifiable prediction.</w:t>
      </w:r>
    </w:p>
    <w:p>
      <w:pPr>
        <w:pStyle w:val="Heading1"/>
        <w:spacing w:after="200" w:line="360"/>
        <w:jc w:val="left"/>
      </w:pPr>
      <w:r>
        <w:rPr>
          <w:rFonts w:ascii="Times New Roman" w:cs="Times New Roman" w:eastAsia="Times New Roman" w:hAnsi="Times New Roman"/>
          <w:b/>
          <w:bCs/>
          <w:sz w:val="24"/>
          <w:szCs w:val="24"/>
        </w:rPr>
        <w:t xml:space="preserve">II. THE MEMORY KERNEL FRAMEWORK</w:t>
      </w:r>
    </w:p>
    <w:p>
      <w:pPr>
        <w:spacing w:after="200" w:line="360"/>
        <w:jc w:val="both"/>
      </w:pPr>
      <w:r>
        <w:rPr>
          <w:rFonts w:ascii="Times New Roman" w:cs="Times New Roman" w:eastAsia="Times New Roman" w:hAnsi="Times New Roman"/>
          <w:sz w:val="24"/>
          <w:szCs w:val="24"/>
        </w:rPr>
        <w:t xml:space="preserve">The central departure from standard gravitational physics is the replacement of the instantaneous mass density ρ(x,t) as the sole source of gravitational potential with a time-integrated effective density that incorporates boundary memory:</w:t>
      </w:r>
    </w:p>
    <w:p>
      <w:pPr>
        <w:spacing w:after="200" w:line="360"/>
        <w:jc w:val="center"/>
      </w:pPr>
      <w:r>
        <w:rPr>
          <w:rFonts w:ascii="Courier New" w:cs="Courier New" w:eastAsia="Courier New" w:hAnsi="Courier New"/>
          <w:sz w:val="22"/>
          <w:szCs w:val="22"/>
        </w:rPr>
        <w:t xml:space="preserve">ρₑff(x,t) = ρb(x,t) + M(x,t)</w:t>
      </w:r>
    </w:p>
    <w:p>
      <w:pPr>
        <w:spacing w:after="200" w:line="360"/>
        <w:jc w:val="both"/>
      </w:pPr>
      <w:r>
        <w:rPr>
          <w:rFonts w:ascii="Times New Roman" w:cs="Times New Roman" w:eastAsia="Times New Roman" w:hAnsi="Times New Roman"/>
          <w:sz w:val="24"/>
          <w:szCs w:val="24"/>
        </w:rPr>
        <w:t xml:space="preserve">where ρb is the baryonic density and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memory contribution:</w:t>
      </w:r>
    </w:p>
    <w:p>
      <w:pPr>
        <w:spacing w:after="200" w:line="360"/>
        <w:jc w:val="center"/>
      </w:pPr>
      <w:r>
        <w:rPr>
          <w:rFonts w:ascii="Courier New" w:cs="Courier New" w:eastAsia="Courier New" w:hAnsi="Courier New"/>
          <w:sz w:val="22"/>
          <w:szCs w:val="22"/>
        </w:rPr>
        <w:t xml:space="preserve">M(x,t) = ∫ dt′ ∫ d³x′ K(x,x′;t,t′) ρb(x′,t′)          (4)</w:t>
      </w:r>
    </w:p>
    <w:p>
      <w:pPr>
        <w:spacing w:after="200" w:line="360"/>
        <w:jc w:val="both"/>
      </w:pPr>
      <w:r>
        <w:rPr>
          <w:rFonts w:ascii="Times New Roman" w:cs="Times New Roman" w:eastAsia="Times New Roman" w:hAnsi="Times New Roman"/>
          <w:sz w:val="24"/>
          <w:szCs w:val="24"/>
        </w:rPr>
        <w:t xml:space="preserve">The kernel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(x,x′;t,t′) encodes how past baryonic configurations influence present gravitational observables. This is a Heisenberg-picture quantity: it describes the evolution of observables (gravitational potentials, lensing maps, rotation curves) rather than the evolution of the quantum state. The distinction is physically significant for non-Markovian dynamics, as demonstrated by Settimo et al. (2026), who showed that a quantum process can appear memoryless in one picture while exhibiting genuine memory in the other.</w:t>
      </w:r>
    </w:p>
    <w:p>
      <w:pPr>
        <w:spacing w:after="200" w:line="360"/>
        <w:jc w:val="both"/>
      </w:pPr>
      <w:r>
        <w:rPr>
          <w:rFonts w:ascii="Times New Roman" w:cs="Times New Roman" w:eastAsia="Times New Roman" w:hAnsi="Times New Roman"/>
          <w:sz w:val="24"/>
          <w:szCs w:val="24"/>
        </w:rPr>
        <w:t xml:space="preserve">The kernel’s time dependence is governed by the boundary’s write dynamics. Following Jacobson’s thermodynamic derivation of the Einstein equation from δQ = T dS at local Rindler horizons, bulk radiation reaching the cosmological horizon constitutes a continuous write process. The kernel’s temporal decay is set by the Hubble time τ ~ 1/H₀. The spatial structure is determined by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which traces irreversible entropy production density dominated by stellar luminosity in galaxy clusters.</w:t>
      </w:r>
    </w:p>
    <w:p>
      <w:pPr>
        <w:pStyle w:val="Heading1"/>
        <w:spacing w:after="200" w:line="360"/>
        <w:jc w:val="left"/>
      </w:pPr>
      <w:r>
        <w:rPr>
          <w:rFonts w:ascii="Times New Roman" w:cs="Times New Roman" w:eastAsia="Times New Roman" w:hAnsi="Times New Roman"/>
          <w:b/>
          <w:bCs/>
          <w:sz w:val="24"/>
          <w:szCs w:val="24"/>
        </w:rPr>
        <w:t xml:space="preserve">III. EMERGENT SCALAR FIELD FROM THE SOURCE FUNCTION</w:t>
      </w:r>
    </w:p>
    <w:p>
      <w:pPr>
        <w:spacing w:after="200" w:line="360"/>
        <w:jc w:val="both"/>
      </w:pPr>
      <w:r>
        <w:rPr>
          <w:rFonts w:ascii="Times New Roman" w:cs="Times New Roman" w:eastAsia="Times New Roman" w:hAnsi="Times New Roman"/>
          <w:sz w:val="24"/>
          <w:szCs w:val="24"/>
        </w:rPr>
        <w:t xml:space="preserve">The source function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has a characteristic spatial correlation length set by the cluster’s stellar distribution. We compute the spherical Hankel transform of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(r) for seven physically motivated cluster profiles and extract the peak of the dimensionless power spectrum k³|Š(k)|². The results (Figure 1) are remarkably consistent:</w:t>
      </w:r>
    </w:p>
    <w:p>
      <w:pPr>
        <w:spacing w:after="200" w:line="360"/>
        <w:jc w:val="center"/>
      </w:pPr>
      <w:r>
        <w:rPr>
          <w:rFonts w:ascii="Times New Roman" w:cs="Times New Roman" w:eastAsia="Times New Roman" w:hAnsi="Times New Roman"/>
          <w:b/>
          <w:bCs/>
          <w:sz w:val="24"/>
          <w:szCs w:val="24"/>
        </w:rPr>
        <w:t xml:space="preserve">Effective mass range: 1.2 × 10⁻²⁹ to 2.8 × 10⁻²⁸ eV</w:t>
      </w:r>
    </w:p>
    <w:p>
      <w:pPr>
        <w:spacing w:after="80" w:line="36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810000"/>
                    </a:xfrm>
                    <a:prstGeom prst="rect">
                      <a:avLst/>
                    </a:prstGeom>
                  </pic:spPr>
                </pic:pic>
              </a:graphicData>
            </a:graphic>
          </wp:inline>
        </w:drawing>
      </w:r>
    </w:p>
    <w:p>
      <w:pPr>
        <w:spacing w:after="300" w:line="360"/>
        <w:jc w:val="left"/>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Dimensionless power spectrum k³|Š(k)|² of the interaction complexity source function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for seven cluster profiles. The peak wavenumber k_c corresponds to an effective scalar field mass m_eff = ℏk_c/c. Gold shading marks the target range 10⁻²⁹–10⁻²⁶ eV. All profiles converge to the same order of magnitude, confirming the mass is set by the cluster correlation length.</w:t>
      </w:r>
    </w:p>
    <w:p>
      <w:pPr>
        <w:spacing w:after="200" w:line="360"/>
        <w:jc w:val="both"/>
      </w:pPr>
      <w:r>
        <w:rPr>
          <w:rFonts w:ascii="Times New Roman" w:cs="Times New Roman" w:eastAsia="Times New Roman" w:hAnsi="Times New Roman"/>
          <w:sz w:val="24"/>
          <w:szCs w:val="24"/>
        </w:rPr>
        <w:t xml:space="preserve">The geometric mean is mₑff = 3.5 × 10⁻²⁹ eV, with Compton wavelength 0.18 Mpc. This mass is not fitted; it is set by the cluster correlation length through mₑff = ℏk_c/c. The field is a quasiparticle—an eigenmode of the decoherence kernel’s spatial structure, analogous to phonons in condensed matter.</w:t>
      </w:r>
    </w:p>
    <w:p>
      <w:pPr>
        <w:pStyle w:val="Heading1"/>
        <w:spacing w:after="200" w:line="360"/>
        <w:jc w:val="left"/>
      </w:pPr>
      <w:r>
        <w:rPr>
          <w:rFonts w:ascii="Times New Roman" w:cs="Times New Roman" w:eastAsia="Times New Roman" w:hAnsi="Times New Roman"/>
          <w:b/>
          <w:bCs/>
          <w:sz w:val="24"/>
          <w:szCs w:val="24"/>
        </w:rPr>
        <w:t xml:space="preserve">IV. OBSERVATIONAL CONSTRAINTS: eRASS1 EVASION</w:t>
      </w:r>
    </w:p>
    <w:p>
      <w:pPr>
        <w:spacing w:after="200" w:line="360"/>
        <w:jc w:val="both"/>
      </w:pPr>
      <w:r>
        <w:rPr>
          <w:rFonts w:ascii="Times New Roman" w:cs="Times New Roman" w:eastAsia="Times New Roman" w:hAnsi="Times New Roman"/>
          <w:sz w:val="24"/>
          <w:szCs w:val="24"/>
        </w:rPr>
        <w:t xml:space="preserve">The most stringent constraints on ultralight scalar fields come from eRASS1. Zelmer et al. (2025) find Ω_a &lt; 0.0035 at m_a = 10⁻²⁷ eV. Our effective field evades these constraints by seven orders of magnitude:</w:t>
      </w:r>
    </w:p>
    <w:p>
      <w:pPr>
        <w:spacing w:after="200" w:line="360"/>
        <w:jc w:val="center"/>
      </w:pPr>
      <w:r>
        <w:rPr>
          <w:rFonts w:ascii="Times New Roman" w:cs="Times New Roman" w:eastAsia="Times New Roman" w:hAnsi="Times New Roman"/>
          <w:b/>
          <w:bCs/>
          <w:sz w:val="24"/>
          <w:szCs w:val="24"/>
        </w:rPr>
        <w:t xml:space="preserve">Ωφ ≈ 4 × 10⁻¹⁰</w:t>
      </w:r>
    </w:p>
    <w:p>
      <w:pPr>
        <w:spacing w:after="200" w:line="360"/>
        <w:jc w:val="both"/>
      </w:pPr>
      <w:r>
        <w:rPr>
          <w:rFonts w:ascii="Times New Roman" w:cs="Times New Roman" w:eastAsia="Times New Roman" w:hAnsi="Times New Roman"/>
          <w:sz w:val="24"/>
          <w:szCs w:val="24"/>
        </w:rPr>
        <w:t xml:space="preserve">The key is structural: the eRASS1 constraint applies to fields whose gravitational effect derives from their energy density. Our field operates through the memory kernel, which modifies the gravitational propagator, not the source term in the Friedmann equation. This decoupling is analogous to the Higgs mechanism, where the vacuum expectation value (not the energy density) determines particle masses.</w:t>
      </w:r>
    </w:p>
    <w:p>
      <w:pPr>
        <w:pStyle w:val="Heading1"/>
        <w:spacing w:after="200" w:line="360"/>
        <w:jc w:val="left"/>
      </w:pPr>
      <w:r>
        <w:rPr>
          <w:rFonts w:ascii="Times New Roman" w:cs="Times New Roman" w:eastAsia="Times New Roman" w:hAnsi="Times New Roman"/>
          <w:b/>
          <w:bCs/>
          <w:sz w:val="24"/>
          <w:szCs w:val="24"/>
        </w:rPr>
        <w:t xml:space="preserve">V. BULLET CLUSTER LENSING OFFSET VIA MEMORY KERNEL</w:t>
      </w:r>
    </w:p>
    <w:p>
      <w:pPr>
        <w:spacing w:after="200" w:line="360"/>
        <w:jc w:val="both"/>
      </w:pPr>
      <w:r>
        <w:rPr>
          <w:rFonts w:ascii="Times New Roman" w:cs="Times New Roman" w:eastAsia="Times New Roman" w:hAnsi="Times New Roman"/>
          <w:sz w:val="24"/>
          <w:szCs w:val="24"/>
        </w:rPr>
        <w:t xml:space="preserve">The Bullet Cluster (1E 0657-558) presents the strongest observational challenge to any dark-matter-free framework. Clowe et al. (2006) showed that weak-lensing mass peaks are offset from X-ray gas peaks by ~150–220 kpc.</w:t>
      </w:r>
    </w:p>
    <w:p>
      <w:pPr>
        <w:spacing w:after="200" w:line="360"/>
        <w:jc w:val="both"/>
      </w:pPr>
      <w:r>
        <w:rPr>
          <w:rFonts w:ascii="Times New Roman" w:cs="Times New Roman" w:eastAsia="Times New Roman" w:hAnsi="Times New Roman"/>
          <w:sz w:val="24"/>
          <w:szCs w:val="24"/>
        </w:rPr>
        <w:t xml:space="preserve">The memory kernel provides a qualitatively different explanation. Each subcluster existed as a virialized system for ~5 Gyr before the collision, which occurred ~180 Myr ago (Springel &amp; Farrar 2007). The effective density is:</w:t>
      </w:r>
    </w:p>
    <w:p>
      <w:pPr>
        <w:spacing w:after="200" w:line="360"/>
        <w:jc w:val="center"/>
      </w:pPr>
      <w:r>
        <w:rPr>
          <w:rFonts w:ascii="Courier New" w:cs="Courier New" w:eastAsia="Courier New" w:hAnsi="Courier New"/>
          <w:sz w:val="22"/>
          <w:szCs w:val="22"/>
        </w:rPr>
        <w:t xml:space="preserve">ρ_eff(x) = f_pre × ρ_pre(x) + f_post × ρ_post(x)</w:t>
      </w:r>
    </w:p>
    <w:p>
      <w:pPr>
        <w:spacing w:after="200" w:line="360"/>
        <w:jc w:val="both"/>
      </w:pPr>
      <w:r>
        <w:rPr>
          <w:rFonts w:ascii="Times New Roman" w:cs="Times New Roman" w:eastAsia="Times New Roman" w:hAnsi="Times New Roman"/>
          <w:sz w:val="24"/>
          <w:szCs w:val="24"/>
        </w:rPr>
        <w:t xml:space="preserve">For τ = 14 Gyr: f_pre = 96.5%, f_post = 3.5%. The effective density peaks at the galaxy positions, yielding an offset of +228 kpc from the gas peak (observed: ~+220 kpc). The lensing peak follows the galaxies because the boundary remembers where the gravitational center has been for the vast majority of the cluster’s history.</w:t>
      </w:r>
    </w:p>
    <w:p>
      <w:pPr>
        <w:pStyle w:val="Heading1"/>
        <w:spacing w:after="200" w:line="360"/>
        <w:jc w:val="left"/>
      </w:pPr>
      <w:r>
        <w:rPr>
          <w:rFonts w:ascii="Times New Roman" w:cs="Times New Roman" w:eastAsia="Times New Roman" w:hAnsi="Times New Roman"/>
          <w:b/>
          <w:bCs/>
          <w:sz w:val="24"/>
          <w:szCs w:val="24"/>
        </w:rPr>
        <w:t xml:space="preserve">VI. FALSIFIABLE PREDICTION: TIME-DEPENDENT OFFSET</w:t>
      </w:r>
    </w:p>
    <w:p>
      <w:pPr>
        <w:spacing w:after="200" w:line="360"/>
        <w:jc w:val="both"/>
      </w:pPr>
      <w:r>
        <w:rPr>
          <w:rFonts w:ascii="Times New Roman" w:cs="Times New Roman" w:eastAsia="Times New Roman" w:hAnsi="Times New Roman"/>
          <w:sz w:val="24"/>
          <w:szCs w:val="24"/>
        </w:rPr>
        <w:t xml:space="preserve">The memory kernel predicts that lensing–gas offsets decrease with time since pericenter (TSP). In ΛCDM, the offset is time-independent—it reflects where the dark matter halo is now. In the memory kernel framework, the offset reflects the time-weighted history, and it heals as the boundary accumulates new writes at the post-collision gas position.</w:t>
      </w:r>
    </w:p>
    <w:p>
      <w:pPr>
        <w:spacing w:after="80" w:line="36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10000"/>
                    </a:xfrm>
                    <a:prstGeom prst="rect">
                      <a:avLst/>
                    </a:prstGeom>
                  </pic:spPr>
                </pic:pic>
              </a:graphicData>
            </a:graphic>
          </wp:inline>
        </w:drawing>
      </w:r>
    </w:p>
    <w:p>
      <w:pPr>
        <w:spacing w:after="300" w:line="360"/>
        <w:jc w:val="left"/>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Predicted lensing–gas offset decay for the Bullet Cluster subcluster. Blue: memory kernel (τ = H₀⁻¹). Red dashed: ΛCDM (flat). The Bullet Cluster and Abell 56 data points are shown.</w:t>
      </w:r>
    </w:p>
    <w:p>
      <w:pPr>
        <w:spacing w:after="100" w:line="360"/>
        <w:jc w:val="left"/>
      </w:pPr>
      <w:r>
        <w:rPr>
          <w:rFonts w:ascii="Times New Roman" w:cs="Times New Roman" w:eastAsia="Times New Roman" w:hAnsi="Times New Roman"/>
          <w:b/>
          <w:bCs/>
          <w:i/>
          <w:iCs/>
          <w:sz w:val="24"/>
          <w:szCs w:val="24"/>
        </w:rPr>
        <w:t xml:space="preserve">Preliminary observational test.</w:t>
      </w:r>
    </w:p>
    <w:p>
      <w:pPr>
        <w:spacing w:after="200" w:line="360"/>
        <w:jc w:val="both"/>
      </w:pPr>
      <w:r>
        <w:rPr>
          <w:rFonts w:ascii="Times New Roman" w:cs="Times New Roman" w:eastAsia="Times New Roman" w:hAnsi="Times New Roman"/>
          <w:sz w:val="24"/>
          <w:szCs w:val="24"/>
        </w:rPr>
        <w:t xml:space="preserve">To test the time-decay prediction, we compile the first dataset of lensing–gas offsets versus dynamically modeled merger ages for dissociative merging clusters. Table I presents seven systems with TSP estimates from independent dynamical modeling studies.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200"/>
        <w:gridCol w:w="1300"/>
        <w:gridCol w:w="1200"/>
        <w:gridCol w:w="296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Cluster</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TSP (Gyr)</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Offset (kpc)</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Offset type</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Scenario</w:t>
            </w:r>
          </w:p>
        </w:tc>
        <w:tc>
          <w:tcPr>
            <w:tcW w:type="dxa" w:w="2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Source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Abell 2146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0.24 [0.14–0.28]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40 ± 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galaxy–gas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Outgoing</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White+ (2015)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Bullet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0.18 [0.15–0.24]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220 ± 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lensing–gas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Outgoing</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Springel &amp; Farrar (2007)</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Abell 2345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0.35 [0.25–0.45]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130 ± 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relic–center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Outgoing</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Boschin+ (2010)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ZwCl 0008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0.76 [0.52–1.00]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100 ± 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lensing–gas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Outgoing</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Golovich+ (2017)</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Sausage (N)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0.90 [0.80–1.00]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890 ± 130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galaxy–gas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Outgoing</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Dawson+ (2015)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Gordo</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0.91 [0.52–1.30]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200 ± 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lensing–gas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Returning</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Ng+ (2015)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Musket Ball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1.10 [0.80–1.75]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150 ± 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lensing–gas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Outgoing</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Dawson (2013)</w:t>
            </w:r>
          </w:p>
        </w:tc>
      </w:tr>
    </w:tbl>
    <w:p>
      <w:pPr>
        <w:spacing w:after="300" w:line="360"/>
        <w:jc w:val="left"/>
      </w:pPr>
      <w:r>
        <w:rPr>
          <w:rFonts w:ascii="Times New Roman" w:cs="Times New Roman" w:eastAsia="Times New Roman" w:hAnsi="Times New Roman"/>
          <w:b/>
          <w:bCs/>
          <w:sz w:val="24"/>
          <w:szCs w:val="24"/>
        </w:rPr>
        <w:t xml:space="preserve">Table I. </w:t>
      </w:r>
      <w:r>
        <w:rPr>
          <w:rFonts w:ascii="Times New Roman" w:cs="Times New Roman" w:eastAsia="Times New Roman" w:hAnsi="Times New Roman"/>
          <w:sz w:val="24"/>
          <w:szCs w:val="24"/>
        </w:rPr>
        <w:t xml:space="preserve">Dissociative merging clusters with dynamically modeled TSP and observed lensing–gas offsets. Brackets give approximate 68% confidence intervals. The Sausage cluster is a mass outlier at M ~ 2×10¹⁵ M☉. Offset corrections from Wittman, Golovich &amp; Dawson (2018).</w:t>
      </w:r>
    </w:p>
    <w:p>
      <w:pPr>
        <w:spacing w:after="80" w:line="360"/>
        <w:jc w:val="center"/>
      </w:pPr>
      <w:r>
        <w:drawing>
          <wp:inline distT="0" distB="0" distL="0" distR="0">
            <wp:extent cx="5143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5143500"/>
                    </a:xfrm>
                    <a:prstGeom prst="rect">
                      <a:avLst/>
                    </a:prstGeom>
                  </pic:spPr>
                </pic:pic>
              </a:graphicData>
            </a:graphic>
          </wp:inline>
        </w:drawing>
      </w:r>
    </w:p>
    <w:p>
      <w:pPr>
        <w:spacing w:after="300" w:line="360"/>
        <w:jc w:val="left"/>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Lensing–gas offset versus time since pericenter (TSP) for seven dissociative merging galaxy clusters. </w:t>
      </w:r>
      <w:r>
        <w:rPr>
          <w:rFonts w:ascii="Times New Roman" w:cs="Times New Roman" w:eastAsia="Times New Roman" w:hAnsi="Times New Roman"/>
          <w:i/>
          <w:iCs/>
          <w:sz w:val="24"/>
          <w:szCs w:val="24"/>
        </w:rPr>
        <w:t xml:space="preserve">Top: </w:t>
      </w:r>
      <w:r>
        <w:rPr>
          <w:rFonts w:ascii="Times New Roman" w:cs="Times New Roman" w:eastAsia="Times New Roman" w:hAnsi="Times New Roman"/>
          <w:sz w:val="24"/>
          <w:szCs w:val="24"/>
        </w:rPr>
        <w:t xml:space="preserve">Raw projected offsets. Blue curves show the memory kernel prediction (Eq. 4) for τ = H₀⁻¹ (solid), H₀⁻¹/2 (dashed), and 3 Gyr (dotted), with a 5 Gyr pre-collision virialization phase. Red dashed: ΛCDM expectation (geometry-dependent, time-independent). CIZA J2242 (grey) is a mass outlier. </w:t>
      </w:r>
      <w:r>
        <w:rPr>
          <w:rFonts w:ascii="Times New Roman" w:cs="Times New Roman" w:eastAsia="Times New Roman" w:hAnsi="Times New Roman"/>
          <w:i/>
          <w:iCs/>
          <w:sz w:val="24"/>
          <w:szCs w:val="24"/>
        </w:rPr>
        <w:t xml:space="preserve">Bottom: </w:t>
      </w:r>
      <w:r>
        <w:rPr>
          <w:rFonts w:ascii="Times New Roman" w:cs="Times New Roman" w:eastAsia="Times New Roman" w:hAnsi="Times New Roman"/>
          <w:sz w:val="24"/>
          <w:szCs w:val="24"/>
        </w:rPr>
        <w:t xml:space="preserve">Offsets normalized by estimated R₂₀₀. Offset definitions are heterogeneous; see Figure 4 for geometry-normalized residual analysis.</w:t>
      </w:r>
    </w:p>
    <w:p>
      <w:pPr>
        <w:spacing w:after="200" w:line="360"/>
        <w:jc w:val="both"/>
      </w:pPr>
      <w:r>
        <w:rPr>
          <w:rFonts w:ascii="Times New Roman" w:cs="Times New Roman" w:eastAsia="Times New Roman" w:hAnsi="Times New Roman"/>
          <w:sz w:val="24"/>
          <w:szCs w:val="24"/>
        </w:rPr>
        <w:t xml:space="preserve">The raw data are qualitatively consistent with slow decay (Figure 3). Excluding the Sausage cluster, six systems show offsets declining from ~220 kpc at TSP ~ 0.18 Gyr to ~100–150 kpc at TSP ~ 0.8–1.1 Gyr.</w:t>
      </w:r>
    </w:p>
    <w:p>
      <w:pPr>
        <w:spacing w:after="200" w:line="360"/>
        <w:jc w:val="both"/>
      </w:pPr>
      <w:r>
        <w:rPr>
          <w:rFonts w:ascii="Times New Roman" w:cs="Times New Roman" w:eastAsia="Times New Roman" w:hAnsi="Times New Roman"/>
          <w:b/>
          <w:bCs/>
          <w:sz w:val="24"/>
          <w:szCs w:val="24"/>
        </w:rPr>
        <w:t xml:space="preserve">Geometry-normalized residual analysis. </w:t>
      </w:r>
      <w:r>
        <w:rPr>
          <w:rFonts w:ascii="Times New Roman" w:cs="Times New Roman" w:eastAsia="Times New Roman" w:hAnsi="Times New Roman"/>
          <w:sz w:val="24"/>
          <w:szCs w:val="24"/>
        </w:rPr>
        <w:t xml:space="preserve">To control for the dominant geometry dependence of observed offsets, we normalize each cluster’s offset by a first-order ram-pressure scaling that accounts for collision velocity, mass ratio, and projection angle (Figure 4). After this normalization, the Pearson correlation between normalized offset and TSP is r = −0.14 (p = 0.79, N = 6 excluding the Sausage mass outlier). The Spearman rank correlation is ρ = −0.31 (p = 0.54). The sign is consistent with the memory kernel prediction, but the sample size and heterogeneous offset definitions preclude a statistically decisive test. With only six data points and factor-of-five scatter in the geometry-corrected offsets, a ~15% signal over 1 Gyr is below the noise floor. A decisive test would require ≥15 systems with uniform weak-lensing offset measurements and full MCMAC dynamical modeling.</w:t>
      </w:r>
    </w:p>
    <w:p>
      <w:pPr>
        <w:spacing w:after="80" w:line="360"/>
        <w:jc w:val="center"/>
      </w:pPr>
      <w:r>
        <w:drawing>
          <wp:inline distT="0" distB="0" distL="0" distR="0">
            <wp:extent cx="5143500" cy="6429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429375"/>
                    </a:xfrm>
                    <a:prstGeom prst="rect">
                      <a:avLst/>
                    </a:prstGeom>
                  </pic:spPr>
                </pic:pic>
              </a:graphicData>
            </a:graphic>
          </wp:inline>
        </w:drawing>
      </w:r>
    </w:p>
    <w:p>
      <w:pPr>
        <w:spacing w:after="300" w:line="360"/>
        <w:jc w:val="left"/>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(a) Raw lensing–gas offsets versus TSP. (b) Geometry-normalized residuals after correcting for collision velocity, mass ratio, and projection angle using a first-order ram-pressure scaling. Orange curves: memory kernel predictions for τ = H₀⁻¹ (solid), H₀⁻¹/2 (dashed), and 3 Gyr (dotted). Red dashed: ΛCDM expectation (time-independent). Grey: Sausage cluster (mass outlier, excluded from statistics). Pearson r = −0.14 (p = 0.79, N = 6): the data are consistent with slow decay but not statistically decisive.</w:t>
      </w:r>
    </w:p>
    <w:p>
      <w:pPr>
        <w:pStyle w:val="Heading1"/>
        <w:spacing w:after="200" w:line="360"/>
        <w:jc w:val="left"/>
      </w:pPr>
      <w:r>
        <w:rPr>
          <w:rFonts w:ascii="Times New Roman" w:cs="Times New Roman" w:eastAsia="Times New Roman" w:hAnsi="Times New Roman"/>
          <w:b/>
          <w:bCs/>
          <w:sz w:val="24"/>
          <w:szCs w:val="24"/>
        </w:rPr>
        <w:t xml:space="preserve">VII. CMB ACOUSTIC PEAK COMPATIBILITY</w:t>
      </w:r>
    </w:p>
    <w:p>
      <w:pPr>
        <w:spacing w:after="200" w:line="360"/>
        <w:jc w:val="both"/>
      </w:pPr>
      <w:r>
        <w:rPr>
          <w:rFonts w:ascii="Times New Roman" w:cs="Times New Roman" w:eastAsia="Times New Roman" w:hAnsi="Times New Roman"/>
          <w:sz w:val="24"/>
          <w:szCs w:val="24"/>
        </w:rPr>
        <w:t xml:space="preserve">The CMB acoustic peaks require gravitational potential wells at recombination deeper than baryons alone produce. The memory kernel provides additional gravitational degrees of freedom through its Fourier mode spectrum. At recombination, the dominant mode has effective mass m ~ ℏ/(r_sound × c) ~ 10⁻³² eV—the same kernel at a different epoch projecting onto a different spatial scale. These modes couple gravitationally but not electromagnetically, are scale-dependent, and have calculable amplitude. Quantitative prediction requires Boltzmann code integration (Paper 7).</w:t>
      </w:r>
    </w:p>
    <w:p>
      <w:pPr>
        <w:pStyle w:val="Heading1"/>
        <w:spacing w:after="200" w:line="360"/>
        <w:jc w:val="left"/>
      </w:pPr>
      <w:r>
        <w:rPr>
          <w:rFonts w:ascii="Times New Roman" w:cs="Times New Roman" w:eastAsia="Times New Roman" w:hAnsi="Times New Roman"/>
          <w:b/>
          <w:bCs/>
          <w:sz w:val="24"/>
          <w:szCs w:val="24"/>
        </w:rPr>
        <w:t xml:space="preserve">VIII. DISCUSSION</w:t>
      </w:r>
    </w:p>
    <w:p>
      <w:pPr>
        <w:spacing w:after="200" w:line="360"/>
        <w:jc w:val="both"/>
      </w:pPr>
      <w:r>
        <w:rPr>
          <w:rFonts w:ascii="Times New Roman" w:cs="Times New Roman" w:eastAsia="Times New Roman" w:hAnsi="Times New Roman"/>
          <w:sz w:val="24"/>
          <w:szCs w:val="24"/>
        </w:rPr>
        <w:t xml:space="preserve">The results advance the holographic decoherence program in three directions.</w:t>
      </w:r>
    </w:p>
    <w:p>
      <w:pPr>
        <w:spacing w:after="200" w:line="360"/>
        <w:jc w:val="both"/>
      </w:pPr>
      <w:r>
        <w:rPr>
          <w:rFonts w:ascii="Times New Roman" w:cs="Times New Roman" w:eastAsia="Times New Roman" w:hAnsi="Times New Roman"/>
          <w:sz w:val="24"/>
          <w:szCs w:val="24"/>
        </w:rPr>
        <w:t xml:space="preserve">First, the framework is now self-contained at cluster scales. The sterile neutrino has been replaced by structure already present in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Papers 1–6 form a closed system: aᵤ from horizon thermodynamics, ν(y) from entropy extremization,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from irreversible entropy production, and cluster phenomenology from the memory kernel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w:t>
      </w:r>
    </w:p>
    <w:p>
      <w:pPr>
        <w:spacing w:after="200" w:line="360"/>
        <w:jc w:val="both"/>
      </w:pPr>
      <w:r>
        <w:rPr>
          <w:rFonts w:ascii="Times New Roman" w:cs="Times New Roman" w:eastAsia="Times New Roman" w:hAnsi="Times New Roman"/>
          <w:sz w:val="24"/>
          <w:szCs w:val="24"/>
        </w:rPr>
        <w:t xml:space="preserve">Second, the memory kernel introduces time-dependent lensing offsets as a new observable. The preliminary dataset (Table I, Figures 3–4) provides the first empirical test. After first-order geometry normalization using ram-pressure scaling for collision velocity, mass ratio, and projection angle, the data show a negative correlation with TSP (r = −0.14) consistent in sign with the prediction but not statistically decisive with only six systems. The prediction—quantified as ~15% decay per Gyr for a Hubble-time kernel—is now on the record, awaiting the growing eROSITA and Chandra catalogs of dissociative mergers.</w:t>
      </w:r>
    </w:p>
    <w:p>
      <w:pPr>
        <w:spacing w:after="200" w:line="360"/>
        <w:jc w:val="both"/>
      </w:pPr>
      <w:r>
        <w:rPr>
          <w:rFonts w:ascii="Times New Roman" w:cs="Times New Roman" w:eastAsia="Times New Roman" w:hAnsi="Times New Roman"/>
          <w:sz w:val="24"/>
          <w:szCs w:val="24"/>
        </w:rPr>
        <w:t xml:space="preserve">Third, the kernel’s mode spectrum provides unified description across scales: rotation curves at galaxy scale, effective scalar field at cluster scale, gravitational scaffolding at CMB scale. The kernel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 the master object from which all these phenomena are projections.</w:t>
      </w:r>
    </w:p>
    <w:p>
      <w:pPr>
        <w:pStyle w:val="Heading1"/>
        <w:spacing w:after="200" w:line="360"/>
        <w:jc w:val="left"/>
      </w:pPr>
      <w:r>
        <w:rPr>
          <w:rFonts w:ascii="Times New Roman" w:cs="Times New Roman" w:eastAsia="Times New Roman" w:hAnsi="Times New Roman"/>
          <w:b/>
          <w:bCs/>
          <w:sz w:val="24"/>
          <w:szCs w:val="24"/>
        </w:rPr>
        <w:t xml:space="preserve">IX. CONCLUSIONS</w:t>
      </w:r>
    </w:p>
    <w:p>
      <w:pPr>
        <w:spacing w:after="20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(x) contains an effective scalar field at mₑff ≈ 1.2 × 10⁻²⁹ eV, emergent from the cluster correlation length (Figure 1).</w:t>
      </w:r>
    </w:p>
    <w:p>
      <w:pPr>
        <w:spacing w:after="200" w:line="360"/>
        <w:jc w:val="both"/>
      </w:pPr>
      <w:r>
        <w:rPr>
          <w:rFonts w:ascii="Times New Roman" w:cs="Times New Roman" w:eastAsia="Times New Roman" w:hAnsi="Times New Roman"/>
          <w:sz w:val="24"/>
          <w:szCs w:val="24"/>
        </w:rPr>
        <w:t xml:space="preserve">(2) The field’s energy density (Ωφ ~ 4 × 10⁻¹⁰) is seven orders of magnitude below the eRASS1 bound.</w:t>
      </w:r>
    </w:p>
    <w:p>
      <w:pPr>
        <w:spacing w:after="200" w:line="360"/>
        <w:jc w:val="both"/>
      </w:pPr>
      <w:r>
        <w:rPr>
          <w:rFonts w:ascii="Times New Roman" w:cs="Times New Roman" w:eastAsia="Times New Roman" w:hAnsi="Times New Roman"/>
          <w:sz w:val="24"/>
          <w:szCs w:val="24"/>
        </w:rPr>
        <w:t xml:space="preserve">(3) The memory kernel reproduces the Bullet Cluster lensing–gas offset of ~220 kpc without new particles.</w:t>
      </w:r>
    </w:p>
    <w:p>
      <w:pPr>
        <w:spacing w:after="200" w:line="360"/>
        <w:jc w:val="both"/>
      </w:pPr>
      <w:r>
        <w:rPr>
          <w:rFonts w:ascii="Times New Roman" w:cs="Times New Roman" w:eastAsia="Times New Roman" w:hAnsi="Times New Roman"/>
          <w:sz w:val="24"/>
          <w:szCs w:val="24"/>
        </w:rPr>
        <w:t xml:space="preserve">(4) Lensing–gas offsets in seven dissociative merging clusters (Table I, Figures 3–4) are consistent with the predicted time-decay. After first-order geometry normalization, the correlation (r = −0.14, N = 6) has the predicted sign but is not statistically decisive. A uniform catalog of ≥15 systems with MCMAC modeling is required for a definitive test.</w:t>
      </w:r>
    </w:p>
    <w:p>
      <w:pPr>
        <w:spacing w:after="200" w:line="360"/>
        <w:jc w:val="both"/>
      </w:pPr>
      <w:r>
        <w:rPr>
          <w:rFonts w:ascii="Times New Roman" w:cs="Times New Roman" w:eastAsia="Times New Roman" w:hAnsi="Times New Roman"/>
          <w:sz w:val="24"/>
          <w:szCs w:val="24"/>
        </w:rPr>
        <w:t xml:space="preserve">(5) The kernel’s Fourier mode spectrum is structurally compatible with CMB requirements (Paper 7).</w:t>
      </w:r>
    </w:p>
    <w:p>
      <w:pPr>
        <w:spacing w:after="200" w:line="360"/>
        <w:jc w:val="both"/>
      </w:pPr>
      <w:r>
        <w:rPr>
          <w:rFonts w:ascii="Times New Roman" w:cs="Times New Roman" w:eastAsia="Times New Roman" w:hAnsi="Times New Roman"/>
          <w:sz w:val="24"/>
          <w:szCs w:val="24"/>
        </w:rPr>
        <w:t xml:space="preserve">The framework’s central object is a memory kernel—a nonlocal, non-Markovian map from past baryonic configurations to present gravitational observables. Dark matter phenomenology is not evidence for missing matter but for accumulated boundary confidence: the gravitational signature of the universe’s quantum memory.</w:t>
      </w:r>
    </w:p>
    <w:p>
      <w:pPr>
        <w:spacing w:after="200"/>
      </w:pPr>
    </w:p>
    <w:p>
      <w:pPr>
        <w:spacing w:after="200" w:line="360"/>
        <w:jc w:val="center"/>
      </w:pPr>
      <w:r>
        <w:rPr>
          <w:rFonts w:ascii="Times New Roman" w:cs="Times New Roman" w:eastAsia="Times New Roman" w:hAnsi="Times New Roman"/>
          <w:b/>
          <w:bCs/>
          <w:sz w:val="24"/>
          <w:szCs w:val="24"/>
        </w:rPr>
        <w:t xml:space="preserve">ACKNOWLEDGMENTS</w:t>
      </w:r>
    </w:p>
    <w:p>
      <w:pPr>
        <w:spacing w:after="200" w:line="360"/>
        <w:jc w:val="both"/>
      </w:pPr>
      <w:r>
        <w:rPr>
          <w:rFonts w:ascii="Times New Roman" w:cs="Times New Roman" w:eastAsia="Times New Roman" w:hAnsi="Times New Roman"/>
          <w:sz w:val="24"/>
          <w:szCs w:val="24"/>
        </w:rPr>
        <w:t xml:space="preserve">The author thanks Claude (Anthropic) and ChatGPT (OpenAI) for computational assistance. All physical interpretation, conceptual framework, and research direction are the author’s own. This research received no external funding.</w:t>
      </w:r>
    </w:p>
    <w:p>
      <w:r>
        <w:br w:type="page"/>
      </w:r>
    </w:p>
    <w:p>
      <w:pPr>
        <w:spacing w:after="200" w:line="360"/>
        <w:jc w:val="center"/>
      </w:pPr>
      <w:r>
        <w:rPr>
          <w:rFonts w:ascii="Times New Roman" w:cs="Times New Roman" w:eastAsia="Times New Roman" w:hAnsi="Times New Roman"/>
          <w:b/>
          <w:bCs/>
          <w:sz w:val="24"/>
          <w:szCs w:val="24"/>
        </w:rPr>
        <w:t xml:space="preserve">REFERENCES</w:t>
      </w:r>
    </w:p>
    <w:p>
      <w:pPr>
        <w:spacing w:after="60" w:line="280"/>
        <w:jc w:val="left"/>
      </w:pPr>
      <w:r>
        <w:rPr>
          <w:rFonts w:ascii="Times New Roman" w:cs="Times New Roman" w:eastAsia="Times New Roman" w:hAnsi="Times New Roman"/>
          <w:sz w:val="20"/>
          <w:szCs w:val="20"/>
        </w:rPr>
        <w:t xml:space="preserve">[1] C. Quarra, Paper 1. Zenodo, doi:10.5281/zenodo.18868563 (2025).</w:t>
      </w:r>
    </w:p>
    <w:p>
      <w:pPr>
        <w:spacing w:after="60" w:line="280"/>
        <w:jc w:val="left"/>
      </w:pPr>
      <w:r>
        <w:rPr>
          <w:rFonts w:ascii="Times New Roman" w:cs="Times New Roman" w:eastAsia="Times New Roman" w:hAnsi="Times New Roman"/>
          <w:sz w:val="20"/>
          <w:szCs w:val="20"/>
        </w:rPr>
        <w:t xml:space="preserve">[2] C. Quarra, Paper 2. Zenodo, doi:10.5281/zenodo.18806314 (2025).</w:t>
      </w:r>
    </w:p>
    <w:p>
      <w:pPr>
        <w:spacing w:after="60" w:line="280"/>
        <w:jc w:val="left"/>
      </w:pPr>
      <w:r>
        <w:rPr>
          <w:rFonts w:ascii="Times New Roman" w:cs="Times New Roman" w:eastAsia="Times New Roman" w:hAnsi="Times New Roman"/>
          <w:sz w:val="20"/>
          <w:szCs w:val="20"/>
        </w:rPr>
        <w:t xml:space="preserve">[3] C. Quarra, Paper 3. In preparation (2026).</w:t>
      </w:r>
    </w:p>
    <w:p>
      <w:pPr>
        <w:spacing w:after="60" w:line="280"/>
        <w:jc w:val="left"/>
      </w:pPr>
      <w:r>
        <w:rPr>
          <w:rFonts w:ascii="Times New Roman" w:cs="Times New Roman" w:eastAsia="Times New Roman" w:hAnsi="Times New Roman"/>
          <w:sz w:val="20"/>
          <w:szCs w:val="20"/>
        </w:rPr>
        <w:t xml:space="preserve">[4] G. W. Angus, MNRAS 394, 527 (2009).</w:t>
      </w:r>
    </w:p>
    <w:p>
      <w:pPr>
        <w:spacing w:after="60" w:line="280"/>
        <w:jc w:val="left"/>
      </w:pPr>
      <w:r>
        <w:rPr>
          <w:rFonts w:ascii="Times New Roman" w:cs="Times New Roman" w:eastAsia="Times New Roman" w:hAnsi="Times New Roman"/>
          <w:sz w:val="20"/>
          <w:szCs w:val="20"/>
        </w:rPr>
        <w:t xml:space="preserve">[5] M. Haslbauer, I. Banik, P. Kroupa, MNRAS 499, 2845 (2020).</w:t>
      </w:r>
    </w:p>
    <w:p>
      <w:pPr>
        <w:spacing w:after="60" w:line="280"/>
        <w:jc w:val="left"/>
      </w:pPr>
      <w:r>
        <w:rPr>
          <w:rFonts w:ascii="Times New Roman" w:cs="Times New Roman" w:eastAsia="Times New Roman" w:hAnsi="Times New Roman"/>
          <w:sz w:val="20"/>
          <w:szCs w:val="20"/>
        </w:rPr>
        <w:t xml:space="preserve">[6] D. Clowe et al., ApJ 648, L109 (2006).</w:t>
      </w:r>
    </w:p>
    <w:p>
      <w:pPr>
        <w:spacing w:after="60" w:line="280"/>
        <w:jc w:val="left"/>
      </w:pPr>
      <w:r>
        <w:rPr>
          <w:rFonts w:ascii="Times New Roman" w:cs="Times New Roman" w:eastAsia="Times New Roman" w:hAnsi="Times New Roman"/>
          <w:sz w:val="20"/>
          <w:szCs w:val="20"/>
        </w:rPr>
        <w:t xml:space="preserve">[7] F. Settimo et al., PRX Quantum 7, 010340 (2026).</w:t>
      </w:r>
    </w:p>
    <w:p>
      <w:pPr>
        <w:spacing w:after="60" w:line="280"/>
        <w:jc w:val="left"/>
      </w:pPr>
      <w:r>
        <w:rPr>
          <w:rFonts w:ascii="Times New Roman" w:cs="Times New Roman" w:eastAsia="Times New Roman" w:hAnsi="Times New Roman"/>
          <w:sz w:val="20"/>
          <w:szCs w:val="20"/>
        </w:rPr>
        <w:t xml:space="preserve">[8] T. Jacobson, PRL 75, 1260 (1995).</w:t>
      </w:r>
    </w:p>
    <w:p>
      <w:pPr>
        <w:spacing w:after="60" w:line="280"/>
        <w:jc w:val="left"/>
      </w:pPr>
      <w:r>
        <w:rPr>
          <w:rFonts w:ascii="Times New Roman" w:cs="Times New Roman" w:eastAsia="Times New Roman" w:hAnsi="Times New Roman"/>
          <w:sz w:val="20"/>
          <w:szCs w:val="20"/>
        </w:rPr>
        <w:t xml:space="preserve">[9] T. Jacobson, PRL 116, 201101 (2016).</w:t>
      </w:r>
    </w:p>
    <w:p>
      <w:pPr>
        <w:spacing w:after="60" w:line="280"/>
        <w:jc w:val="left"/>
      </w:pPr>
      <w:r>
        <w:rPr>
          <w:rFonts w:ascii="Times New Roman" w:cs="Times New Roman" w:eastAsia="Times New Roman" w:hAnsi="Times New Roman"/>
          <w:sz w:val="20"/>
          <w:szCs w:val="20"/>
        </w:rPr>
        <w:t xml:space="preserve">[10] S. Zelmer et al., A&amp;A 704, 346A (2025).</w:t>
      </w:r>
    </w:p>
    <w:p>
      <w:pPr>
        <w:spacing w:after="60" w:line="280"/>
        <w:jc w:val="left"/>
      </w:pPr>
      <w:r>
        <w:rPr>
          <w:rFonts w:ascii="Times New Roman" w:cs="Times New Roman" w:eastAsia="Times New Roman" w:hAnsi="Times New Roman"/>
          <w:sz w:val="20"/>
          <w:szCs w:val="20"/>
        </w:rPr>
        <w:t xml:space="preserve">[11] C. Skordis, T. Zlošnik, PRL 127, 161302 (2021).</w:t>
      </w:r>
    </w:p>
    <w:p>
      <w:pPr>
        <w:spacing w:after="60" w:line="280"/>
        <w:jc w:val="left"/>
      </w:pPr>
      <w:r>
        <w:rPr>
          <w:rFonts w:ascii="Times New Roman" w:cs="Times New Roman" w:eastAsia="Times New Roman" w:hAnsi="Times New Roman"/>
          <w:sz w:val="20"/>
          <w:szCs w:val="20"/>
        </w:rPr>
        <w:t xml:space="preserve">[12] W. H. Zurek, Quantum Darwinism. Cambridge (2022).</w:t>
      </w:r>
    </w:p>
    <w:p>
      <w:pPr>
        <w:spacing w:after="60" w:line="280"/>
        <w:jc w:val="left"/>
      </w:pPr>
      <w:r>
        <w:rPr>
          <w:rFonts w:ascii="Times New Roman" w:cs="Times New Roman" w:eastAsia="Times New Roman" w:hAnsi="Times New Roman"/>
          <w:sz w:val="20"/>
          <w:szCs w:val="20"/>
        </w:rPr>
        <w:t xml:space="preserve">[13] A. Almheiri, X. Dong, D. Harlow, JHEP 2015, 163 (2015).</w:t>
      </w:r>
    </w:p>
    <w:p>
      <w:pPr>
        <w:spacing w:after="60" w:line="280"/>
        <w:jc w:val="left"/>
      </w:pPr>
      <w:r>
        <w:rPr>
          <w:rFonts w:ascii="Times New Roman" w:cs="Times New Roman" w:eastAsia="Times New Roman" w:hAnsi="Times New Roman"/>
          <w:sz w:val="20"/>
          <w:szCs w:val="20"/>
        </w:rPr>
        <w:t xml:space="preserve">[14] V. Springel, G. R. Farrar, MNRAS 380, 911 (2007).</w:t>
      </w:r>
    </w:p>
    <w:p>
      <w:pPr>
        <w:spacing w:after="60" w:line="280"/>
        <w:jc w:val="left"/>
      </w:pPr>
      <w:r>
        <w:rPr>
          <w:rFonts w:ascii="Times New Roman" w:cs="Times New Roman" w:eastAsia="Times New Roman" w:hAnsi="Times New Roman"/>
          <w:sz w:val="20"/>
          <w:szCs w:val="20"/>
        </w:rPr>
        <w:t xml:space="preserve">[15] W. A. Dawson, ApJ 772, 131 (2013).</w:t>
      </w:r>
    </w:p>
    <w:p>
      <w:pPr>
        <w:spacing w:after="60" w:line="280"/>
        <w:jc w:val="left"/>
      </w:pPr>
      <w:r>
        <w:rPr>
          <w:rFonts w:ascii="Times New Roman" w:cs="Times New Roman" w:eastAsia="Times New Roman" w:hAnsi="Times New Roman"/>
          <w:sz w:val="20"/>
          <w:szCs w:val="20"/>
        </w:rPr>
        <w:t xml:space="preserve">[16] K. Y. Ng et al., MNRAS 453, 1531 (2015).</w:t>
      </w:r>
    </w:p>
    <w:p>
      <w:pPr>
        <w:spacing w:after="60" w:line="280"/>
        <w:jc w:val="left"/>
      </w:pPr>
      <w:r>
        <w:rPr>
          <w:rFonts w:ascii="Times New Roman" w:cs="Times New Roman" w:eastAsia="Times New Roman" w:hAnsi="Times New Roman"/>
          <w:sz w:val="20"/>
          <w:szCs w:val="20"/>
        </w:rPr>
        <w:t xml:space="preserve">[17] J. A. White et al., MNRAS 453, 2718 (2015).</w:t>
      </w:r>
    </w:p>
    <w:p>
      <w:pPr>
        <w:spacing w:after="60" w:line="280"/>
        <w:jc w:val="left"/>
      </w:pPr>
      <w:r>
        <w:rPr>
          <w:rFonts w:ascii="Times New Roman" w:cs="Times New Roman" w:eastAsia="Times New Roman" w:hAnsi="Times New Roman"/>
          <w:sz w:val="20"/>
          <w:szCs w:val="20"/>
        </w:rPr>
        <w:t xml:space="preserve">[18] N. Golovich et al., ApJ 838, 110 (2017).</w:t>
      </w:r>
    </w:p>
    <w:p>
      <w:pPr>
        <w:spacing w:after="60" w:line="280"/>
        <w:jc w:val="left"/>
      </w:pPr>
      <w:r>
        <w:rPr>
          <w:rFonts w:ascii="Times New Roman" w:cs="Times New Roman" w:eastAsia="Times New Roman" w:hAnsi="Times New Roman"/>
          <w:sz w:val="20"/>
          <w:szCs w:val="20"/>
        </w:rPr>
        <w:t xml:space="preserve">[19] W. A. Dawson et al., ApJ 805, 143 (2015).</w:t>
      </w:r>
    </w:p>
    <w:p>
      <w:pPr>
        <w:spacing w:after="60" w:line="280"/>
        <w:jc w:val="left"/>
      </w:pPr>
      <w:r>
        <w:rPr>
          <w:rFonts w:ascii="Times New Roman" w:cs="Times New Roman" w:eastAsia="Times New Roman" w:hAnsi="Times New Roman"/>
          <w:sz w:val="20"/>
          <w:szCs w:val="20"/>
        </w:rPr>
        <w:t xml:space="preserve">[20] W. Boschin, R. Barrena, M. Girardi, A&amp;A 521, A78 (2010).</w:t>
      </w:r>
    </w:p>
    <w:p>
      <w:pPr>
        <w:spacing w:after="60" w:line="280"/>
        <w:jc w:val="left"/>
      </w:pPr>
      <w:r>
        <w:rPr>
          <w:rFonts w:ascii="Times New Roman" w:cs="Times New Roman" w:eastAsia="Times New Roman" w:hAnsi="Times New Roman"/>
          <w:sz w:val="20"/>
          <w:szCs w:val="20"/>
        </w:rPr>
        <w:t xml:space="preserve">[21] D. Wittman, N. Golovich, W. A. Dawson, ApJ 869, 104 (2018).</w:t>
      </w:r>
    </w:p>
    <w:p>
      <w:pPr>
        <w:spacing w:after="60" w:line="280"/>
        <w:jc w:val="left"/>
      </w:pPr>
      <w:r>
        <w:rPr>
          <w:rFonts w:ascii="Times New Roman" w:cs="Times New Roman" w:eastAsia="Times New Roman" w:hAnsi="Times New Roman"/>
          <w:sz w:val="20"/>
          <w:szCs w:val="20"/>
        </w:rPr>
        <w:t xml:space="preserve">[22] N. Golovich et al., ApJS 240, 39 (2019).</w:t>
      </w:r>
    </w:p>
    <w:p>
      <w:pPr>
        <w:spacing w:after="60" w:line="280"/>
        <w:jc w:val="left"/>
      </w:pPr>
      <w:r>
        <w:rPr>
          <w:rFonts w:ascii="Times New Roman" w:cs="Times New Roman" w:eastAsia="Times New Roman" w:hAnsi="Times New Roman"/>
          <w:sz w:val="20"/>
          <w:szCs w:val="20"/>
        </w:rPr>
        <w:t xml:space="preserve">[23] F. Lelli, S. McGaugh, J. Schombert, AJ 152, 157 (2016).</w:t>
      </w:r>
    </w:p>
    <w:p>
      <w:pPr>
        <w:spacing w:after="60" w:line="280"/>
        <w:jc w:val="left"/>
      </w:pPr>
      <w:r>
        <w:rPr>
          <w:rFonts w:ascii="Times New Roman" w:cs="Times New Roman" w:eastAsia="Times New Roman" w:hAnsi="Times New Roman"/>
          <w:sz w:val="20"/>
          <w:szCs w:val="20"/>
        </w:rPr>
        <w:t xml:space="preserve">[24] S. Lloyd, PRL 88, 237901 (2002).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Quarra — Paper 6: Horizon-Associated Scalar Field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15ae70ccb90db21e6bd69cd96184db91de95d2f.png"/><Relationship Id="rId9" Type="http://schemas.openxmlformats.org/officeDocument/2006/relationships/image" Target="media/d95d0e745a5580bc3a45332815cba1c8e9571496.png"/><Relationship Id="rId10" Type="http://schemas.openxmlformats.org/officeDocument/2006/relationships/image" Target="media/af18ff156338bca3104f52847b4c4c6d8f172de3.png"/><Relationship Id="rId12" Type="http://schemas.openxmlformats.org/officeDocument/2006/relationships/image" Target="media/fig4_geometry.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2026-03-09T11:47:04.077Z</dcterms:created>
  <dcterms:modified xsi:type="dcterms:W3CDTF">2026-03-09T11:47:04.078Z</dcterms:modified>
</cp:coreProperties>
</file>

<file path=docProps/custom.xml><?xml version="1.0" encoding="utf-8"?>
<Properties xmlns="http://schemas.openxmlformats.org/officeDocument/2006/custom-properties" xmlns:vt="http://schemas.openxmlformats.org/officeDocument/2006/docPropsVTypes"/>
</file>