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40"/>
      </w:pPr>
      <w:r>
        <w:rPr>
          <w:rFonts w:ascii="Calibri" w:hAnsi="Calibri" w:cs="Calibri"/>
          <w:b/>
          <w:color w:val="14554A"/>
          <w:sz w:val="40"/>
          <w:szCs w:val="40"/>
        </w:rPr>
        <w:t xml:space="preserve">PRSA Retirement Options</w:t>
      </w:r>
    </w:p>
    <w:p>
      <w:pPr>
        <w:pBdr>
          <w:bottom w:val="single" w:sz="6" w:space="4" w:color="14554A"/>
        </w:pBdr>
        <w:spacing w:before="0" w:after="60"/>
      </w:pPr>
      <w:r>
        <w:rPr>
          <w:rFonts w:ascii="Calibri" w:hAnsi="Calibri" w:cs="Calibri"/>
          <w:b/>
          <w:color w:val="6B7671"/>
          <w:sz w:val="20"/>
          <w:szCs w:val="20"/>
        </w:rPr>
        <w:t xml:space="preserve">Age 62</w:t>
      </w:r>
      <w:r>
        <w:rPr>
          <w:rFonts w:ascii="Calibri" w:hAnsi="Calibri" w:cs="Calibri"/>
          <w:color w:val="6B7671"/>
          <w:sz w:val="20"/>
          <w:szCs w:val="20"/>
        </w:rPr>
        <w:t xml:space="preserve">     Current PRSA value €830,859</w:t>
      </w:r>
      <w:r>
        <w:rPr>
          <w:rFonts w:ascii="Calibri" w:hAnsi="Calibri" w:cs="Calibri"/>
          <w:color w:val="6B7671"/>
          <w:sz w:val="20"/>
          <w:szCs w:val="20"/>
        </w:rPr>
        <w:t xml:space="preserve">     Prepared 27 August 2026</w:t>
      </w:r>
    </w:p>
    <w:p>
      <w:pPr>
        <w:spacing w:before="160" w:after="120" w:line="276" w:lineRule="auto"/>
      </w:pPr>
      <w:r>
        <w:rPr>
          <w:rFonts w:ascii="Calibri" w:hAnsi="Calibri" w:cs="Calibri"/>
          <w:color w:val="12201C"/>
          <w:sz w:val="20"/>
          <w:szCs w:val="20"/>
        </w:rPr>
        <w:t xml:space="preserve">This illustration sets out how the fund may be taken at retirement: the tax-free and taxable elements of the 25% lump sum, the net amount received, and the options for the balance. All figures are illustrative and based on current Irish pension and taxation rules.</w:t>
      </w:r>
    </w:p>
    <w:p>
      <w:pPr>
        <w:spacing w:before="60" w:after="200"/>
        <w:jc w:val="center"/>
      </w:pPr>
      <w:r>
        <w:rPr>
          <w:noProof/>
        </w:rPr>
        <w:drawing>
          <wp:inline distT="0" distB="0" distL="0" distR="0">
            <wp:extent cx="6743700" cy="1838040"/>
            <wp:effectExtent l="0" t="0" r="0" b="0"/>
            <wp:docPr id="101" name="RetirementPies" descr="Three pie charts: PRSA split, gross lump sum tax split, and net lump sum rece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etirementPies"/>
                    <pic:cNvPicPr/>
                  </pic:nvPicPr>
                  <pic:blipFill>
                    <a:blip r:embed="rId100"/>
                    <a:stretch>
                      <a:fillRect/>
                    </a:stretch>
                  </pic:blipFill>
                  <pic:spPr>
                    <a:xfrm>
                      <a:off x="0" y="0"/>
                      <a:ext cx="6743700" cy="1838040"/>
                    </a:xfrm>
                    <a:prstGeom prst="rect">
                      <a:avLst/>
                    </a:prstGeom>
                  </pic:spPr>
                </pic:pic>
              </a:graphicData>
            </a:graphic>
          </wp:inline>
        </w:drawing>
      </w:r>
    </w:p>
    <w:p>
      <w:pPr>
        <w:keepNext/>
        <w:spacing w:before="120" w:after="100"/>
      </w:pPr>
      <w:r>
        <w:rPr>
          <w:rFonts w:ascii="Calibri" w:hAnsi="Calibri" w:cs="Calibri"/>
          <w:b/>
          <w:color w:val="14554A"/>
          <w:sz w:val="26"/>
          <w:szCs w:val="26"/>
        </w:rPr>
        <w:t xml:space="preserve">Options for the Remaining €623,144.25</w:t>
      </w:r>
    </w:p>
    <w:tbl>
      <w:tblPr>
        <w:tblW w:w="10620" w:type="dxa"/>
        <w:tblInd w:w="0" w:type="dxa"/>
        <w:tblBorders>
          <w:top w:val="single" w:sz="4" w:space="0" w:color="C4CDC9"/>
          <w:left w:val="none" w:sz="0" w:space="0" w:color="auto"/>
          <w:bottom w:val="single" w:sz="4" w:space="0" w:color="C4CDC9"/>
          <w:right w:val="none" w:sz="0" w:space="0" w:color="auto"/>
          <w:insideH w:val="single" w:sz="4" w:space="0" w:color="C4CDC9"/>
          <w:insideV w:val="none" w:sz="0" w:space="0" w:color="auto"/>
        </w:tblBorders>
        <w:tblCellMar>
          <w:top w:w="60" w:type="dxa"/>
          <w:left w:w="130" w:type="dxa"/>
          <w:bottom w:w="60" w:type="dxa"/>
          <w:right w:w="130" w:type="dxa"/>
        </w:tblCellMar>
        <w:tblLook w:val="0420" w:firstRow="1" w:lastRow="0" w:firstColumn="0" w:lastColumn="0" w:noHBand="0" w:noVBand="1"/>
      </w:tblPr>
      <w:tblGrid>
        <w:gridCol w:w="1700"/>
        <w:gridCol w:w="1300"/>
        <w:gridCol w:w="2050"/>
        <w:gridCol w:w="1640"/>
        <w:gridCol w:w="1640"/>
        <w:gridCol w:w="2290"/>
      </w:tblGrid>
      <w:tr>
        <w:trPr>
          <w:tblHeader/>
        </w:trPr>
        <w:tc>
          <w:tcPr>
            <w:tcW w:w="1700" w:type="dxa"/>
            <w:shd w:val="clear" w:color="auto" w:fill="EEF4F1"/>
            <w:vAlign w:val="center"/>
          </w:tcPr>
          <w:p>
            <w:pPr>
              <w:spacing w:before="40" w:after="40"/>
            </w:pPr>
            <w:r>
              <w:rPr>
                <w:rFonts w:ascii="Calibri" w:hAnsi="Calibri" w:cs="Calibri"/>
                <w:b/>
                <w:color w:val="14554A"/>
                <w:sz w:val="16"/>
                <w:szCs w:val="16"/>
              </w:rPr>
              <w:t xml:space="preserve">Option</w:t>
            </w:r>
          </w:p>
        </w:tc>
        <w:tc>
          <w:tcPr>
            <w:tcW w:w="1300" w:type="dxa"/>
            <w:shd w:val="clear" w:color="auto" w:fill="EEF4F1"/>
            <w:vAlign w:val="center"/>
          </w:tcPr>
          <w:p>
            <w:pPr>
              <w:spacing w:before="40" w:after="40"/>
            </w:pPr>
            <w:r>
              <w:rPr>
                <w:rFonts w:ascii="Calibri" w:hAnsi="Calibri" w:cs="Calibri"/>
                <w:b/>
                <w:color w:val="14554A"/>
                <w:sz w:val="16"/>
                <w:szCs w:val="16"/>
              </w:rPr>
              <w:t xml:space="preserve">Amount</w:t>
            </w:r>
          </w:p>
        </w:tc>
        <w:tc>
          <w:tcPr>
            <w:tcW w:w="2050" w:type="dxa"/>
            <w:shd w:val="clear" w:color="auto" w:fill="EEF4F1"/>
            <w:vAlign w:val="center"/>
          </w:tcPr>
          <w:p>
            <w:pPr>
              <w:spacing w:before="40" w:after="40"/>
            </w:pPr>
            <w:r>
              <w:rPr>
                <w:rFonts w:ascii="Calibri" w:hAnsi="Calibri" w:cs="Calibri"/>
                <w:b/>
                <w:color w:val="14554A"/>
                <w:sz w:val="16"/>
                <w:szCs w:val="16"/>
              </w:rPr>
              <w:t xml:space="preserve">Income</w:t>
            </w:r>
          </w:p>
        </w:tc>
        <w:tc>
          <w:tcPr>
            <w:tcW w:w="1640" w:type="dxa"/>
            <w:shd w:val="clear" w:color="auto" w:fill="EEF4F1"/>
            <w:vAlign w:val="center"/>
          </w:tcPr>
          <w:p>
            <w:pPr>
              <w:spacing w:before="40" w:after="40"/>
            </w:pPr>
            <w:r>
              <w:rPr>
                <w:rFonts w:ascii="Calibri" w:hAnsi="Calibri" w:cs="Calibri"/>
                <w:b/>
                <w:color w:val="14554A"/>
                <w:sz w:val="16"/>
                <w:szCs w:val="16"/>
              </w:rPr>
              <w:t xml:space="preserve">Investment continues</w:t>
            </w:r>
          </w:p>
        </w:tc>
        <w:tc>
          <w:tcPr>
            <w:tcW w:w="1640" w:type="dxa"/>
            <w:shd w:val="clear" w:color="auto" w:fill="EEF4F1"/>
            <w:vAlign w:val="center"/>
          </w:tcPr>
          <w:p>
            <w:pPr>
              <w:spacing w:before="40" w:after="40"/>
            </w:pPr>
            <w:r>
              <w:rPr>
                <w:rFonts w:ascii="Calibri" w:hAnsi="Calibri" w:cs="Calibri"/>
                <w:b/>
                <w:color w:val="14554A"/>
                <w:sz w:val="16"/>
                <w:szCs w:val="16"/>
              </w:rPr>
              <w:t xml:space="preserve">Capital access</w:t>
            </w:r>
          </w:p>
        </w:tc>
        <w:tc>
          <w:tcPr>
            <w:tcW w:w="2290" w:type="dxa"/>
            <w:shd w:val="clear" w:color="auto" w:fill="EEF4F1"/>
            <w:vAlign w:val="center"/>
          </w:tcPr>
          <w:p>
            <w:pPr>
              <w:spacing w:before="40" w:after="40"/>
            </w:pPr>
            <w:r>
              <w:rPr>
                <w:rFonts w:ascii="Calibri" w:hAnsi="Calibri" w:cs="Calibri"/>
                <w:b/>
                <w:color w:val="14554A"/>
                <w:sz w:val="16"/>
                <w:szCs w:val="16"/>
              </w:rPr>
              <w:t xml:space="preserve">Tax treatment</w:t>
            </w:r>
          </w:p>
        </w:tc>
      </w:tr>
      <w:tr>
        <w:trPr/>
        <w:tc>
          <w:tcPr>
            <w:tcW w:w="1700" w:type="dxa"/>
            <w:vAlign w:val="center"/>
          </w:tcPr>
          <w:p>
            <w:pPr>
              <w:spacing w:before="40" w:after="40"/>
            </w:pPr>
            <w:r>
              <w:rPr>
                <w:rFonts w:ascii="Calibri" w:hAnsi="Calibri" w:cs="Calibri"/>
                <w:b/>
                <w:color w:val="12201C"/>
                <w:sz w:val="18"/>
                <w:szCs w:val="18"/>
              </w:rPr>
              <w:t xml:space="preserve">Approved Retirement Fund</w:t>
            </w:r>
          </w:p>
        </w:tc>
        <w:tc>
          <w:tcPr>
            <w:tcW w:w="1300" w:type="dxa"/>
            <w:vAlign w:val="center"/>
          </w:tcPr>
          <w:p>
            <w:pPr>
              <w:spacing w:before="40" w:after="40"/>
            </w:pPr>
            <w:r>
              <w:rPr>
                <w:rFonts w:ascii="Calibri" w:hAnsi="Calibri" w:cs="Calibri"/>
                <w:color w:val="12201C"/>
                <w:sz w:val="18"/>
                <w:szCs w:val="18"/>
              </w:rPr>
              <w:t xml:space="preserve">€623,144.25</w:t>
            </w:r>
          </w:p>
        </w:tc>
        <w:tc>
          <w:tcPr>
            <w:tcW w:w="2050" w:type="dxa"/>
            <w:vAlign w:val="center"/>
          </w:tcPr>
          <w:p>
            <w:pPr>
              <w:spacing w:before="40" w:after="40"/>
            </w:pPr>
            <w:r>
              <w:rPr>
                <w:rFonts w:ascii="Calibri" w:hAnsi="Calibri" w:cs="Calibri"/>
                <w:color w:val="12201C"/>
                <w:sz w:val="18"/>
                <w:szCs w:val="18"/>
              </w:rPr>
              <w:t xml:space="preserve">Flexible withdrawals</w:t>
            </w:r>
          </w:p>
        </w:tc>
        <w:tc>
          <w:tcPr>
            <w:tcW w:w="1640" w:type="dxa"/>
            <w:vAlign w:val="center"/>
          </w:tcPr>
          <w:p>
            <w:pPr>
              <w:spacing w:before="40" w:after="40"/>
            </w:pPr>
            <w:r>
              <w:rPr>
                <w:rFonts w:ascii="Calibri" w:hAnsi="Calibri" w:cs="Calibri"/>
                <w:b/>
                <w:color w:val="00795F"/>
                <w:sz w:val="18"/>
                <w:szCs w:val="18"/>
              </w:rPr>
              <w:t xml:space="preserve">Yes</w:t>
            </w:r>
          </w:p>
        </w:tc>
        <w:tc>
          <w:tcPr>
            <w:tcW w:w="1640" w:type="dxa"/>
            <w:vAlign w:val="center"/>
          </w:tcPr>
          <w:p>
            <w:pPr>
              <w:spacing w:before="40" w:after="40"/>
            </w:pPr>
            <w:r>
              <w:rPr>
                <w:rFonts w:ascii="Calibri" w:hAnsi="Calibri" w:cs="Calibri"/>
                <w:b/>
                <w:color w:val="00795F"/>
                <w:sz w:val="18"/>
                <w:szCs w:val="18"/>
              </w:rPr>
              <w:t xml:space="preserve">Yes</w:t>
            </w:r>
          </w:p>
        </w:tc>
        <w:tc>
          <w:tcPr>
            <w:tcW w:w="2290" w:type="dxa"/>
            <w:vAlign w:val="center"/>
          </w:tcPr>
          <w:p>
            <w:pPr>
              <w:spacing w:before="40" w:after="40"/>
            </w:pPr>
            <w:r>
              <w:rPr>
                <w:rFonts w:ascii="Calibri" w:hAnsi="Calibri" w:cs="Calibri"/>
                <w:color w:val="12201C"/>
                <w:sz w:val="18"/>
                <w:szCs w:val="18"/>
              </w:rPr>
              <w:t xml:space="preserve">Withdrawals taxable under PAYE</w:t>
            </w:r>
          </w:p>
        </w:tc>
      </w:tr>
      <w:tr>
        <w:trPr/>
        <w:tc>
          <w:tcPr>
            <w:tcW w:w="1700" w:type="dxa"/>
            <w:shd w:val="clear" w:color="auto" w:fill="F7FAF8"/>
            <w:vAlign w:val="center"/>
          </w:tcPr>
          <w:p>
            <w:pPr>
              <w:spacing w:before="40" w:after="40"/>
            </w:pPr>
            <w:r>
              <w:rPr>
                <w:rFonts w:ascii="Calibri" w:hAnsi="Calibri" w:cs="Calibri"/>
                <w:b/>
                <w:color w:val="12201C"/>
                <w:sz w:val="18"/>
                <w:szCs w:val="18"/>
              </w:rPr>
              <w:t xml:space="preserve">Annuity</w:t>
            </w:r>
          </w:p>
        </w:tc>
        <w:tc>
          <w:tcPr>
            <w:tcW w:w="1300" w:type="dxa"/>
            <w:shd w:val="clear" w:color="auto" w:fill="F7FAF8"/>
            <w:vAlign w:val="center"/>
          </w:tcPr>
          <w:p>
            <w:pPr>
              <w:spacing w:before="40" w:after="40"/>
            </w:pPr>
            <w:r>
              <w:rPr>
                <w:rFonts w:ascii="Calibri" w:hAnsi="Calibri" w:cs="Calibri"/>
                <w:color w:val="12201C"/>
                <w:sz w:val="18"/>
                <w:szCs w:val="18"/>
              </w:rPr>
              <w:t xml:space="preserve">€623,144.25</w:t>
            </w:r>
          </w:p>
        </w:tc>
        <w:tc>
          <w:tcPr>
            <w:tcW w:w="2050" w:type="dxa"/>
            <w:shd w:val="clear" w:color="auto" w:fill="F7FAF8"/>
            <w:vAlign w:val="center"/>
          </w:tcPr>
          <w:p>
            <w:pPr>
              <w:spacing w:before="40" w:after="40"/>
            </w:pPr>
            <w:r>
              <w:rPr>
                <w:rFonts w:ascii="Calibri" w:hAnsi="Calibri" w:cs="Calibri"/>
                <w:color w:val="12201C"/>
                <w:sz w:val="18"/>
                <w:szCs w:val="18"/>
              </w:rPr>
              <w:t xml:space="preserve">Guaranteed pension income</w:t>
            </w:r>
          </w:p>
        </w:tc>
        <w:tc>
          <w:tcPr>
            <w:tcW w:w="1640" w:type="dxa"/>
            <w:shd w:val="clear" w:color="auto" w:fill="F7FAF8"/>
            <w:vAlign w:val="center"/>
          </w:tcPr>
          <w:p>
            <w:pPr>
              <w:spacing w:before="40" w:after="40"/>
            </w:pPr>
            <w:r>
              <w:rPr>
                <w:rFonts w:ascii="Calibri" w:hAnsi="Calibri" w:cs="Calibri"/>
                <w:b/>
                <w:color w:val="BD6318"/>
                <w:sz w:val="18"/>
                <w:szCs w:val="18"/>
              </w:rPr>
              <w:t xml:space="preserve">No</w:t>
            </w:r>
          </w:p>
        </w:tc>
        <w:tc>
          <w:tcPr>
            <w:tcW w:w="1640" w:type="dxa"/>
            <w:shd w:val="clear" w:color="auto" w:fill="F7FAF8"/>
            <w:vAlign w:val="center"/>
          </w:tcPr>
          <w:p>
            <w:pPr>
              <w:spacing w:before="40" w:after="40"/>
            </w:pPr>
            <w:r>
              <w:rPr>
                <w:rFonts w:ascii="Calibri" w:hAnsi="Calibri" w:cs="Calibri"/>
                <w:color w:val="12201C"/>
                <w:sz w:val="18"/>
                <w:szCs w:val="18"/>
              </w:rPr>
              <w:t xml:space="preserve">Generally no</w:t>
            </w:r>
          </w:p>
        </w:tc>
        <w:tc>
          <w:tcPr>
            <w:tcW w:w="2290" w:type="dxa"/>
            <w:shd w:val="clear" w:color="auto" w:fill="F7FAF8"/>
            <w:vAlign w:val="center"/>
          </w:tcPr>
          <w:p>
            <w:pPr>
              <w:spacing w:before="40" w:after="40"/>
            </w:pPr>
            <w:r>
              <w:rPr>
                <w:rFonts w:ascii="Calibri" w:hAnsi="Calibri" w:cs="Calibri"/>
                <w:color w:val="12201C"/>
                <w:sz w:val="18"/>
                <w:szCs w:val="18"/>
              </w:rPr>
              <w:t xml:space="preserve">Pension income taxable</w:t>
            </w:r>
          </w:p>
        </w:tc>
      </w:tr>
      <w:tr>
        <w:trPr/>
        <w:tc>
          <w:tcPr>
            <w:tcW w:w="1700" w:type="dxa"/>
            <w:vAlign w:val="center"/>
          </w:tcPr>
          <w:p>
            <w:pPr>
              <w:spacing w:before="40" w:after="40"/>
            </w:pPr>
            <w:r>
              <w:rPr>
                <w:rFonts w:ascii="Calibri" w:hAnsi="Calibri" w:cs="Calibri"/>
                <w:b/>
                <w:color w:val="12201C"/>
                <w:sz w:val="18"/>
                <w:szCs w:val="18"/>
              </w:rPr>
              <w:t xml:space="preserve">Withdraw balance</w:t>
            </w:r>
          </w:p>
        </w:tc>
        <w:tc>
          <w:tcPr>
            <w:tcW w:w="1300" w:type="dxa"/>
            <w:vAlign w:val="center"/>
          </w:tcPr>
          <w:p>
            <w:pPr>
              <w:spacing w:before="40" w:after="40"/>
            </w:pPr>
            <w:r>
              <w:rPr>
                <w:rFonts w:ascii="Calibri" w:hAnsi="Calibri" w:cs="Calibri"/>
                <w:color w:val="12201C"/>
                <w:sz w:val="18"/>
                <w:szCs w:val="18"/>
              </w:rPr>
              <w:t xml:space="preserve">€623,144.25</w:t>
            </w:r>
          </w:p>
        </w:tc>
        <w:tc>
          <w:tcPr>
            <w:tcW w:w="2050" w:type="dxa"/>
            <w:vAlign w:val="center"/>
          </w:tcPr>
          <w:p>
            <w:pPr>
              <w:spacing w:before="40" w:after="40"/>
            </w:pPr>
            <w:r>
              <w:rPr>
                <w:rFonts w:ascii="Calibri" w:hAnsi="Calibri" w:cs="Calibri"/>
                <w:color w:val="12201C"/>
                <w:sz w:val="18"/>
                <w:szCs w:val="18"/>
              </w:rPr>
              <w:t xml:space="preserve">No future pension fund retained</w:t>
            </w:r>
          </w:p>
        </w:tc>
        <w:tc>
          <w:tcPr>
            <w:tcW w:w="1640" w:type="dxa"/>
            <w:vAlign w:val="center"/>
          </w:tcPr>
          <w:p>
            <w:pPr>
              <w:spacing w:before="40" w:after="40"/>
            </w:pPr>
            <w:r>
              <w:rPr>
                <w:rFonts w:ascii="Calibri" w:hAnsi="Calibri" w:cs="Calibri"/>
                <w:b/>
                <w:color w:val="BD6318"/>
                <w:sz w:val="18"/>
                <w:szCs w:val="18"/>
              </w:rPr>
              <w:t xml:space="preserve">No</w:t>
            </w:r>
          </w:p>
        </w:tc>
        <w:tc>
          <w:tcPr>
            <w:tcW w:w="1640" w:type="dxa"/>
            <w:vAlign w:val="center"/>
          </w:tcPr>
          <w:p>
            <w:pPr>
              <w:spacing w:before="40" w:after="40"/>
            </w:pPr>
            <w:r>
              <w:rPr>
                <w:rFonts w:ascii="Calibri" w:hAnsi="Calibri" w:cs="Calibri"/>
                <w:color w:val="12201C"/>
                <w:sz w:val="18"/>
                <w:szCs w:val="18"/>
              </w:rPr>
              <w:t xml:space="preserve">Immediate</w:t>
            </w:r>
          </w:p>
        </w:tc>
        <w:tc>
          <w:tcPr>
            <w:tcW w:w="2290" w:type="dxa"/>
            <w:vAlign w:val="center"/>
          </w:tcPr>
          <w:p>
            <w:pPr>
              <w:spacing w:before="40" w:after="40"/>
            </w:pPr>
            <w:r>
              <w:rPr>
                <w:rFonts w:ascii="Calibri" w:hAnsi="Calibri" w:cs="Calibri"/>
                <w:color w:val="12201C"/>
                <w:sz w:val="18"/>
                <w:szCs w:val="18"/>
              </w:rPr>
              <w:t xml:space="preserve">Withdrawal taxable under PAYE</w:t>
            </w:r>
          </w:p>
        </w:tc>
      </w:tr>
    </w:tbl>
    <w:p>
      <w:pPr>
        <w:keepNext/>
        <w:spacing w:before="280" w:after="100"/>
      </w:pPr>
      <w:r>
        <w:rPr>
          <w:rFonts w:ascii="Calibri" w:hAnsi="Calibri" w:cs="Calibri"/>
          <w:b/>
          <w:color w:val="14554A"/>
          <w:sz w:val="26"/>
          <w:szCs w:val="26"/>
        </w:rPr>
        <w:t xml:space="preserve">Illustrative Retirement Position</w:t>
      </w:r>
    </w:p>
    <w:tbl>
      <w:tblPr>
        <w:tblW w:w="10620" w:type="dxa"/>
        <w:tblInd w:w="0" w:type="dxa"/>
        <w:tblBorders>
          <w:top w:val="single" w:sz="4" w:space="0" w:color="C4CDC9"/>
          <w:bottom w:val="single" w:sz="4" w:space="0" w:color="C4CDC9"/>
          <w:insideH w:val="single" w:sz="4" w:space="0" w:color="C4CDC9"/>
        </w:tblBorders>
        <w:tblCellMar>
          <w:top w:w="40" w:type="dxa"/>
          <w:left w:w="130" w:type="dxa"/>
          <w:bottom w:w="40" w:type="dxa"/>
          <w:right w:w="130" w:type="dxa"/>
        </w:tblCellMar>
        <w:tblLook w:val="0000" w:firstRow="0" w:lastRow="0" w:firstColumn="0" w:lastColumn="0" w:noHBand="1" w:noVBand="1"/>
      </w:tblPr>
      <w:tblGrid>
        <w:gridCol w:w="7620"/>
        <w:gridCol w:w="3000"/>
      </w:tblGrid>
      <w:tr>
        <w:trPr/>
        <w:tc>
          <w:tcPr>
            <w:tcW w:w="7620" w:type="dxa"/>
            <w:vAlign w:val="center"/>
          </w:tcPr>
          <w:p>
            <w:pPr>
              <w:spacing w:before="50" w:after="50"/>
            </w:pPr>
            <w:r>
              <w:rPr>
                <w:rFonts w:ascii="Calibri" w:hAnsi="Calibri" w:cs="Calibri"/>
                <w:color w:val="12201C"/>
                <w:sz w:val="19"/>
                <w:szCs w:val="19"/>
              </w:rPr>
              <w:t xml:space="preserve">Current PRSA</w:t>
            </w:r>
          </w:p>
        </w:tc>
        <w:tc>
          <w:tcPr>
            <w:tcW w:w="3000" w:type="dxa"/>
            <w:vAlign w:val="center"/>
          </w:tcPr>
          <w:p>
            <w:pPr>
              <w:spacing w:before="50" w:after="50"/>
              <w:jc w:val="right"/>
            </w:pPr>
            <w:r>
              <w:rPr>
                <w:rFonts w:ascii="Calibri" w:hAnsi="Calibri" w:cs="Calibri"/>
                <w:color w:val="12201C"/>
                <w:sz w:val="19"/>
                <w:szCs w:val="19"/>
              </w:rPr>
              <w:t xml:space="preserve">€830,859.00</w:t>
            </w:r>
          </w:p>
        </w:tc>
      </w:tr>
      <w:tr>
        <w:trPr/>
        <w:tc>
          <w:tcPr>
            <w:tcW w:w="7620" w:type="dxa"/>
            <w:vAlign w:val="center"/>
          </w:tcPr>
          <w:p>
            <w:pPr>
              <w:spacing w:before="50" w:after="50"/>
            </w:pPr>
            <w:r>
              <w:rPr>
                <w:rFonts w:ascii="Calibri" w:hAnsi="Calibri" w:cs="Calibri"/>
                <w:color w:val="12201C"/>
                <w:sz w:val="19"/>
                <w:szCs w:val="19"/>
              </w:rPr>
              <w:t xml:space="preserve">Gross 25% retirement lump sum</w:t>
            </w:r>
          </w:p>
        </w:tc>
        <w:tc>
          <w:tcPr>
            <w:tcW w:w="3000" w:type="dxa"/>
            <w:vAlign w:val="center"/>
          </w:tcPr>
          <w:p>
            <w:pPr>
              <w:spacing w:before="50" w:after="50"/>
              <w:jc w:val="right"/>
            </w:pPr>
            <w:r>
              <w:rPr>
                <w:rFonts w:ascii="Calibri" w:hAnsi="Calibri" w:cs="Calibri"/>
                <w:color w:val="12201C"/>
                <w:sz w:val="19"/>
                <w:szCs w:val="19"/>
              </w:rPr>
              <w:t xml:space="preserve">€207,714.75</w:t>
            </w:r>
          </w:p>
        </w:tc>
      </w:tr>
      <w:tr>
        <w:trPr/>
        <w:tc>
          <w:tcPr>
            <w:tcW w:w="7620" w:type="dxa"/>
            <w:vAlign w:val="center"/>
          </w:tcPr>
          <w:p>
            <w:pPr>
              <w:spacing w:before="50" w:after="50"/>
              <w:ind w:left="300"/>
            </w:pPr>
            <w:r>
              <w:rPr>
                <w:rFonts w:ascii="Calibri" w:hAnsi="Calibri" w:cs="Calibri"/>
                <w:color w:val="6B7671"/>
                <w:sz w:val="19"/>
                <w:szCs w:val="19"/>
              </w:rPr>
              <w:t xml:space="preserve">Tax-free element*</w:t>
            </w:r>
          </w:p>
        </w:tc>
        <w:tc>
          <w:tcPr>
            <w:tcW w:w="3000" w:type="dxa"/>
            <w:vAlign w:val="center"/>
          </w:tcPr>
          <w:p>
            <w:pPr>
              <w:spacing w:before="50" w:after="50"/>
              <w:jc w:val="right"/>
            </w:pPr>
            <w:r>
              <w:rPr>
                <w:rFonts w:ascii="Calibri" w:hAnsi="Calibri" w:cs="Calibri"/>
                <w:color w:val="12201C"/>
                <w:sz w:val="19"/>
                <w:szCs w:val="19"/>
              </w:rPr>
              <w:t xml:space="preserve">€200,000.00</w:t>
            </w:r>
          </w:p>
        </w:tc>
      </w:tr>
      <w:tr>
        <w:trPr/>
        <w:tc>
          <w:tcPr>
            <w:tcW w:w="7620" w:type="dxa"/>
            <w:vAlign w:val="center"/>
          </w:tcPr>
          <w:p>
            <w:pPr>
              <w:spacing w:before="50" w:after="50"/>
              <w:ind w:left="300"/>
            </w:pPr>
            <w:r>
              <w:rPr>
                <w:rFonts w:ascii="Calibri" w:hAnsi="Calibri" w:cs="Calibri"/>
                <w:color w:val="6B7671"/>
                <w:sz w:val="19"/>
                <w:szCs w:val="19"/>
              </w:rPr>
              <w:t xml:space="preserve">Taxable element*</w:t>
            </w:r>
          </w:p>
        </w:tc>
        <w:tc>
          <w:tcPr>
            <w:tcW w:w="3000" w:type="dxa"/>
            <w:vAlign w:val="center"/>
          </w:tcPr>
          <w:p>
            <w:pPr>
              <w:spacing w:before="50" w:after="50"/>
              <w:jc w:val="right"/>
            </w:pPr>
            <w:r>
              <w:rPr>
                <w:rFonts w:ascii="Calibri" w:hAnsi="Calibri" w:cs="Calibri"/>
                <w:color w:val="12201C"/>
                <w:sz w:val="19"/>
                <w:szCs w:val="19"/>
              </w:rPr>
              <w:t xml:space="preserve">€7,714.75</w:t>
            </w:r>
          </w:p>
        </w:tc>
      </w:tr>
      <w:tr>
        <w:trPr/>
        <w:tc>
          <w:tcPr>
            <w:tcW w:w="7620" w:type="dxa"/>
            <w:vAlign w:val="center"/>
          </w:tcPr>
          <w:p>
            <w:pPr>
              <w:spacing w:before="50" w:after="50"/>
              <w:ind w:left="300"/>
            </w:pPr>
            <w:r>
              <w:rPr>
                <w:rFonts w:ascii="Calibri" w:hAnsi="Calibri" w:cs="Calibri"/>
                <w:color w:val="6B7671"/>
                <w:sz w:val="19"/>
                <w:szCs w:val="19"/>
              </w:rPr>
              <w:t xml:space="preserve">20% tax on taxable element*</w:t>
            </w:r>
          </w:p>
        </w:tc>
        <w:tc>
          <w:tcPr>
            <w:tcW w:w="3000" w:type="dxa"/>
            <w:vAlign w:val="center"/>
          </w:tcPr>
          <w:p>
            <w:pPr>
              <w:spacing w:before="50" w:after="50"/>
              <w:jc w:val="right"/>
            </w:pPr>
            <w:r>
              <w:rPr>
                <w:rFonts w:ascii="Calibri" w:hAnsi="Calibri" w:cs="Calibri"/>
                <w:color w:val="12201C"/>
                <w:sz w:val="19"/>
                <w:szCs w:val="19"/>
              </w:rPr>
              <w:t xml:space="preserve">€1,542.95</w:t>
            </w:r>
          </w:p>
        </w:tc>
      </w:tr>
      <w:tr>
        <w:trPr/>
        <w:tc>
          <w:tcPr>
            <w:tcW w:w="7620" w:type="dxa"/>
            <w:shd w:val="clear" w:color="auto" w:fill="F7FAF8"/>
            <w:vAlign w:val="center"/>
          </w:tcPr>
          <w:p>
            <w:pPr>
              <w:spacing w:before="50" w:after="50"/>
            </w:pPr>
            <w:r>
              <w:rPr>
                <w:rFonts w:ascii="Calibri" w:hAnsi="Calibri" w:cs="Calibri"/>
                <w:b/>
                <w:color w:val="12201C"/>
                <w:sz w:val="19"/>
                <w:szCs w:val="19"/>
              </w:rPr>
              <w:t xml:space="preserve">Net lump sum received*</w:t>
            </w:r>
          </w:p>
        </w:tc>
        <w:tc>
          <w:tcPr>
            <w:tcW w:w="3000" w:type="dxa"/>
            <w:shd w:val="clear" w:color="auto" w:fill="F7FAF8"/>
            <w:vAlign w:val="center"/>
          </w:tcPr>
          <w:p>
            <w:pPr>
              <w:spacing w:before="50" w:after="50"/>
              <w:jc w:val="right"/>
            </w:pPr>
            <w:r>
              <w:rPr>
                <w:rFonts w:ascii="Calibri" w:hAnsi="Calibri" w:cs="Calibri"/>
                <w:b/>
                <w:color w:val="12201C"/>
                <w:sz w:val="21"/>
                <w:szCs w:val="21"/>
              </w:rPr>
              <w:t xml:space="preserve">€206,171.80</w:t>
            </w:r>
          </w:p>
        </w:tc>
      </w:tr>
      <w:tr>
        <w:trPr/>
        <w:tc>
          <w:tcPr>
            <w:tcW w:w="7620" w:type="dxa"/>
            <w:shd w:val="clear" w:color="auto" w:fill="EEF4F1"/>
            <w:vAlign w:val="center"/>
          </w:tcPr>
          <w:p>
            <w:pPr>
              <w:spacing w:before="50" w:after="50"/>
            </w:pPr>
            <w:r>
              <w:rPr>
                <w:rFonts w:ascii="Calibri" w:hAnsi="Calibri" w:cs="Calibri"/>
                <w:b/>
                <w:color w:val="12201C"/>
                <w:sz w:val="19"/>
                <w:szCs w:val="19"/>
              </w:rPr>
              <w:t xml:space="preserve">Remaining retirement fund</w:t>
            </w:r>
          </w:p>
        </w:tc>
        <w:tc>
          <w:tcPr>
            <w:tcW w:w="3000" w:type="dxa"/>
            <w:shd w:val="clear" w:color="auto" w:fill="EEF4F1"/>
            <w:vAlign w:val="center"/>
          </w:tcPr>
          <w:p>
            <w:pPr>
              <w:spacing w:before="50" w:after="50"/>
              <w:jc w:val="right"/>
            </w:pPr>
            <w:r>
              <w:rPr>
                <w:rFonts w:ascii="Calibri" w:hAnsi="Calibri" w:cs="Calibri"/>
                <w:b/>
                <w:color w:val="12201C"/>
                <w:sz w:val="21"/>
                <w:szCs w:val="21"/>
              </w:rPr>
              <w:t xml:space="preserve">€623,144.25</w:t>
            </w:r>
          </w:p>
        </w:tc>
      </w:tr>
    </w:tbl>
    <w:p>
      <w:pPr>
        <w:keepNext/>
        <w:spacing w:before="280" w:after="80"/>
      </w:pPr>
      <w:r>
        <w:rPr>
          <w:rFonts w:ascii="Calibri" w:hAnsi="Calibri" w:cs="Calibri"/>
          <w:b/>
          <w:color w:val="14554A"/>
          <w:sz w:val="20"/>
          <w:szCs w:val="20"/>
        </w:rPr>
        <w:t xml:space="preserve">Important Information</w:t>
      </w:r>
    </w:p>
    <w:p>
      <w:pPr>
        <w:spacing w:before="0" w:after="80" w:line="252" w:lineRule="auto"/>
      </w:pPr>
      <w:r>
        <w:rPr>
          <w:rFonts w:ascii="Calibri" w:hAnsi="Calibri" w:cs="Calibri"/>
          <w:color w:val="6B7671"/>
          <w:sz w:val="16"/>
          <w:szCs w:val="16"/>
        </w:rPr>
        <w:t xml:space="preserve">The figures shown are for illustrative purposes only and are based on current Irish pension and taxation rules. Pension, taxation and Revenue rules may change in the future and may affect the options available and the tax treatment applying at retirement. Investment values can rise as well as fall and you may get back less than the amount invested. Past performance is not a reliable guide to future performance.</w:t>
      </w:r>
    </w:p>
    <w:p>
      <w:pPr>
        <w:spacing w:before="0" w:after="0" w:line="252" w:lineRule="auto"/>
      </w:pPr>
      <w:r>
        <w:rPr>
          <w:rFonts w:ascii="Calibri" w:hAnsi="Calibri" w:cs="Calibri"/>
          <w:color w:val="6B7671"/>
          <w:sz w:val="16"/>
          <w:szCs w:val="16"/>
        </w:rPr>
        <w:t xml:space="preserve">Any retirement decision should be based on your personal circumstances, objectives, risk profile and the rules applying at the time benefits are taken. *The tax-free lump sum figures assume no previous retirement lump sums have used any of the €200,000 lifetime tax-free limit.</w:t>
      </w:r>
    </w:p>
    <w:sectPr w:rsidR="005F5FB2" w:rsidRPr="0068732E">
      <w:headerReference w:type="default" r:id="rId8"/>
      <w:footerReference w:type="default" r:id="rId9"/>
      <w:pgSz w:w="11906" w:h="16838"/>
      <w:pgMar w:top="1673" w:right="566" w:bottom="360" w:left="720" w:header="284"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6641D" w14:textId="77777777" w:rsidR="00761140" w:rsidRDefault="00761140">
      <w:r>
        <w:separator/>
      </w:r>
    </w:p>
  </w:endnote>
  <w:endnote w:type="continuationSeparator" w:id="0">
    <w:p w14:paraId="79C58016" w14:textId="77777777" w:rsidR="00761140" w:rsidRDefault="00761140">
      <w:r>
        <w:continuationSeparator/>
      </w:r>
    </w:p>
  </w:endnote>
  <w:endnote w:type="continuationNotice" w:id="1">
    <w:p w14:paraId="468BCF54" w14:textId="77777777" w:rsidR="00761140" w:rsidRDefault="007611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D43B" w14:textId="77777777" w:rsidR="0097026B" w:rsidRDefault="0097026B">
    <w:pPr>
      <w:pStyle w:val="Footer"/>
      <w:tabs>
        <w:tab w:val="right" w:pos="10620"/>
      </w:tabs>
    </w:pPr>
    <w:r>
      <w:rPr>
        <w:rFonts w:ascii="Calibri" w:hAnsi="Calibri" w:cs="Calibri"/>
        <w:noProof/>
        <w:sz w:val="20"/>
        <w:szCs w:val="20"/>
        <w:lang w:val="en-IE" w:eastAsia="en-IE"/>
      </w:rPr>
      <mc:AlternateContent>
        <mc:Choice Requires="wps">
          <w:drawing>
            <wp:anchor distT="0" distB="0" distL="114300" distR="114300" simplePos="0" relativeHeight="251658242" behindDoc="0" locked="0" layoutInCell="1" allowOverlap="1" wp14:anchorId="0D6CD431" wp14:editId="0D6CD432">
              <wp:simplePos x="0" y="0"/>
              <wp:positionH relativeFrom="column">
                <wp:posOffset>-152403</wp:posOffset>
              </wp:positionH>
              <wp:positionV relativeFrom="paragraph">
                <wp:posOffset>129543</wp:posOffset>
              </wp:positionV>
              <wp:extent cx="7048496" cy="0"/>
              <wp:effectExtent l="0" t="0" r="0" b="0"/>
              <wp:wrapNone/>
              <wp:docPr id="3" name="AutoShape 7"/>
              <wp:cNvGraphicFramePr/>
              <a:graphic xmlns:a="http://schemas.openxmlformats.org/drawingml/2006/main">
                <a:graphicData uri="http://schemas.microsoft.com/office/word/2010/wordprocessingShape">
                  <wps:wsp>
                    <wps:cNvCnPr/>
                    <wps:spPr>
                      <a:xfrm>
                        <a:off x="0" y="0"/>
                        <a:ext cx="7048496" cy="0"/>
                      </a:xfrm>
                      <a:prstGeom prst="straightConnector1">
                        <a:avLst/>
                      </a:prstGeom>
                      <a:noFill/>
                      <a:ln w="9528" cap="flat">
                        <a:solidFill>
                          <a:srgbClr val="000000"/>
                        </a:solidFill>
                        <a:prstDash val="solid"/>
                        <a:round/>
                      </a:ln>
                    </wps:spPr>
                    <wps:bodyPr/>
                  </wps:wsp>
                </a:graphicData>
              </a:graphic>
            </wp:anchor>
          </w:drawing>
        </mc:Choice>
        <mc:Fallback>
          <w:pict>
            <v:shapetype w14:anchorId="7A6F4998" id="_x0000_t32" coordsize="21600,21600" o:spt="32" o:oned="t" path="m,l21600,21600e" filled="f">
              <v:path arrowok="t" fillok="f" o:connecttype="none"/>
              <o:lock v:ext="edit" shapetype="t"/>
            </v:shapetype>
            <v:shape id="AutoShape 7" o:spid="_x0000_s1026" type="#_x0000_t32" style="position:absolute;margin-left:-12pt;margin-top:10.2pt;width:555pt;height:0;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" strokeweight=".26467mm"/>
          </w:pict>
        </mc:Fallback>
      </mc:AlternateContent>
    </w:r>
  </w:p>
  <w:p w14:paraId="0D6CD43C" w14:textId="709ED9C7" w:rsidR="0097026B" w:rsidRDefault="003E4E30">
    <w:pPr>
      <w:pStyle w:val="Footer"/>
      <w:tabs>
        <w:tab w:val="clear" w:pos="4513"/>
        <w:tab w:val="clear" w:pos="9026"/>
        <w:tab w:val="center" w:pos="5310"/>
        <w:tab w:val="right" w:pos="10620"/>
      </w:tabs>
      <w:rPr>
        <w:sz w:val="18"/>
        <w:szCs w:val="18"/>
      </w:rPr>
    </w:pPr>
    <w:r>
      <w:rPr>
        <w:sz w:val="18"/>
        <w:szCs w:val="18"/>
      </w:rPr>
      <w:t>Suite 2AB No 6 Lapps Quay</w:t>
    </w:r>
    <w:r w:rsidR="0097026B">
      <w:rPr>
        <w:sz w:val="18"/>
        <w:szCs w:val="18"/>
      </w:rPr>
      <w:t xml:space="preserve"> Cork</w:t>
    </w:r>
    <w:r w:rsidR="0097026B">
      <w:rPr>
        <w:sz w:val="18"/>
        <w:szCs w:val="18"/>
      </w:rPr>
      <w:tab/>
      <w:t>Telephone:087-7453594</w:t>
    </w:r>
    <w:r w:rsidR="0097026B">
      <w:rPr>
        <w:sz w:val="18"/>
        <w:szCs w:val="18"/>
      </w:rPr>
      <w:tab/>
      <w:t xml:space="preserve">www.pegasusfinancial.ie </w:t>
    </w:r>
  </w:p>
  <w:p w14:paraId="0D6CD43D" w14:textId="77777777" w:rsidR="0097026B" w:rsidRDefault="0097026B">
    <w:pPr>
      <w:pStyle w:val="Footer"/>
      <w:tabs>
        <w:tab w:val="clear" w:pos="4513"/>
        <w:tab w:val="clear" w:pos="9026"/>
        <w:tab w:val="center" w:pos="5310"/>
        <w:tab w:val="right" w:pos="10620"/>
      </w:tabs>
      <w:rPr>
        <w:sz w:val="18"/>
        <w:szCs w:val="18"/>
      </w:rPr>
    </w:pPr>
  </w:p>
  <w:p w14:paraId="0D6CD43E" w14:textId="0E9B4F56" w:rsidR="0097026B" w:rsidRDefault="0097026B">
    <w:pPr>
      <w:pStyle w:val="Footer"/>
      <w:tabs>
        <w:tab w:val="clear" w:pos="4513"/>
        <w:tab w:val="clear" w:pos="9026"/>
        <w:tab w:val="center" w:pos="5310"/>
        <w:tab w:val="right" w:pos="10620"/>
      </w:tabs>
      <w:rPr>
        <w:sz w:val="18"/>
        <w:szCs w:val="18"/>
      </w:rPr>
    </w:pPr>
    <w:r>
      <w:rPr>
        <w:sz w:val="18"/>
        <w:szCs w:val="18"/>
      </w:rPr>
      <w:t xml:space="preserve">Directors: Timothy O Callaghan </w:t>
    </w:r>
    <w:r w:rsidR="003E4E30">
      <w:rPr>
        <w:sz w:val="18"/>
        <w:szCs w:val="18"/>
      </w:rPr>
      <w:t xml:space="preserve">Caoimhe </w:t>
    </w:r>
    <w:r>
      <w:rPr>
        <w:sz w:val="18"/>
        <w:szCs w:val="18"/>
      </w:rPr>
      <w:t>O Callaghan</w:t>
    </w:r>
  </w:p>
  <w:p w14:paraId="0D6CD43F" w14:textId="46B61E97" w:rsidR="0097026B" w:rsidRDefault="0097026B">
    <w:pPr>
      <w:pStyle w:val="Footer"/>
      <w:tabs>
        <w:tab w:val="clear" w:pos="4513"/>
        <w:tab w:val="clear" w:pos="9026"/>
        <w:tab w:val="center" w:pos="5310"/>
        <w:tab w:val="right" w:pos="10620"/>
      </w:tabs>
      <w:rPr>
        <w:sz w:val="18"/>
        <w:szCs w:val="18"/>
      </w:rPr>
    </w:pPr>
    <w:r>
      <w:rPr>
        <w:sz w:val="18"/>
        <w:szCs w:val="18"/>
      </w:rPr>
      <w:t>Registered in Ireland No:501286</w:t>
    </w:r>
  </w:p>
  <w:p w14:paraId="0D6CD440" w14:textId="1907BEC8" w:rsidR="0097026B" w:rsidRDefault="0097026B">
    <w:pPr>
      <w:pStyle w:val="Footer"/>
      <w:tabs>
        <w:tab w:val="clear" w:pos="4513"/>
        <w:tab w:val="clear" w:pos="9026"/>
        <w:tab w:val="center" w:pos="5310"/>
        <w:tab w:val="right" w:pos="10620"/>
      </w:tabs>
      <w:rPr>
        <w:sz w:val="18"/>
        <w:szCs w:val="18"/>
      </w:rPr>
    </w:pPr>
    <w:r>
      <w:rPr>
        <w:sz w:val="18"/>
        <w:szCs w:val="18"/>
      </w:rPr>
      <w:t>Pegasus Equity Limited t/a Pegasus Financial Consultancy is regulated by the Central Bank of Ireland.</w:t>
    </w:r>
  </w:p>
  <w:p w14:paraId="0D6CD441" w14:textId="77777777" w:rsidR="0097026B" w:rsidRDefault="0097026B">
    <w:pPr>
      <w:pStyle w:val="Footer"/>
      <w:tabs>
        <w:tab w:val="right" w:pos="10620"/>
      </w:tabs>
    </w:pP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FE952" w14:textId="77777777" w:rsidR="00761140" w:rsidRDefault="00761140">
      <w:r>
        <w:rPr>
          <w:color w:val="000000"/>
        </w:rPr>
        <w:separator/>
      </w:r>
    </w:p>
  </w:footnote>
  <w:footnote w:type="continuationSeparator" w:id="0">
    <w:p w14:paraId="22F1F5A4" w14:textId="77777777" w:rsidR="00761140" w:rsidRDefault="00761140">
      <w:r>
        <w:continuationSeparator/>
      </w:r>
    </w:p>
  </w:footnote>
  <w:footnote w:type="continuationNotice" w:id="1">
    <w:p w14:paraId="5EC71E32" w14:textId="77777777" w:rsidR="00761140" w:rsidRDefault="007611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D435" w14:textId="64C4212E" w:rsidR="0097026B" w:rsidRDefault="0097026B">
    <w:pPr>
      <w:pStyle w:val="Header"/>
      <w:jc w:val="right"/>
    </w:pPr>
    <w:r>
      <w:rPr>
        <w:rFonts w:ascii="Calibri" w:hAnsi="Calibri" w:cs="Calibri"/>
        <w:noProof/>
        <w:color w:val="000000"/>
        <w:sz w:val="16"/>
        <w:szCs w:val="16"/>
        <w:lang w:val="en-IE" w:eastAsia="en-IE"/>
      </w:rPr>
      <w:drawing>
        <wp:anchor distT="0" distB="0" distL="114300" distR="114300" simplePos="0" relativeHeight="251658240" behindDoc="0" locked="0" layoutInCell="1" allowOverlap="1" wp14:anchorId="0D6CD42D" wp14:editId="0D6CD42E">
          <wp:simplePos x="0" y="0"/>
          <wp:positionH relativeFrom="column">
            <wp:posOffset>-152403</wp:posOffset>
          </wp:positionH>
          <wp:positionV relativeFrom="paragraph">
            <wp:posOffset>11430</wp:posOffset>
          </wp:positionV>
          <wp:extent cx="1795140" cy="591187"/>
          <wp:effectExtent l="0" t="0" r="0" b="0"/>
          <wp:wrapThrough wrapText="bothSides">
            <wp:wrapPolygon edited="0">
              <wp:start x="0" y="0"/>
              <wp:lineTo x="0" y="20881"/>
              <wp:lineTo x="21317" y="20881"/>
              <wp:lineTo x="21317" y="0"/>
              <wp:lineTo x="0" y="0"/>
            </wp:wrapPolygon>
          </wp:wrapThrough>
          <wp:docPr id="1" name="Picture 1" descr="logo_pegasu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95140" cy="591187"/>
                  </a:xfrm>
                  <a:prstGeom prst="rect">
                    <a:avLst/>
                  </a:prstGeom>
                  <a:noFill/>
                  <a:ln>
                    <a:noFill/>
                    <a:prstDash/>
                  </a:ln>
                </pic:spPr>
              </pic:pic>
            </a:graphicData>
          </a:graphic>
        </wp:anchor>
      </w:drawing>
    </w:r>
    <w:r>
      <w:rPr>
        <w:rFonts w:ascii="Calibri" w:hAnsi="Calibri" w:cs="Calibri"/>
        <w:color w:val="000000"/>
        <w:sz w:val="16"/>
        <w:szCs w:val="16"/>
      </w:rPr>
      <w:t>Pegasus Financial Consultancy</w:t>
    </w:r>
  </w:p>
  <w:p w14:paraId="0D6CD436" w14:textId="380183FA" w:rsidR="0097026B" w:rsidRDefault="003E4E30">
    <w:pPr>
      <w:pStyle w:val="Header"/>
      <w:jc w:val="right"/>
      <w:rPr>
        <w:rFonts w:ascii="Calibri" w:hAnsi="Calibri" w:cs="Calibri"/>
        <w:color w:val="000000"/>
        <w:sz w:val="16"/>
        <w:szCs w:val="16"/>
      </w:rPr>
    </w:pPr>
    <w:r>
      <w:rPr>
        <w:rFonts w:ascii="Calibri" w:hAnsi="Calibri" w:cs="Calibri"/>
        <w:color w:val="000000"/>
        <w:sz w:val="16"/>
        <w:szCs w:val="16"/>
      </w:rPr>
      <w:t>Suite 2AB</w:t>
    </w:r>
  </w:p>
  <w:p w14:paraId="49C0BE38" w14:textId="428DF9C9" w:rsidR="003E4E30" w:rsidRDefault="003E4E30">
    <w:pPr>
      <w:pStyle w:val="Header"/>
      <w:jc w:val="right"/>
      <w:rPr>
        <w:rFonts w:ascii="Calibri" w:hAnsi="Calibri" w:cs="Calibri"/>
        <w:color w:val="000000"/>
        <w:sz w:val="16"/>
        <w:szCs w:val="16"/>
      </w:rPr>
    </w:pPr>
    <w:r>
      <w:rPr>
        <w:rFonts w:ascii="Calibri" w:hAnsi="Calibri" w:cs="Calibri"/>
        <w:color w:val="000000"/>
        <w:sz w:val="16"/>
        <w:szCs w:val="16"/>
      </w:rPr>
      <w:t>No 6 Lapps Quay</w:t>
    </w:r>
  </w:p>
  <w:p w14:paraId="0D6CD438" w14:textId="77777777" w:rsidR="0097026B" w:rsidRDefault="0097026B">
    <w:pPr>
      <w:pStyle w:val="Header"/>
      <w:jc w:val="right"/>
      <w:rPr>
        <w:rFonts w:ascii="Calibri" w:hAnsi="Calibri" w:cs="Calibri"/>
        <w:color w:val="000000"/>
        <w:sz w:val="16"/>
        <w:szCs w:val="16"/>
      </w:rPr>
    </w:pPr>
    <w:r>
      <w:rPr>
        <w:rFonts w:ascii="Calibri" w:hAnsi="Calibri" w:cs="Calibri"/>
        <w:color w:val="000000"/>
        <w:sz w:val="16"/>
        <w:szCs w:val="16"/>
      </w:rPr>
      <w:t>Cork</w:t>
    </w:r>
  </w:p>
  <w:p w14:paraId="0D6CD439" w14:textId="77777777" w:rsidR="0097026B" w:rsidRDefault="0097026B">
    <w:pPr>
      <w:pStyle w:val="Header"/>
      <w:jc w:val="right"/>
    </w:pPr>
    <w:r>
      <w:rPr>
        <w:rFonts w:ascii="Calibri" w:hAnsi="Calibri" w:cs="Calibri"/>
        <w:noProof/>
        <w:color w:val="000000"/>
        <w:sz w:val="16"/>
        <w:szCs w:val="16"/>
        <w:lang w:val="en-IE" w:eastAsia="en-IE"/>
      </w:rPr>
      <mc:AlternateContent>
        <mc:Choice Requires="wps">
          <w:drawing>
            <wp:anchor distT="0" distB="0" distL="114300" distR="114300" simplePos="0" relativeHeight="251658241" behindDoc="0" locked="0" layoutInCell="1" allowOverlap="1" wp14:anchorId="0D6CD42F" wp14:editId="0D6CD430">
              <wp:simplePos x="0" y="0"/>
              <wp:positionH relativeFrom="column">
                <wp:posOffset>-152403</wp:posOffset>
              </wp:positionH>
              <wp:positionV relativeFrom="paragraph">
                <wp:posOffset>296549</wp:posOffset>
              </wp:positionV>
              <wp:extent cx="7048496" cy="0"/>
              <wp:effectExtent l="0" t="0" r="0" b="0"/>
              <wp:wrapNone/>
              <wp:docPr id="2" name="AutoShape 4"/>
              <wp:cNvGraphicFramePr/>
              <a:graphic xmlns:a="http://schemas.openxmlformats.org/drawingml/2006/main">
                <a:graphicData uri="http://schemas.microsoft.com/office/word/2010/wordprocessingShape">
                  <wps:wsp>
                    <wps:cNvCnPr/>
                    <wps:spPr>
                      <a:xfrm>
                        <a:off x="0" y="0"/>
                        <a:ext cx="7048496" cy="0"/>
                      </a:xfrm>
                      <a:prstGeom prst="straightConnector1">
                        <a:avLst/>
                      </a:prstGeom>
                      <a:noFill/>
                      <a:ln w="9528" cap="flat">
                        <a:solidFill>
                          <a:srgbClr val="000000"/>
                        </a:solidFill>
                        <a:prstDash val="solid"/>
                        <a:round/>
                      </a:ln>
                    </wps:spPr>
                    <wps:bodyPr/>
                  </wps:wsp>
                </a:graphicData>
              </a:graphic>
            </wp:anchor>
          </w:drawing>
        </mc:Choice>
        <mc:Fallback>
          <w:pict>
            <v:shapetype w14:anchorId="778EC745" id="_x0000_t32" coordsize="21600,21600" o:spt="32" o:oned="t" path="m,l21600,21600e" filled="f">
              <v:path arrowok="t" fillok="f" o:connecttype="none"/>
              <o:lock v:ext="edit" shapetype="t"/>
            </v:shapetype>
            <v:shape id="AutoShape 4" o:spid="_x0000_s1026" type="#_x0000_t32" style="position:absolute;margin-left:-12pt;margin-top:23.35pt;width:555pt;height:0;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" strokeweight=".26467mm"/>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2"/>
    <w:multiLevelType w:val="multilevel"/>
    <w:tmpl w:val="7CE82C8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 w15:restartNumberingAfterBreak="0">
    <w:nsid w:val="23146684"/>
    <w:multiLevelType w:val="multilevel"/>
    <w:tmpl w:val="44722978"/>
    <w:styleLink w:val="LFO1"/>
    <w:lvl w:ilvl="0">
      <w:numFmt w:val="bullet"/>
      <w:pStyle w:val="Bullet1"/>
      <w:lvlText w:val=""/>
      <w:lvlJc w:val="left"/>
      <w:pPr>
        <w:ind w:left="454" w:hanging="284"/>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76F271EF"/>
    <w:multiLevelType w:val="hybridMultilevel"/>
    <w:tmpl w:val="7C7620A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num w:numId="1" w16cid:durableId="1492133462">
    <w:abstractNumId w:val="1"/>
  </w:num>
  <w:num w:numId="2" w16cid:durableId="715666705">
    <w:abstractNumId w:val="0"/>
  </w:num>
  <w:num w:numId="3" w16cid:durableId="1088230071">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2B7"/>
    <w:rsid w:val="0003440A"/>
    <w:rsid w:val="0004397A"/>
    <w:rsid w:val="00065541"/>
    <w:rsid w:val="000926EF"/>
    <w:rsid w:val="000A14A0"/>
    <w:rsid w:val="000B2561"/>
    <w:rsid w:val="00110B30"/>
    <w:rsid w:val="001158FD"/>
    <w:rsid w:val="00126696"/>
    <w:rsid w:val="001318F8"/>
    <w:rsid w:val="00152C38"/>
    <w:rsid w:val="00160D68"/>
    <w:rsid w:val="00201032"/>
    <w:rsid w:val="00214B20"/>
    <w:rsid w:val="00216E1C"/>
    <w:rsid w:val="00234BDB"/>
    <w:rsid w:val="002351A2"/>
    <w:rsid w:val="00251CFF"/>
    <w:rsid w:val="00287338"/>
    <w:rsid w:val="002924B1"/>
    <w:rsid w:val="002B30BD"/>
    <w:rsid w:val="002B75F8"/>
    <w:rsid w:val="002D70F9"/>
    <w:rsid w:val="002E029C"/>
    <w:rsid w:val="002E6DE3"/>
    <w:rsid w:val="002F38C5"/>
    <w:rsid w:val="002F4AC1"/>
    <w:rsid w:val="00302EBB"/>
    <w:rsid w:val="00313FD6"/>
    <w:rsid w:val="0033438F"/>
    <w:rsid w:val="00344098"/>
    <w:rsid w:val="00356731"/>
    <w:rsid w:val="00370612"/>
    <w:rsid w:val="003818A2"/>
    <w:rsid w:val="00383AE1"/>
    <w:rsid w:val="00383ED1"/>
    <w:rsid w:val="003900C0"/>
    <w:rsid w:val="003A0796"/>
    <w:rsid w:val="003E4E30"/>
    <w:rsid w:val="003E7711"/>
    <w:rsid w:val="004006D4"/>
    <w:rsid w:val="004061EC"/>
    <w:rsid w:val="0041349E"/>
    <w:rsid w:val="00450ED8"/>
    <w:rsid w:val="0045750E"/>
    <w:rsid w:val="00463792"/>
    <w:rsid w:val="0047005D"/>
    <w:rsid w:val="004A3692"/>
    <w:rsid w:val="004A3E42"/>
    <w:rsid w:val="004C542B"/>
    <w:rsid w:val="004C588E"/>
    <w:rsid w:val="004D12C0"/>
    <w:rsid w:val="004E5F7B"/>
    <w:rsid w:val="004E64FC"/>
    <w:rsid w:val="004E70ED"/>
    <w:rsid w:val="00501B9C"/>
    <w:rsid w:val="00515BA6"/>
    <w:rsid w:val="00522D78"/>
    <w:rsid w:val="00540D9D"/>
    <w:rsid w:val="005A7DE4"/>
    <w:rsid w:val="005C34BF"/>
    <w:rsid w:val="005E332C"/>
    <w:rsid w:val="005F0757"/>
    <w:rsid w:val="005F1D81"/>
    <w:rsid w:val="005F5FB2"/>
    <w:rsid w:val="00606754"/>
    <w:rsid w:val="00611743"/>
    <w:rsid w:val="00617615"/>
    <w:rsid w:val="00636E71"/>
    <w:rsid w:val="00641D21"/>
    <w:rsid w:val="006472B7"/>
    <w:rsid w:val="0068732E"/>
    <w:rsid w:val="0069611C"/>
    <w:rsid w:val="006A32C6"/>
    <w:rsid w:val="006A6326"/>
    <w:rsid w:val="006C606D"/>
    <w:rsid w:val="006D6013"/>
    <w:rsid w:val="007218E4"/>
    <w:rsid w:val="00732137"/>
    <w:rsid w:val="007329E9"/>
    <w:rsid w:val="00734FE8"/>
    <w:rsid w:val="007409FB"/>
    <w:rsid w:val="00751192"/>
    <w:rsid w:val="007522BB"/>
    <w:rsid w:val="00754AF4"/>
    <w:rsid w:val="00761140"/>
    <w:rsid w:val="0079790E"/>
    <w:rsid w:val="007B37A2"/>
    <w:rsid w:val="007C3234"/>
    <w:rsid w:val="007D03F6"/>
    <w:rsid w:val="007E4E6C"/>
    <w:rsid w:val="00831D46"/>
    <w:rsid w:val="008356FB"/>
    <w:rsid w:val="00851796"/>
    <w:rsid w:val="00896299"/>
    <w:rsid w:val="008A1509"/>
    <w:rsid w:val="008A460D"/>
    <w:rsid w:val="008A7AD3"/>
    <w:rsid w:val="008C248C"/>
    <w:rsid w:val="008C2778"/>
    <w:rsid w:val="008C6975"/>
    <w:rsid w:val="008F1A27"/>
    <w:rsid w:val="0090609C"/>
    <w:rsid w:val="0092148A"/>
    <w:rsid w:val="009223CC"/>
    <w:rsid w:val="00934E0F"/>
    <w:rsid w:val="00950DAD"/>
    <w:rsid w:val="009545FB"/>
    <w:rsid w:val="0097026B"/>
    <w:rsid w:val="009927F3"/>
    <w:rsid w:val="009A7A2D"/>
    <w:rsid w:val="009B1B09"/>
    <w:rsid w:val="009D1E4A"/>
    <w:rsid w:val="009F01CE"/>
    <w:rsid w:val="009F40B8"/>
    <w:rsid w:val="00A10F96"/>
    <w:rsid w:val="00A135BB"/>
    <w:rsid w:val="00A201D0"/>
    <w:rsid w:val="00A22B3E"/>
    <w:rsid w:val="00A269F5"/>
    <w:rsid w:val="00A3494D"/>
    <w:rsid w:val="00A37776"/>
    <w:rsid w:val="00A45C47"/>
    <w:rsid w:val="00A6017A"/>
    <w:rsid w:val="00A643ED"/>
    <w:rsid w:val="00A73478"/>
    <w:rsid w:val="00A93746"/>
    <w:rsid w:val="00A93EEE"/>
    <w:rsid w:val="00AF4B3B"/>
    <w:rsid w:val="00B112DB"/>
    <w:rsid w:val="00B36A53"/>
    <w:rsid w:val="00B613E4"/>
    <w:rsid w:val="00B63565"/>
    <w:rsid w:val="00B8317D"/>
    <w:rsid w:val="00BB1A6E"/>
    <w:rsid w:val="00BB3AD6"/>
    <w:rsid w:val="00BB7AAE"/>
    <w:rsid w:val="00BC4285"/>
    <w:rsid w:val="00BD1E0F"/>
    <w:rsid w:val="00BD2F49"/>
    <w:rsid w:val="00BE375C"/>
    <w:rsid w:val="00C0647B"/>
    <w:rsid w:val="00C17C16"/>
    <w:rsid w:val="00C261C2"/>
    <w:rsid w:val="00C33656"/>
    <w:rsid w:val="00C527F2"/>
    <w:rsid w:val="00C723A1"/>
    <w:rsid w:val="00C8516C"/>
    <w:rsid w:val="00C96717"/>
    <w:rsid w:val="00CA659F"/>
    <w:rsid w:val="00CB4314"/>
    <w:rsid w:val="00D104C4"/>
    <w:rsid w:val="00D14340"/>
    <w:rsid w:val="00D22E89"/>
    <w:rsid w:val="00D31B51"/>
    <w:rsid w:val="00D46A3F"/>
    <w:rsid w:val="00D66E8E"/>
    <w:rsid w:val="00D70F20"/>
    <w:rsid w:val="00D923F8"/>
    <w:rsid w:val="00D93531"/>
    <w:rsid w:val="00DB4B08"/>
    <w:rsid w:val="00DB4EF4"/>
    <w:rsid w:val="00DC1A03"/>
    <w:rsid w:val="00DD5A4C"/>
    <w:rsid w:val="00DF1467"/>
    <w:rsid w:val="00DF5DBE"/>
    <w:rsid w:val="00E74DE0"/>
    <w:rsid w:val="00E90EA9"/>
    <w:rsid w:val="00EF4695"/>
    <w:rsid w:val="00F1457F"/>
    <w:rsid w:val="00F232E1"/>
    <w:rsid w:val="00F55BE5"/>
    <w:rsid w:val="00F7253A"/>
    <w:rsid w:val="00FB3119"/>
    <w:rsid w:val="00FC1736"/>
    <w:rsid w:val="00FD2D57"/>
    <w:rsid w:val="00FD4AD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CD42D"/>
  <w15:docId w15:val="{A34D555F-1334-409E-9629-93894E411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GB" w:eastAsia="en-GB"/>
    </w:rPr>
  </w:style>
  <w:style w:type="paragraph" w:styleId="Heading1">
    <w:name w:val="heading 1"/>
    <w:next w:val="Normal"/>
    <w:uiPriority w:val="9"/>
    <w:qFormat/>
    <w:pPr>
      <w:keepNext/>
      <w:keepLines/>
      <w:pBdr>
        <w:top w:val="single" w:sz="4" w:space="0" w:color="000000"/>
        <w:left w:val="single" w:sz="4" w:space="0" w:color="000000"/>
        <w:bottom w:val="single" w:sz="4" w:space="0" w:color="000000"/>
        <w:right w:val="single" w:sz="4" w:space="0" w:color="000000"/>
      </w:pBdr>
      <w:suppressAutoHyphens/>
      <w:spacing w:line="254" w:lineRule="auto"/>
      <w:ind w:left="24"/>
      <w:jc w:val="center"/>
      <w:outlineLvl w:val="0"/>
    </w:pPr>
    <w:rPr>
      <w:b/>
      <w:color w:val="000000"/>
      <w:sz w:val="22"/>
      <w:szCs w:val="22"/>
    </w:rPr>
  </w:style>
  <w:style w:type="paragraph" w:styleId="Heading2">
    <w:name w:val="heading 2"/>
    <w:next w:val="Normal"/>
    <w:uiPriority w:val="9"/>
    <w:unhideWhenUsed/>
    <w:qFormat/>
    <w:pPr>
      <w:keepNext/>
      <w:keepLines/>
      <w:suppressAutoHyphens/>
      <w:spacing w:line="254" w:lineRule="auto"/>
      <w:ind w:left="10" w:hanging="10"/>
      <w:outlineLvl w:val="1"/>
    </w:pPr>
    <w:rPr>
      <w:b/>
      <w:color w:val="000000"/>
      <w:sz w:val="22"/>
      <w:szCs w:val="22"/>
      <w:u w:val="single" w:color="000000"/>
    </w:rPr>
  </w:style>
  <w:style w:type="paragraph" w:styleId="Heading3">
    <w:name w:val="heading 3"/>
    <w:basedOn w:val="Normal"/>
    <w:next w:val="Normal"/>
    <w:link w:val="Heading3Char"/>
    <w:unhideWhenUsed/>
    <w:qFormat/>
    <w:rsid w:val="00302EBB"/>
    <w:pPr>
      <w:keepNext/>
      <w:keepLines/>
      <w:suppressAutoHyphens w:val="0"/>
      <w:autoSpaceDN/>
      <w:spacing w:before="40"/>
      <w:textAlignment w:val="auto"/>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customStyle="1" w:styleId="apple-tab-span">
    <w:name w:val="apple-tab-span"/>
    <w:basedOn w:val="DefaultParagraphFont"/>
  </w:style>
  <w:style w:type="character" w:customStyle="1" w:styleId="apple-converted-space">
    <w:name w:val="apple-converted-space"/>
    <w:basedOn w:val="DefaultParagraphFont"/>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sz w:val="16"/>
      <w:szCs w:val="16"/>
      <w:lang w:val="en-GB" w:eastAsia="en-GB"/>
    </w:rPr>
  </w:style>
  <w:style w:type="paragraph" w:styleId="Header">
    <w:name w:val="header"/>
    <w:basedOn w:val="Normal"/>
    <w:pPr>
      <w:tabs>
        <w:tab w:val="center" w:pos="4513"/>
        <w:tab w:val="right" w:pos="9026"/>
      </w:tabs>
    </w:pPr>
  </w:style>
  <w:style w:type="character" w:customStyle="1" w:styleId="HeaderChar">
    <w:name w:val="Header Char"/>
    <w:rPr>
      <w:sz w:val="24"/>
      <w:szCs w:val="24"/>
      <w:lang w:val="en-GB" w:eastAsia="en-GB"/>
    </w:rPr>
  </w:style>
  <w:style w:type="paragraph" w:styleId="Footer">
    <w:name w:val="footer"/>
    <w:basedOn w:val="Normal"/>
    <w:pPr>
      <w:tabs>
        <w:tab w:val="center" w:pos="4513"/>
        <w:tab w:val="right" w:pos="9026"/>
      </w:tabs>
    </w:pPr>
  </w:style>
  <w:style w:type="character" w:customStyle="1" w:styleId="FooterChar">
    <w:name w:val="Footer Char"/>
    <w:rPr>
      <w:sz w:val="24"/>
      <w:szCs w:val="24"/>
      <w:lang w:val="en-GB" w:eastAsia="en-GB"/>
    </w:rPr>
  </w:style>
  <w:style w:type="paragraph" w:customStyle="1" w:styleId="Bullet1">
    <w:name w:val="Bullet 1"/>
    <w:basedOn w:val="Normal"/>
    <w:pPr>
      <w:numPr>
        <w:numId w:val="1"/>
      </w:numPr>
    </w:pPr>
    <w:rPr>
      <w:sz w:val="20"/>
    </w:rPr>
  </w:style>
  <w:style w:type="paragraph" w:styleId="ListParagraph">
    <w:name w:val="List Paragraph"/>
    <w:basedOn w:val="Normal"/>
    <w:uiPriority w:val="34"/>
    <w:qFormat/>
    <w:pPr>
      <w:ind w:left="720"/>
    </w:pPr>
  </w:style>
  <w:style w:type="paragraph" w:styleId="NormalWeb">
    <w:name w:val="Normal (Web)"/>
    <w:basedOn w:val="Normal"/>
    <w:uiPriority w:val="99"/>
    <w:pPr>
      <w:spacing w:before="100" w:after="100"/>
    </w:pPr>
    <w:rPr>
      <w:lang w:val="en-IE" w:eastAsia="en-IE"/>
    </w:rPr>
  </w:style>
  <w:style w:type="character" w:customStyle="1" w:styleId="Heading1Char">
    <w:name w:val="Heading 1 Char"/>
    <w:basedOn w:val="DefaultParagraphFont"/>
    <w:rPr>
      <w:b/>
      <w:color w:val="000000"/>
      <w:sz w:val="22"/>
      <w:szCs w:val="22"/>
    </w:rPr>
  </w:style>
  <w:style w:type="character" w:customStyle="1" w:styleId="Heading2Char">
    <w:name w:val="Heading 2 Char"/>
    <w:basedOn w:val="DefaultParagraphFont"/>
    <w:uiPriority w:val="9"/>
    <w:rPr>
      <w:b/>
      <w:color w:val="000000"/>
      <w:sz w:val="22"/>
      <w:szCs w:val="22"/>
      <w:u w:val="single" w:color="000000"/>
    </w:rPr>
  </w:style>
  <w:style w:type="table" w:styleId="TableGrid">
    <w:name w:val="Table Grid"/>
    <w:basedOn w:val="TableNormal"/>
    <w:uiPriority w:val="39"/>
    <w:rsid w:val="00A135BB"/>
    <w:pPr>
      <w:autoSpaceDN/>
      <w:textAlignment w:val="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FO1">
    <w:name w:val="LFO1"/>
    <w:basedOn w:val="NoList"/>
    <w:pPr>
      <w:numPr>
        <w:numId w:val="1"/>
      </w:numPr>
    </w:pPr>
  </w:style>
  <w:style w:type="paragraph" w:styleId="NoSpacing">
    <w:name w:val="No Spacing"/>
    <w:uiPriority w:val="1"/>
    <w:qFormat/>
    <w:rsid w:val="004006D4"/>
    <w:pPr>
      <w:suppressAutoHyphens/>
    </w:pPr>
    <w:rPr>
      <w:sz w:val="24"/>
      <w:szCs w:val="24"/>
      <w:lang w:val="en-GB" w:eastAsia="en-GB"/>
    </w:rPr>
  </w:style>
  <w:style w:type="paragraph" w:styleId="TOCHeading">
    <w:name w:val="TOC Heading"/>
    <w:basedOn w:val="Heading1"/>
    <w:next w:val="Normal"/>
    <w:uiPriority w:val="39"/>
    <w:unhideWhenUsed/>
    <w:qFormat/>
    <w:rsid w:val="004006D4"/>
    <w:pPr>
      <w:pBdr>
        <w:top w:val="none" w:sz="0" w:space="0" w:color="auto"/>
        <w:left w:val="none" w:sz="0" w:space="0" w:color="auto"/>
        <w:bottom w:val="none" w:sz="0" w:space="0" w:color="auto"/>
        <w:right w:val="none" w:sz="0" w:space="0" w:color="auto"/>
      </w:pBdr>
      <w:suppressAutoHyphens w:val="0"/>
      <w:autoSpaceDN/>
      <w:spacing w:before="240" w:line="259" w:lineRule="auto"/>
      <w:ind w:left="0"/>
      <w:jc w:val="left"/>
      <w:textAlignment w:val="auto"/>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IntenseQuote">
    <w:name w:val="Intense Quote"/>
    <w:basedOn w:val="Normal"/>
    <w:next w:val="Normal"/>
    <w:link w:val="IntenseQuoteChar"/>
    <w:uiPriority w:val="30"/>
    <w:qFormat/>
    <w:rsid w:val="004006D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006D4"/>
    <w:rPr>
      <w:i/>
      <w:iCs/>
      <w:color w:val="4472C4" w:themeColor="accent1"/>
      <w:sz w:val="24"/>
      <w:szCs w:val="24"/>
      <w:lang w:val="en-GB" w:eastAsia="en-GB"/>
    </w:rPr>
  </w:style>
  <w:style w:type="paragraph" w:styleId="TOC1">
    <w:name w:val="toc 1"/>
    <w:basedOn w:val="Normal"/>
    <w:next w:val="Normal"/>
    <w:autoRedefine/>
    <w:uiPriority w:val="39"/>
    <w:unhideWhenUsed/>
    <w:rsid w:val="004A3E42"/>
    <w:pPr>
      <w:spacing w:after="100"/>
    </w:pPr>
  </w:style>
  <w:style w:type="paragraph" w:styleId="TOC2">
    <w:name w:val="toc 2"/>
    <w:basedOn w:val="Normal"/>
    <w:next w:val="Normal"/>
    <w:autoRedefine/>
    <w:uiPriority w:val="39"/>
    <w:unhideWhenUsed/>
    <w:rsid w:val="004A3E42"/>
    <w:pPr>
      <w:spacing w:after="100"/>
      <w:ind w:left="240"/>
    </w:pPr>
  </w:style>
  <w:style w:type="character" w:styleId="UnresolvedMention">
    <w:name w:val="Unresolved Mention"/>
    <w:basedOn w:val="DefaultParagraphFont"/>
    <w:uiPriority w:val="99"/>
    <w:semiHidden/>
    <w:unhideWhenUsed/>
    <w:rsid w:val="00D46A3F"/>
    <w:rPr>
      <w:color w:val="605E5C"/>
      <w:shd w:val="clear" w:color="auto" w:fill="E1DFDD"/>
    </w:rPr>
  </w:style>
  <w:style w:type="character" w:customStyle="1" w:styleId="Heading3Char">
    <w:name w:val="Heading 3 Char"/>
    <w:basedOn w:val="DefaultParagraphFont"/>
    <w:link w:val="Heading3"/>
    <w:rsid w:val="00302EBB"/>
    <w:rPr>
      <w:rFonts w:asciiTheme="majorHAnsi" w:eastAsiaTheme="majorEastAsia" w:hAnsiTheme="majorHAnsi" w:cstheme="majorBidi"/>
      <w:color w:val="1F3763" w:themeColor="accent1" w:themeShade="7F"/>
      <w:sz w:val="24"/>
      <w:szCs w:val="24"/>
      <w:lang w:val="en-GB" w:eastAsia="en-GB"/>
    </w:rPr>
  </w:style>
  <w:style w:type="paragraph" w:styleId="BodyText">
    <w:name w:val="Body Text"/>
    <w:basedOn w:val="Normal"/>
    <w:link w:val="BodyTextChar"/>
    <w:uiPriority w:val="1"/>
    <w:qFormat/>
    <w:rsid w:val="00450ED8"/>
    <w:pPr>
      <w:widowControl w:val="0"/>
      <w:suppressAutoHyphens w:val="0"/>
      <w:autoSpaceDE w:val="0"/>
      <w:textAlignment w:val="auto"/>
    </w:pPr>
    <w:rPr>
      <w:sz w:val="18"/>
      <w:szCs w:val="18"/>
      <w:lang w:bidi="en-GB"/>
    </w:rPr>
  </w:style>
  <w:style w:type="character" w:customStyle="1" w:styleId="BodyTextChar">
    <w:name w:val="Body Text Char"/>
    <w:basedOn w:val="DefaultParagraphFont"/>
    <w:link w:val="BodyText"/>
    <w:uiPriority w:val="1"/>
    <w:rsid w:val="00450ED8"/>
    <w:rPr>
      <w:sz w:val="18"/>
      <w:szCs w:val="18"/>
      <w:lang w:val="en-GB" w:eastAsia="en-GB" w:bidi="en-GB"/>
    </w:rPr>
  </w:style>
  <w:style w:type="paragraph" w:customStyle="1" w:styleId="TableParagraph">
    <w:name w:val="Table Paragraph"/>
    <w:basedOn w:val="Normal"/>
    <w:uiPriority w:val="1"/>
    <w:qFormat/>
    <w:rsid w:val="00450ED8"/>
    <w:pPr>
      <w:widowControl w:val="0"/>
      <w:suppressAutoHyphens w:val="0"/>
      <w:autoSpaceDE w:val="0"/>
      <w:ind w:left="107"/>
      <w:textAlignment w:val="auto"/>
    </w:pPr>
    <w:rPr>
      <w:sz w:val="22"/>
      <w:szCs w:val="22"/>
      <w:lang w:bidi="en-GB"/>
    </w:rPr>
  </w:style>
  <w:style w:type="table" w:styleId="PlainTable1">
    <w:name w:val="Plain Table 1"/>
    <w:basedOn w:val="TableNormal"/>
    <w:uiPriority w:val="41"/>
    <w:rsid w:val="00126696"/>
    <w:pPr>
      <w:autoSpaceDN/>
      <w:textAlignment w:val="auto"/>
    </w:pPr>
    <w:rPr>
      <w:rFonts w:ascii="Arial" w:eastAsia="Arial" w:hAnsi="Arial" w:cs="Ari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aragraph">
    <w:name w:val="paragraph"/>
    <w:basedOn w:val="Normal"/>
    <w:rsid w:val="008C248C"/>
    <w:pPr>
      <w:suppressAutoHyphens w:val="0"/>
      <w:autoSpaceDN/>
      <w:spacing w:before="100" w:beforeAutospacing="1" w:after="100" w:afterAutospacing="1"/>
      <w:textAlignment w:val="auto"/>
    </w:pPr>
    <w:rPr>
      <w:lang w:val="en-IE" w:eastAsia="en-IE"/>
    </w:rPr>
  </w:style>
  <w:style w:type="character" w:customStyle="1" w:styleId="normaltextrun">
    <w:name w:val="normaltextrun"/>
    <w:basedOn w:val="DefaultParagraphFont"/>
    <w:rsid w:val="008C248C"/>
  </w:style>
  <w:style w:type="character" w:customStyle="1" w:styleId="eop">
    <w:name w:val="eop"/>
    <w:basedOn w:val="DefaultParagraphFont"/>
    <w:rsid w:val="008C248C"/>
  </w:style>
  <w:style w:type="character" w:customStyle="1" w:styleId="scxw23275014">
    <w:name w:val="scxw23275014"/>
    <w:basedOn w:val="DefaultParagraphFont"/>
    <w:rsid w:val="008C248C"/>
  </w:style>
  <w:style w:type="paragraph" w:customStyle="1" w:styleId="FirstParagraph">
    <w:name w:val="First Paragraph"/>
    <w:basedOn w:val="BodyText"/>
    <w:next w:val="BodyText"/>
    <w:qFormat/>
    <w:rsid w:val="00C96717"/>
    <w:pPr>
      <w:widowControl/>
      <w:autoSpaceDE/>
      <w:autoSpaceDN/>
      <w:spacing w:before="180" w:after="180"/>
    </w:pPr>
    <w:rPr>
      <w:rFonts w:asciiTheme="minorHAnsi" w:eastAsiaTheme="minorEastAsia" w:hAnsiTheme="minorHAnsi" w:cstheme="minorBidi"/>
      <w:sz w:val="24"/>
      <w:szCs w:val="24"/>
      <w:lang w:val="en-US" w:eastAsia="zh-CN" w:bidi="ar-SA"/>
    </w:rPr>
  </w:style>
  <w:style w:type="paragraph" w:customStyle="1" w:styleId="Compact">
    <w:name w:val="Compact"/>
    <w:basedOn w:val="BodyText"/>
    <w:qFormat/>
    <w:rsid w:val="00C96717"/>
    <w:pPr>
      <w:widowControl/>
      <w:autoSpaceDE/>
      <w:autoSpaceDN/>
      <w:spacing w:before="36" w:after="36"/>
    </w:pPr>
    <w:rPr>
      <w:rFonts w:asciiTheme="minorHAnsi" w:eastAsiaTheme="minorEastAsia" w:hAnsiTheme="minorHAnsi" w:cstheme="minorBidi"/>
      <w:sz w:val="24"/>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2038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0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ED519-BAB3-44F4-BC68-A56F4DC1C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TERMS OF BUSINESS</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BUSINESS</dc:title>
  <dc:subject/>
  <dc:creator>FINANCIAL SERVICES COMPLIANCE &amp; TRAINING</dc:creator>
  <cp:lastModifiedBy>Timothy O Callaghan</cp:lastModifiedBy>
  <cp:revision>10</cp:revision>
  <cp:lastPrinted>2026-06-25T14:19:00Z</cp:lastPrinted>
  <dcterms:created xsi:type="dcterms:W3CDTF">2026-06-11T12:27:00Z</dcterms:created>
  <dcterms:modified xsi:type="dcterms:W3CDTF">2026-08-27T15:55:00Z</dcterms:modified>
</cp:coreProperties>
</file>