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477" w:hRule="auto"/>
          <w:tblHeader/>
        </w:trPr>
        <w:tc>
          <w:tcPr>
            <w:gridSpan w:val="3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Regional Biome</w:t>
            </w:r>
          </w:p>
        </w:tc>
        <w:tc>
          <w:tcPr>
            <w:gridSpan w:val="6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Sampling Effort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Ecoregions sampled</w:t>
            </w:r>
          </w:p>
        </w:tc>
      </w:tr>
      <w:tr>
        <w:trPr>
          <w:cantSplit/>
          <w:trHeight w:val="475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Biome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Realm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Studies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Sources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Ecoregions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Taxa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Total ecoregions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Moist Broadleaf Forests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Dry Broadleaf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Coniferous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Temperate Broadleaf &amp; Mixed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3,986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Temperate Conifer Forests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Boreal Forests/Taiga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Tropical &amp; Subtropical Grasslands, Savannas &amp;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Temperate Grasslands, Savannas &amp;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Flooded Grasslands &amp; Savannas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Montane Grasslands &amp;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Tundra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Antarctica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Mediterranean Forests, Woodlands &amp; Scrub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Deserts &amp; Xeric Shrublands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Nearctic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Mangroves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Indo-Malay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Australasia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AA14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Neotropic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NT14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Afrotropic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AT14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</w:tr>
    </w:tbl>
    <w:sectPr xmlns:w="http://schemas.openxmlformats.org/wordprocessingml/2006/main">
      <w:pgSz w:h="11906" w:w="16838" w:orient="landscape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2022-12-13T12:43:05Z</dcterms:modified>
  <cp:category/>
</cp:coreProperties>
</file>