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31" w:hRule="auto"/>
          <w:tblHeader/>
        </w:trPr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New classification</w:t>
            </w:r>
          </w:p>
        </w:tc>
      </w:tr>
      <w:tr>
        <w:trPr>
          <w:cantSplit/>
          <w:trHeight w:val="47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Predominant habitat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 vegetation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Native vegetation that is not known or inferred to have ever been completely destroyed by human actions or by extreme natural events that do not normally play a role in ecosystem dynamics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 Vegetation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Natural Vegetation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 Vegetation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 Vegetation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 Vegetation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Mature secondary vegetation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Regeneration following complete removal of primary vegetation; architectural structure approaching that of primary vegetation, corresponding to a completed succession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Secondary Vegetation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Secondary Vegetation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Secondary Vegetation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Secondary Vegetation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Intermediate secondary vegetation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Regeneration following complete removal of primary vegetation; mixed architecture showing a mid-successional stage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Young secondary vegetation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Regeneration following complete removal of primary vegetation; simple architecture representing an early successional stage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Plantation forest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Previously cleared areas that people have planted with crop trees or crop shrubs for commercial or subsistence harvesting of wood and/or fruit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Plantation forest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Agriculture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Agriculture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Harvested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Plantation forest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 where livestock is known to be grazed regularly or permanently. The plant species may be predominantly native (as in rangelands) or strongly associated with humans (as in European-style pastures)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Pasture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Pasture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Agriculture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Cropland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 that people have planted with herbaceous crops, even if these crops will be fed to livestock once harvested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Cropland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Harvested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Areas with human habitation and/or buildings, where the primary vegetation has been removed, and where such vegetation as is present is predominantly managed for civic or personal amenity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included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included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included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included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included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2022-12-16T16:45:17Z</dcterms:modified>
  <cp:category/>
</cp:coreProperties>
</file>