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Vazirmatn" w:cs="Vazirmatn"/>
        </w:rPr>
        <w:t>Supplementary Material for “Beyond Proficiency: Unpacking Cognitive Engagement with Generative AI Across the L2 Writing Process”</w:t>
      </w:r>
    </w:p>
    <w:p>
      <w:pPr>
        <w:pStyle w:val="Date"/>
      </w:pPr>
      <w:r>
        <w:t xml:space="preserve">2026-09-07</w:t>
      </w:r>
    </w:p>
    <w:sdt>
      <w:sdtPr>
        <w:docPartObj>
          <w:docPartGallery w:val="Table of Contents"/>
          <w:docPartUnique/>
        </w:docPartObj>
      </w:sdtPr>
      <w:sdtContent>
        <w:p>
          <w:pPr>
            <w:pStyle w:val="TOCHeading"/>
          </w:pPr>
          <w:r>
            <w:t xml:space="preserve">Table of Contents</w:t>
          </w:r>
        </w:p>
        <w:p>
          <w:pPr>
            <w:jc w:val="left"/>
            <w:spacing w:after="60"/>
            <w:tabs>
              <w:tab w:val="right" w:leader="dot" w:pos="9000"/>
            </w:tabs>
          </w:pPr>
          <w:hyperlink w:anchor="s1.-scope-of-this-supplementary-file" w:history="1">
            <w:r>
              <w:rPr>
                <w:sz w:val="21"/>
                <w:szCs w:val="21"/>
              </w:rPr>
              <w:t>1 S1. Scope of this supplementary file</w:t>
            </w:r>
          </w:hyperlink>
          <w:r>
            <w:tab/>
          </w:r>
          <w:fldSimple w:instr=" PAGEREF s1.-scope-of-this-supplementary-file \h "/>
        </w:p>
        <w:p>
          <w:pPr>
            <w:jc w:val="left"/>
            <w:spacing w:after="60"/>
            <w:tabs>
              <w:tab w:val="right" w:leader="dot" w:pos="9000"/>
            </w:tabs>
          </w:pPr>
          <w:hyperlink w:anchor="Xcee8e9675527ff72edba026e8777901f7415f4e" w:history="1">
            <w:r>
              <w:rPr>
                <w:sz w:val="21"/>
                <w:szCs w:val="21"/>
              </w:rPr>
              <w:t>2 Appendix A. Stage-by-strand operationalization of GenAI-related cognitive engagement</w:t>
            </w:r>
          </w:hyperlink>
          <w:r>
            <w:tab/>
          </w:r>
          <w:fldSimple w:instr=" PAGEREF Xcee8e9675527ff72edba026e8777901f7415f4e \h "/>
        </w:p>
        <w:p>
          <w:pPr>
            <w:jc w:val="left"/>
            <w:spacing w:after="60"/>
            <w:tabs>
              <w:tab w:val="right" w:leader="dot" w:pos="9000"/>
            </w:tabs>
            <w:ind w:left="360"/>
          </w:pPr>
          <w:hyperlink w:anchor="a1.-factorial-structure" w:history="1">
            <w:r>
              <w:rPr>
                <w:sz w:val="21"/>
                <w:szCs w:val="21"/>
              </w:rPr>
              <w:t>2.1 A1. Factorial structure</w:t>
            </w:r>
          </w:hyperlink>
          <w:r>
            <w:tab/>
          </w:r>
          <w:fldSimple w:instr=" PAGEREF a1.-factorial-structure \h "/>
        </w:p>
        <w:p>
          <w:pPr>
            <w:jc w:val="left"/>
            <w:spacing w:after="60"/>
            <w:tabs>
              <w:tab w:val="right" w:leader="dot" w:pos="9000"/>
            </w:tabs>
            <w:ind w:left="360"/>
          </w:pPr>
          <w:hyperlink w:anchor="a2.-construct-boundary-cognitive-agency" w:history="1">
            <w:r>
              <w:rPr>
                <w:sz w:val="21"/>
                <w:szCs w:val="21"/>
              </w:rPr>
              <w:t>2.2 A2. Construct boundary: cognitive agency</w:t>
            </w:r>
          </w:hyperlink>
          <w:r>
            <w:tab/>
          </w:r>
          <w:fldSimple w:instr=" PAGEREF a2.-construct-boundary-cognitive-agency \h "/>
        </w:p>
        <w:p>
          <w:pPr>
            <w:jc w:val="left"/>
            <w:spacing w:after="60"/>
            <w:tabs>
              <w:tab w:val="right" w:leader="dot" w:pos="9000"/>
            </w:tabs>
          </w:pPr>
          <w:hyperlink w:anchor="X814550baa0bf9b32484057ff5f6aabe65ebe874" w:history="1">
            <w:r>
              <w:rPr>
                <w:sz w:val="21"/>
                <w:szCs w:val="21"/>
              </w:rPr>
              <w:t>3 Appendix B. Cohort profile and descriptive statistics for stage, strand, and writing scores</w:t>
            </w:r>
          </w:hyperlink>
          <w:r>
            <w:tab/>
          </w:r>
          <w:fldSimple w:instr=" PAGEREF X814550baa0bf9b32484057ff5f6aabe65ebe874 \h "/>
        </w:p>
        <w:p>
          <w:pPr>
            <w:jc w:val="left"/>
            <w:spacing w:after="60"/>
            <w:tabs>
              <w:tab w:val="right" w:leader="dot" w:pos="9000"/>
            </w:tabs>
            <w:ind w:left="360"/>
          </w:pPr>
          <w:hyperlink w:anchor="table-b1" w:history="1">
            <w:r>
              <w:rPr>
                <w:sz w:val="21"/>
                <w:szCs w:val="21"/>
              </w:rPr>
              <w:t>3.1 Table B1</w:t>
            </w:r>
          </w:hyperlink>
          <w:r>
            <w:tab/>
          </w:r>
          <w:fldSimple w:instr=" PAGEREF table-b1 \h "/>
        </w:p>
        <w:p>
          <w:pPr>
            <w:jc w:val="left"/>
            <w:spacing w:after="60"/>
            <w:tabs>
              <w:tab w:val="right" w:leader="dot" w:pos="9000"/>
            </w:tabs>
            <w:ind w:left="360"/>
          </w:pPr>
          <w:hyperlink w:anchor="table-b2" w:history="1">
            <w:r>
              <w:rPr>
                <w:sz w:val="21"/>
                <w:szCs w:val="21"/>
              </w:rPr>
              <w:t>3.2 Table B2</w:t>
            </w:r>
          </w:hyperlink>
          <w:r>
            <w:tab/>
          </w:r>
          <w:fldSimple w:instr=" PAGEREF table-b2 \h "/>
        </w:p>
        <w:p>
          <w:pPr>
            <w:jc w:val="left"/>
            <w:spacing w:after="60"/>
            <w:tabs>
              <w:tab w:val="right" w:leader="dot" w:pos="9000"/>
            </w:tabs>
          </w:pPr>
          <w:hyperlink w:anchor="X237202bba6de74a4d4d3e0f5d5593e56d3f054c" w:history="1">
            <w:r>
              <w:rPr>
                <w:sz w:val="21"/>
                <w:szCs w:val="21"/>
              </w:rPr>
              <w:t>4 Appendix C. Stage–performance correlations and CEFR disaggregation</w:t>
            </w:r>
          </w:hyperlink>
          <w:r>
            <w:tab/>
          </w:r>
          <w:fldSimple w:instr=" PAGEREF X237202bba6de74a4d4d3e0f5d5593e56d3f054c \h "/>
        </w:p>
        <w:p>
          <w:pPr>
            <w:jc w:val="left"/>
            <w:spacing w:after="60"/>
            <w:tabs>
              <w:tab w:val="right" w:leader="dot" w:pos="9000"/>
            </w:tabs>
            <w:ind w:left="360"/>
          </w:pPr>
          <w:hyperlink w:anchor="table-c1" w:history="1">
            <w:r>
              <w:rPr>
                <w:sz w:val="21"/>
                <w:szCs w:val="21"/>
              </w:rPr>
              <w:t>4.1 Table C1</w:t>
            </w:r>
          </w:hyperlink>
          <w:r>
            <w:tab/>
          </w:r>
          <w:fldSimple w:instr=" PAGEREF table-c1 \h "/>
        </w:p>
        <w:p>
          <w:pPr>
            <w:jc w:val="left"/>
            <w:spacing w:after="60"/>
            <w:tabs>
              <w:tab w:val="right" w:leader="dot" w:pos="9000"/>
            </w:tabs>
            <w:ind w:left="360"/>
          </w:pPr>
          <w:hyperlink w:anchor="table-c2" w:history="1">
            <w:r>
              <w:rPr>
                <w:sz w:val="21"/>
                <w:szCs w:val="21"/>
              </w:rPr>
              <w:t>4.2 Table C2</w:t>
            </w:r>
          </w:hyperlink>
          <w:r>
            <w:tab/>
          </w:r>
          <w:fldSimple w:instr=" PAGEREF table-c2 \h "/>
        </w:p>
        <w:p>
          <w:pPr>
            <w:jc w:val="left"/>
            <w:spacing w:after="60"/>
            <w:tabs>
              <w:tab w:val="right" w:leader="dot" w:pos="9000"/>
            </w:tabs>
          </w:pPr>
          <w:hyperlink w:anchor="X81b9e25ab14ad5281904594771d0c1289ce2d10" w:history="1">
            <w:r>
              <w:rPr>
                <w:sz w:val="21"/>
                <w:szCs w:val="21"/>
              </w:rPr>
              <w:t>5 Appendix D. Linear mixed-effects specification and reported parameter estimates</w:t>
            </w:r>
          </w:hyperlink>
          <w:r>
            <w:tab/>
          </w:r>
          <w:fldSimple w:instr=" PAGEREF X81b9e25ab14ad5281904594771d0c1289ce2d10 \h "/>
        </w:p>
        <w:p>
          <w:pPr>
            <w:jc w:val="left"/>
            <w:spacing w:after="60"/>
            <w:tabs>
              <w:tab w:val="right" w:leader="dot" w:pos="9000"/>
            </w:tabs>
            <w:ind w:left="360"/>
          </w:pPr>
          <w:hyperlink w:anchor="table-d1" w:history="1">
            <w:r>
              <w:rPr>
                <w:sz w:val="21"/>
                <w:szCs w:val="21"/>
              </w:rPr>
              <w:t>5.1 Table D1</w:t>
            </w:r>
          </w:hyperlink>
          <w:r>
            <w:tab/>
          </w:r>
          <w:fldSimple w:instr=" PAGEREF table-d1 \h "/>
        </w:p>
        <w:p>
          <w:pPr>
            <w:jc w:val="left"/>
            <w:spacing w:after="60"/>
            <w:tabs>
              <w:tab w:val="right" w:leader="dot" w:pos="9000"/>
            </w:tabs>
          </w:pPr>
          <w:hyperlink w:anchor="X93c4b675404549022c5dc92b524dbd1bda1912a" w:history="1">
            <w:r>
              <w:rPr>
                <w:sz w:val="21"/>
                <w:szCs w:val="21"/>
              </w:rPr>
              <w:t>6 Appendix E. Data structure, missingness, and reproducibility constraints</w:t>
            </w:r>
          </w:hyperlink>
          <w:r>
            <w:tab/>
          </w:r>
          <w:fldSimple w:instr=" PAGEREF X93c4b675404549022c5dc92b524dbd1bda1912a \h "/>
        </w:p>
        <w:p>
          <w:pPr>
            <w:jc w:val="left"/>
            <w:spacing w:after="60"/>
            <w:tabs>
              <w:tab w:val="right" w:leader="dot" w:pos="9000"/>
            </w:tabs>
            <w:ind w:left="360"/>
          </w:pPr>
          <w:hyperlink w:anchor="e1.-deposited-data" w:history="1">
            <w:r>
              <w:rPr>
                <w:sz w:val="21"/>
                <w:szCs w:val="21"/>
              </w:rPr>
              <w:t>6.1 E1. Deposited data</w:t>
            </w:r>
          </w:hyperlink>
          <w:r>
            <w:tab/>
          </w:r>
          <w:fldSimple w:instr=" PAGEREF e1.-deposited-data \h "/>
        </w:p>
        <w:p>
          <w:pPr>
            <w:jc w:val="left"/>
            <w:spacing w:after="60"/>
            <w:tabs>
              <w:tab w:val="right" w:leader="dot" w:pos="9000"/>
            </w:tabs>
            <w:ind w:left="360"/>
          </w:pPr>
          <w:hyperlink w:anchor="X2d953a1dfef359e980af55c28c6056433822de6" w:history="1">
            <w:r>
              <w:rPr>
                <w:sz w:val="21"/>
                <w:szCs w:val="21"/>
              </w:rPr>
              <w:t>6.2 E2. Mixed-methods components not present in the dataset</w:t>
            </w:r>
          </w:hyperlink>
          <w:r>
            <w:tab/>
          </w:r>
          <w:fldSimple w:instr=" PAGEREF X2d953a1dfef359e980af55c28c6056433822de6 \h "/>
        </w:p>
        <w:p>
          <w:pPr>
            <w:jc w:val="left"/>
            <w:spacing w:after="60"/>
            <w:tabs>
              <w:tab w:val="right" w:leader="dot" w:pos="9000"/>
            </w:tabs>
            <w:ind w:left="360"/>
          </w:pPr>
          <w:hyperlink w:anchor="X8a171b93be6060633f853395896b4cfa2bc4eea" w:history="1">
            <w:r>
              <w:rPr>
                <w:sz w:val="21"/>
                <w:szCs w:val="21"/>
              </w:rPr>
              <w:t>6.3 E3. Reproducibility constraints and recommended extensions</w:t>
            </w:r>
          </w:hyperlink>
          <w:r>
            <w:tab/>
          </w:r>
          <w:fldSimple w:instr=" PAGEREF X8a171b93be6060633f853395896b4cfa2bc4eea \h "/>
        </w:p>
      </w:sdtContent>
    </w:sdt>
    <w:bookmarkStart w:id="20" w:name="s1.-scope-of-this-supplementary-file"/>
    <w:p>
      <w:pPr>
        <w:pStyle w:val="Heading1"/>
      </w:pPr>
      <w:r>
        <w:t xml:space="preserve">1 S1. Scope of this supplementary file</w:t>
      </w:r>
    </w:p>
    <w:p>
      <w:pPr>
        <w:pStyle w:val="FirstParagraph"/>
      </w:pPr>
      <w:r>
        <w:t xml:space="preserve">This supplementary file accompanies the manuscript</w:t>
      </w:r>
      <w:r>
        <w:t xml:space="preserve"> </w:t>
      </w:r>
      <w:r>
        <w:rPr>
          <w:iCs/>
          <w:i/>
        </w:rPr>
        <w:t xml:space="preserve">Beyond Proficiency: Unpacking Cognitive Engagement with Generative AI Across the L2 Writing Process</w:t>
      </w:r>
      <w:r>
        <w:t xml:space="preserve">. It supplies the operational definition of the engagement instrument, the verified cohort descriptives, the stage–performance correlations, and the full specification of the linear mixed-effects (LMM) analysis (S1).</w:t>
      </w:r>
    </w:p>
    <w:p>
      <w:pPr>
        <w:pStyle w:val="BodyText"/>
      </w:pPr>
      <w:r>
        <w:t xml:space="preserve">The empirical basis is a cohort of</w:t>
      </w:r>
      <w:r>
        <w:t xml:space="preserve"> </w:t>
      </w:r>
      <m:oMath>
        <m:r>
          <m:t>N</m:t>
        </m:r>
        <m:r>
          <m:rPr>
            <m:sty m:val="p"/>
          </m:rPr>
          <m:t>=</m:t>
        </m:r>
        <m:r>
          <m:t>100</m:t>
        </m:r>
      </m:oMath>
      <w:r>
        <w:t xml:space="preserve"> </w:t>
      </w:r>
      <w:r>
        <w:t xml:space="preserve">university EFL learners, each contributing nine stage-by-strand engagement scores (three writing stages</w:t>
      </w:r>
      <w:r>
        <w:t xml:space="preserve"> </w:t>
      </w:r>
      <m:oMath>
        <m:r>
          <m:rPr>
            <m:sty m:val="p"/>
          </m:rPr>
          <m:t>×</m:t>
        </m:r>
      </m:oMath>
      <w:r>
        <w:t xml:space="preserve"> </w:t>
      </w:r>
      <w:r>
        <w:t xml:space="preserve">three cognitive strands), for 900 repeated observations in the mixed-model analysis (S1; S2). Participants were assigned to Intermediate (</w:t>
      </w:r>
      <m:oMath>
        <m:r>
          <m:t>n</m:t>
        </m:r>
        <m:r>
          <m:rPr>
            <m:sty m:val="p"/>
          </m:rPr>
          <m:t>=</m:t>
        </m:r>
        <m:r>
          <m:t>41</m:t>
        </m:r>
      </m:oMath>
      <w:r>
        <w:t xml:space="preserve">), Upper-Intermediate (</w:t>
      </w:r>
      <m:oMath>
        <m:r>
          <m:t>n</m:t>
        </m:r>
        <m:r>
          <m:rPr>
            <m:sty m:val="p"/>
          </m:rPr>
          <m:t>=</m:t>
        </m:r>
        <m:r>
          <m:t>36</m:t>
        </m:r>
      </m:oMath>
      <w:r>
        <w:t xml:space="preserve">), and Advanced (</w:t>
      </w:r>
      <m:oMath>
        <m:r>
          <m:t>n</m:t>
        </m:r>
        <m:r>
          <m:rPr>
            <m:sty m:val="p"/>
          </m:rPr>
          <m:t>=</m:t>
        </m:r>
        <m:r>
          <m:t>23</m:t>
        </m:r>
      </m:oMath>
      <w:r>
        <w:t xml:space="preserve">) tiers, which served as the ordered between-participants factor (S1, §3).</w:t>
      </w:r>
    </w:p>
    <w:p>
      <w:pPr>
        <w:pStyle w:val="BodyText"/>
      </w:pPr>
      <w:r>
        <w:t xml:space="preserve">The file addresses the manuscript’s three research questions: (1) the extent to which L2 proficiency influences GenAI-related cognitive engagement across writing stages; (2) whether that relationship varies across stages and cognitive strands; and (3) how far engagement patterns are associated with writing performance (S1, p. 4). Multilevel reporting follows the LEVEL recommendations: explicit data-structure levels, variance components, and fixed-effect estimates with confidence intervals (S3).</w:t>
      </w:r>
    </w:p>
    <w:bookmarkEnd w:id="20"/>
    <w:bookmarkStart w:id="23" w:name="Xcee8e9675527ff72edba026e8777901f7415f4e"/>
    <w:p>
      <w:pPr>
        <w:pStyle w:val="Heading1"/>
      </w:pPr>
      <w:r>
        <w:t xml:space="preserve">2 Appendix A. Stage-by-strand operationalization of GenAI-related cognitive engagement</w:t>
      </w:r>
    </w:p>
    <w:p>
      <w:pPr>
        <w:pStyle w:val="FirstParagraph"/>
      </w:pPr>
      <w:r>
        <w:t xml:space="preserve">The manuscript (§3.5, p. 15) reports that</w:t>
      </w:r>
      <w:r>
        <w:t xml:space="preserve"> </w:t>
      </w:r>
      <w:r>
        <w:t xml:space="preserve">“</w:t>
      </w:r>
      <w:r>
        <w:t xml:space="preserve">participants rated the utility of GenAI-related activities using a five-point Likert-type scale, with higher scores indicating greater perceived utility</w:t>
      </w:r>
      <w:r>
        <w:t xml:space="preserve">”</w:t>
      </w:r>
      <w:r>
        <w:t xml:space="preserve"> </w:t>
      </w:r>
      <w:r>
        <w:t xml:space="preserve">(S1). The instrument is a researcher-developed inventory; the manuscript does not assign it a published instrument name and does not reproduce individual item stems, and item-level responses were not retained in the deposited dataset. This appendix therefore documents the instrument at the level at which it can be honestly audited: its operational structure and scoring.</w:t>
      </w:r>
    </w:p>
    <w:bookmarkStart w:id="21" w:name="a1.-factorial-structure"/>
    <w:p>
      <w:pPr>
        <w:pStyle w:val="Heading2"/>
      </w:pPr>
      <w:r>
        <w:t xml:space="preserve">2.1 A1. Factorial structure</w:t>
      </w:r>
    </w:p>
    <w:p>
      <w:pPr>
        <w:pStyle w:val="FirstParagraph"/>
      </w:pPr>
      <w:r>
        <w:t xml:space="preserve">The instrument crosses three processual stages with three cognitive strands, yielding nine subscales, each scored so that higher values indicate greater perceived utility of GenAI for that stage–strand cell (S1, §3.5):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Stage</w:t>
            </w:r>
          </w:p>
        </w:tc>
        <w:tc>
          <w:tcPr/>
          <w:p>
            <w:pPr>
              <w:pStyle w:val="Compact"/>
              <w:jc w:val="left"/>
            </w:pPr>
            <w:r>
              <w:t xml:space="preserve">Strand</w:t>
            </w:r>
          </w:p>
        </w:tc>
        <w:tc>
          <w:tcPr/>
          <w:p>
            <w:pPr>
              <w:pStyle w:val="Compact"/>
              <w:jc w:val="left"/>
            </w:pPr>
            <w:r>
              <w:t xml:space="preserve">Operational focus reported in the manuscript</w:t>
            </w:r>
          </w:p>
        </w:tc>
      </w:tr>
      <w:tr>
        <w:tc>
          <w:tcPr/>
          <w:p>
            <w:pPr>
              <w:pStyle w:val="Compact"/>
              <w:jc w:val="left"/>
            </w:pPr>
            <w:r>
              <w:t xml:space="preserve">Pre-L</w:t>
            </w:r>
          </w:p>
        </w:tc>
        <w:tc>
          <w:tcPr/>
          <w:p>
            <w:pPr>
              <w:pStyle w:val="Compact"/>
              <w:jc w:val="left"/>
            </w:pPr>
            <w:r>
              <w:t xml:space="preserve">Pre-writing</w:t>
            </w:r>
          </w:p>
        </w:tc>
        <w:tc>
          <w:tcPr/>
          <w:p>
            <w:pPr>
              <w:pStyle w:val="Compact"/>
              <w:jc w:val="left"/>
            </w:pPr>
            <w:r>
              <w:t xml:space="preserve">Linguistic</w:t>
            </w:r>
          </w:p>
        </w:tc>
        <w:tc>
          <w:tcPr/>
          <w:p>
            <w:pPr>
              <w:pStyle w:val="Compact"/>
              <w:jc w:val="left"/>
            </w:pPr>
            <w:r>
              <w:t xml:space="preserve">Grammar, lexical choice, and language support before drafting</w:t>
            </w:r>
          </w:p>
        </w:tc>
      </w:tr>
      <w:tr>
        <w:tc>
          <w:tcPr/>
          <w:p>
            <w:pPr>
              <w:pStyle w:val="Compact"/>
              <w:jc w:val="left"/>
            </w:pPr>
            <w:r>
              <w:t xml:space="preserve">Pre-S</w:t>
            </w:r>
          </w:p>
        </w:tc>
        <w:tc>
          <w:tcPr/>
          <w:p>
            <w:pPr>
              <w:pStyle w:val="Compact"/>
              <w:jc w:val="left"/>
            </w:pPr>
            <w:r>
              <w:t xml:space="preserve">Pre-writing</w:t>
            </w:r>
          </w:p>
        </w:tc>
        <w:tc>
          <w:tcPr/>
          <w:p>
            <w:pPr>
              <w:pStyle w:val="Compact"/>
              <w:jc w:val="left"/>
            </w:pPr>
            <w:r>
              <w:t xml:space="preserve">Strategic</w:t>
            </w:r>
          </w:p>
        </w:tc>
        <w:tc>
          <w:tcPr/>
          <w:p>
            <w:pPr>
              <w:pStyle w:val="Compact"/>
              <w:jc w:val="left"/>
            </w:pPr>
            <w:r>
              <w:t xml:space="preserve">Idea generation, organization, and outlining before drafting</w:t>
            </w:r>
          </w:p>
        </w:tc>
      </w:tr>
      <w:tr>
        <w:tc>
          <w:tcPr/>
          <w:p>
            <w:pPr>
              <w:pStyle w:val="Compact"/>
              <w:jc w:val="left"/>
            </w:pPr>
            <w:r>
              <w:t xml:space="preserve">Pre-C</w:t>
            </w:r>
          </w:p>
        </w:tc>
        <w:tc>
          <w:tcPr/>
          <w:p>
            <w:pPr>
              <w:pStyle w:val="Compact"/>
              <w:jc w:val="left"/>
            </w:pPr>
            <w:r>
              <w:t xml:space="preserve">Pre-writing</w:t>
            </w:r>
          </w:p>
        </w:tc>
        <w:tc>
          <w:tcPr/>
          <w:p>
            <w:pPr>
              <w:pStyle w:val="Compact"/>
              <w:jc w:val="left"/>
            </w:pPr>
            <w:r>
              <w:t xml:space="preserve">Critical</w:t>
            </w:r>
          </w:p>
        </w:tc>
        <w:tc>
          <w:tcPr/>
          <w:p>
            <w:pPr>
              <w:pStyle w:val="Compact"/>
              <w:jc w:val="left"/>
            </w:pPr>
            <w:r>
              <w:t xml:space="preserve">Analysis of arguments, contradictions, and claim–source evaluation</w:t>
            </w:r>
          </w:p>
        </w:tc>
      </w:tr>
      <w:tr>
        <w:tc>
          <w:tcPr/>
          <w:p>
            <w:pPr>
              <w:pStyle w:val="Compact"/>
              <w:jc w:val="left"/>
            </w:pPr>
            <w:r>
              <w:t xml:space="preserve">Drf-L</w:t>
            </w:r>
          </w:p>
        </w:tc>
        <w:tc>
          <w:tcPr/>
          <w:p>
            <w:pPr>
              <w:pStyle w:val="Compact"/>
              <w:jc w:val="left"/>
            </w:pPr>
            <w:r>
              <w:t xml:space="preserve">Drafting</w:t>
            </w:r>
          </w:p>
        </w:tc>
        <w:tc>
          <w:tcPr/>
          <w:p>
            <w:pPr>
              <w:pStyle w:val="Compact"/>
              <w:jc w:val="left"/>
            </w:pPr>
            <w:r>
              <w:t xml:space="preserve">Linguistic</w:t>
            </w:r>
          </w:p>
        </w:tc>
        <w:tc>
          <w:tcPr/>
          <w:p>
            <w:pPr>
              <w:pStyle w:val="Compact"/>
              <w:jc w:val="left"/>
            </w:pPr>
            <w:r>
              <w:t xml:space="preserve">Grammar, lexical choice, and language support during drafting</w:t>
            </w:r>
          </w:p>
        </w:tc>
      </w:tr>
      <w:tr>
        <w:tc>
          <w:tcPr/>
          <w:p>
            <w:pPr>
              <w:pStyle w:val="Compact"/>
              <w:jc w:val="left"/>
            </w:pPr>
            <w:r>
              <w:t xml:space="preserve">Drf-S</w:t>
            </w:r>
          </w:p>
        </w:tc>
        <w:tc>
          <w:tcPr/>
          <w:p>
            <w:pPr>
              <w:pStyle w:val="Compact"/>
              <w:jc w:val="left"/>
            </w:pPr>
            <w:r>
              <w:t xml:space="preserve">Drafting</w:t>
            </w:r>
          </w:p>
        </w:tc>
        <w:tc>
          <w:tcPr/>
          <w:p>
            <w:pPr>
              <w:pStyle w:val="Compact"/>
              <w:jc w:val="left"/>
            </w:pPr>
            <w:r>
              <w:t xml:space="preserve">Strategic</w:t>
            </w:r>
          </w:p>
        </w:tc>
        <w:tc>
          <w:tcPr/>
          <w:p>
            <w:pPr>
              <w:pStyle w:val="Compact"/>
              <w:jc w:val="left"/>
            </w:pPr>
            <w:r>
              <w:t xml:space="preserve">Idea generation, organization, and outlining during drafting</w:t>
            </w:r>
          </w:p>
        </w:tc>
      </w:tr>
      <w:tr>
        <w:tc>
          <w:tcPr/>
          <w:p>
            <w:pPr>
              <w:pStyle w:val="Compact"/>
              <w:jc w:val="left"/>
            </w:pPr>
            <w:r>
              <w:t xml:space="preserve">Drf-C</w:t>
            </w:r>
          </w:p>
        </w:tc>
        <w:tc>
          <w:tcPr/>
          <w:p>
            <w:pPr>
              <w:pStyle w:val="Compact"/>
              <w:jc w:val="left"/>
            </w:pPr>
            <w:r>
              <w:t xml:space="preserve">Drafting</w:t>
            </w:r>
          </w:p>
        </w:tc>
        <w:tc>
          <w:tcPr/>
          <w:p>
            <w:pPr>
              <w:pStyle w:val="Compact"/>
              <w:jc w:val="left"/>
            </w:pPr>
            <w:r>
              <w:t xml:space="preserve">Critical</w:t>
            </w:r>
          </w:p>
        </w:tc>
        <w:tc>
          <w:tcPr/>
          <w:p>
            <w:pPr>
              <w:pStyle w:val="Compact"/>
              <w:jc w:val="left"/>
            </w:pPr>
            <w:r>
              <w:t xml:space="preserve">Analysis of arguments, contradictions, and claim–source evaluation</w:t>
            </w:r>
          </w:p>
        </w:tc>
      </w:tr>
      <w:tr>
        <w:tc>
          <w:tcPr/>
          <w:p>
            <w:pPr>
              <w:pStyle w:val="Compact"/>
              <w:jc w:val="left"/>
            </w:pPr>
            <w:r>
              <w:t xml:space="preserve">Edt-L</w:t>
            </w:r>
          </w:p>
        </w:tc>
        <w:tc>
          <w:tcPr/>
          <w:p>
            <w:pPr>
              <w:pStyle w:val="Compact"/>
              <w:jc w:val="left"/>
            </w:pPr>
            <w:r>
              <w:t xml:space="preserve">Editing</w:t>
            </w:r>
          </w:p>
        </w:tc>
        <w:tc>
          <w:tcPr/>
          <w:p>
            <w:pPr>
              <w:pStyle w:val="Compact"/>
              <w:jc w:val="left"/>
            </w:pPr>
            <w:r>
              <w:t xml:space="preserve">Linguistic</w:t>
            </w:r>
          </w:p>
        </w:tc>
        <w:tc>
          <w:tcPr/>
          <w:p>
            <w:pPr>
              <w:pStyle w:val="Compact"/>
              <w:jc w:val="left"/>
            </w:pPr>
            <w:r>
              <w:t xml:space="preserve">Grammar, lexical choice, and proofreading at the editing stage</w:t>
            </w:r>
          </w:p>
        </w:tc>
      </w:tr>
      <w:tr>
        <w:tc>
          <w:tcPr/>
          <w:p>
            <w:pPr>
              <w:pStyle w:val="Compact"/>
              <w:jc w:val="left"/>
            </w:pPr>
            <w:r>
              <w:t xml:space="preserve">Edt-S</w:t>
            </w:r>
          </w:p>
        </w:tc>
        <w:tc>
          <w:tcPr/>
          <w:p>
            <w:pPr>
              <w:pStyle w:val="Compact"/>
              <w:jc w:val="left"/>
            </w:pPr>
            <w:r>
              <w:t xml:space="preserve">Editing</w:t>
            </w:r>
          </w:p>
        </w:tc>
        <w:tc>
          <w:tcPr/>
          <w:p>
            <w:pPr>
              <w:pStyle w:val="Compact"/>
              <w:jc w:val="left"/>
            </w:pPr>
            <w:r>
              <w:t xml:space="preserve">Strategic</w:t>
            </w:r>
          </w:p>
        </w:tc>
        <w:tc>
          <w:tcPr/>
          <w:p>
            <w:pPr>
              <w:pStyle w:val="Compact"/>
              <w:jc w:val="left"/>
            </w:pPr>
            <w:r>
              <w:t xml:space="preserve">Organization and structural revision at the editing stage</w:t>
            </w:r>
          </w:p>
        </w:tc>
      </w:tr>
      <w:tr>
        <w:tc>
          <w:tcPr/>
          <w:p>
            <w:pPr>
              <w:pStyle w:val="Compact"/>
              <w:jc w:val="left"/>
            </w:pPr>
            <w:r>
              <w:t xml:space="preserve">Edt-C</w:t>
            </w:r>
          </w:p>
        </w:tc>
        <w:tc>
          <w:tcPr/>
          <w:p>
            <w:pPr>
              <w:pStyle w:val="Compact"/>
              <w:jc w:val="left"/>
            </w:pPr>
            <w:r>
              <w:t xml:space="preserve">Editing</w:t>
            </w:r>
          </w:p>
        </w:tc>
        <w:tc>
          <w:tcPr/>
          <w:p>
            <w:pPr>
              <w:pStyle w:val="Compact"/>
              <w:jc w:val="left"/>
            </w:pPr>
            <w:r>
              <w:t xml:space="preserve">Critical</w:t>
            </w:r>
          </w:p>
        </w:tc>
        <w:tc>
          <w:tcPr/>
          <w:p>
            <w:pPr>
              <w:pStyle w:val="Compact"/>
              <w:jc w:val="left"/>
            </w:pPr>
            <w:r>
              <w:t xml:space="preserve">Argument analysis and evaluation of AI-suggested revisions</w:t>
            </w:r>
          </w:p>
        </w:tc>
      </w:tr>
    </w:tbl>
    <w:p>
      <w:pPr>
        <w:pStyle w:val="BodyText"/>
      </w:pPr>
      <w:r>
        <w:t xml:space="preserve">Stage composites were computed as the row mean of the three strand scores within each stage (verified against</w:t>
      </w:r>
      <w:r>
        <w:t xml:space="preserve"> </w:t>
      </w:r>
      <w:r>
        <w:rPr>
          <w:rStyle w:val="VerbatimChar"/>
        </w:rPr>
        <w:t xml:space="preserve">survey_raw_data.csv</w:t>
      </w:r>
      <w:r>
        <w:t xml:space="preserve">, S2). Only composite stage-by-strand scores exist in the data; the manuscript states explicitly that internal-consistency estimates (Cronbach’s</w:t>
      </w:r>
      <w:r>
        <w:t xml:space="preserve"> </w:t>
      </w:r>
      <m:oMath>
        <m:r>
          <m:t>α</m:t>
        </m:r>
      </m:oMath>
      <w:r>
        <w:t xml:space="preserve">, McDonald’s</w:t>
      </w:r>
      <w:r>
        <w:t xml:space="preserve"> </w:t>
      </w:r>
      <m:oMath>
        <m:r>
          <m:t>ω</m:t>
        </m:r>
      </m:oMath>
      <w:r>
        <w:t xml:space="preserve">) therefore cannot be computed and item-level responses should be retained in future administrations (S1, §5.9).</w:t>
      </w:r>
    </w:p>
    <w:bookmarkEnd w:id="21"/>
    <w:bookmarkStart w:id="22" w:name="a2.-construct-boundary-cognitive-agency"/>
    <w:p>
      <w:pPr>
        <w:pStyle w:val="Heading2"/>
      </w:pPr>
      <w:r>
        <w:t xml:space="preserve">2.2 A2. Construct boundary: cognitive agency</w:t>
      </w:r>
    </w:p>
    <w:p>
      <w:pPr>
        <w:pStyle w:val="FirstParagraph"/>
      </w:pPr>
      <w:r>
        <w:t xml:space="preserve">The manuscript distinguishes perceived utility from</w:t>
      </w:r>
      <w:r>
        <w:t xml:space="preserve"> </w:t>
      </w:r>
      <w:r>
        <w:rPr>
          <w:bCs/>
          <w:b/>
        </w:rPr>
        <w:t xml:space="preserve">cognitive agency</w:t>
      </w:r>
      <w:r>
        <w:t xml:space="preserve">, defined as</w:t>
      </w:r>
      <w:r>
        <w:t xml:space="preserve"> </w:t>
      </w:r>
      <w:r>
        <w:rPr>
          <w:iCs/>
          <w:i/>
        </w:rPr>
        <w:t xml:space="preserve">retaining cognitive ownership and decision-making control while interacting with GenAI</w:t>
      </w:r>
      <w:r>
        <w:t xml:space="preserve">, and operationalizes it through seven observable behaviors (S1, pp. 16–17). Reviewers should note that the questionnaire measures the former; agency itself was not measured behaviorally in this study — a limitation acknowledged in §5.9 and reflected in Appendix E.</w:t>
      </w:r>
    </w:p>
    <w:bookmarkEnd w:id="22"/>
    <w:bookmarkEnd w:id="23"/>
    <w:bookmarkStart w:id="26" w:name="X814550baa0bf9b32484057ff5f6aabe65ebe874"/>
    <w:p>
      <w:pPr>
        <w:pStyle w:val="Heading1"/>
      </w:pPr>
      <w:r>
        <w:t xml:space="preserve">3 Appendix B. Cohort profile and descriptive statistics for stage, strand, and writing scores</w:t>
      </w:r>
    </w:p>
    <w:p>
      <w:pPr>
        <w:pStyle w:val="FirstParagraph"/>
      </w:pPr>
      <w:r>
        <w:t xml:space="preserve">All values in Tables B1–B2 were recomputed from the participant-level file and agree with the manuscript’s reported figures (S1, §4; S2). The cohort comprises 100 university EFL learners from English Literature (</w:t>
      </w:r>
      <m:oMath>
        <m:r>
          <m:t>n</m:t>
        </m:r>
        <m:r>
          <m:rPr>
            <m:sty m:val="p"/>
          </m:rPr>
          <m:t>=</m:t>
        </m:r>
        <m:r>
          <m:t>30</m:t>
        </m:r>
      </m:oMath>
      <w:r>
        <w:t xml:space="preserve">), Translation Studies (</w:t>
      </w:r>
      <m:oMath>
        <m:r>
          <m:t>n</m:t>
        </m:r>
        <m:r>
          <m:rPr>
            <m:sty m:val="p"/>
          </m:rPr>
          <m:t>=</m:t>
        </m:r>
        <m:r>
          <m:t>30</m:t>
        </m:r>
      </m:oMath>
      <w:r>
        <w:t xml:space="preserve">), and TEFL (</w:t>
      </w:r>
      <m:oMath>
        <m:r>
          <m:t>n</m:t>
        </m:r>
        <m:r>
          <m:rPr>
            <m:sty m:val="p"/>
          </m:rPr>
          <m:t>=</m:t>
        </m:r>
        <m:r>
          <m:t>40</m:t>
        </m:r>
      </m:oMath>
      <w:r>
        <w:t xml:space="preserve">) programs; 54 women and 46 men. The manuscript states ages of 19–28; the data file contains a maximum recorded age of 29, a minor discrepancy noted here for transparency.</w:t>
      </w:r>
    </w:p>
    <w:bookmarkStart w:id="24" w:name="table-b1"/>
    <w:p>
      <w:pPr>
        <w:pStyle w:val="Heading2"/>
      </w:pPr>
      <w:r>
        <w:t xml:space="preserve">3.1 Table B1</w:t>
      </w:r>
    </w:p>
    <w:p>
      <w:pPr>
        <w:pStyle w:val="FirstParagraph"/>
      </w:pPr>
      <w:r>
        <w:rPr>
          <w:iCs/>
          <w:i/>
        </w:rPr>
        <w:t xml:space="preserve">Cohort composition by proficiency tier (</w:t>
      </w:r>
      <m:oMath>
        <m:r>
          <m:t>N</m:t>
        </m:r>
        <m:r>
          <m:rPr>
            <m:sty m:val="p"/>
          </m:rPr>
          <m:t>=</m:t>
        </m:r>
        <m:r>
          <m:t>100</m:t>
        </m:r>
      </m:oMath>
      <w:r>
        <w:rPr>
          <w:iCs/>
          <w:i/>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Proficiency tier</w:t>
            </w:r>
          </w:p>
        </w:tc>
        <w:tc>
          <w:tcPr/>
          <w:p>
            <w:pPr>
              <w:pStyle w:val="Compact"/>
              <w:jc w:val="center"/>
            </w:pPr>
            <m:oMath>
              <m:r>
                <m:t>n</m:t>
              </m:r>
            </m:oMath>
          </w:p>
        </w:tc>
        <w:tc>
          <w:tcPr/>
          <w:p>
            <w:pPr>
              <w:pStyle w:val="Compact"/>
              <w:jc w:val="center"/>
            </w:pPr>
            <w:r>
              <w:t xml:space="preserve">%</w:t>
            </w:r>
          </w:p>
        </w:tc>
        <w:tc>
          <w:tcPr/>
          <w:p>
            <w:pPr>
              <w:pStyle w:val="Compact"/>
              <w:jc w:val="center"/>
            </w:pPr>
            <w:r>
              <w:t xml:space="preserve">Women</w:t>
            </w:r>
          </w:p>
        </w:tc>
        <w:tc>
          <w:tcPr/>
          <w:p>
            <w:pPr>
              <w:pStyle w:val="Compact"/>
              <w:jc w:val="center"/>
            </w:pPr>
            <w:r>
              <w:t xml:space="preserve">Men</w:t>
            </w:r>
          </w:p>
        </w:tc>
      </w:tr>
      <w:tr>
        <w:tc>
          <w:tcPr/>
          <w:p>
            <w:pPr>
              <w:pStyle w:val="Compact"/>
              <w:jc w:val="left"/>
            </w:pPr>
            <w:r>
              <w:t xml:space="preserve">Intermediate</w:t>
            </w:r>
          </w:p>
        </w:tc>
        <w:tc>
          <w:tcPr/>
          <w:p>
            <w:pPr>
              <w:pStyle w:val="Compact"/>
              <w:jc w:val="center"/>
            </w:pPr>
            <w:r>
              <w:t xml:space="preserve">41</w:t>
            </w:r>
          </w:p>
        </w:tc>
        <w:tc>
          <w:tcPr/>
          <w:p>
            <w:pPr>
              <w:pStyle w:val="Compact"/>
              <w:jc w:val="center"/>
            </w:pPr>
            <w:r>
              <w:t xml:space="preserve">41.0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Upper-Intermediate</w:t>
            </w:r>
          </w:p>
        </w:tc>
        <w:tc>
          <w:tcPr/>
          <w:p>
            <w:pPr>
              <w:pStyle w:val="Compact"/>
              <w:jc w:val="center"/>
            </w:pPr>
            <w:r>
              <w:t xml:space="preserve">36</w:t>
            </w:r>
          </w:p>
        </w:tc>
        <w:tc>
          <w:tcPr/>
          <w:p>
            <w:pPr>
              <w:pStyle w:val="Compact"/>
              <w:jc w:val="center"/>
            </w:pPr>
            <w:r>
              <w:t xml:space="preserve">36.0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Advanced</w:t>
            </w:r>
          </w:p>
        </w:tc>
        <w:tc>
          <w:tcPr/>
          <w:p>
            <w:pPr>
              <w:pStyle w:val="Compact"/>
              <w:jc w:val="center"/>
            </w:pPr>
            <w:r>
              <w:t xml:space="preserve">23</w:t>
            </w:r>
          </w:p>
        </w:tc>
        <w:tc>
          <w:tcPr/>
          <w:p>
            <w:pPr>
              <w:pStyle w:val="Compact"/>
              <w:jc w:val="center"/>
            </w:pPr>
            <w:r>
              <w:t xml:space="preserve">23.0</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Total</w:t>
            </w:r>
          </w:p>
        </w:tc>
        <w:tc>
          <w:tcPr/>
          <w:p>
            <w:pPr>
              <w:pStyle w:val="Compact"/>
              <w:jc w:val="center"/>
            </w:pPr>
            <w:r>
              <w:rPr>
                <w:bCs/>
                <w:b/>
              </w:rPr>
              <w:t xml:space="preserve">100</w:t>
            </w:r>
          </w:p>
        </w:tc>
        <w:tc>
          <w:tcPr/>
          <w:p>
            <w:pPr>
              <w:pStyle w:val="Compact"/>
              <w:jc w:val="center"/>
            </w:pPr>
            <w:r>
              <w:rPr>
                <w:bCs/>
                <w:b/>
              </w:rPr>
              <w:t xml:space="preserve">100.0</w:t>
            </w:r>
          </w:p>
        </w:tc>
        <w:tc>
          <w:tcPr/>
          <w:p>
            <w:pPr>
              <w:pStyle w:val="Compact"/>
              <w:jc w:val="center"/>
            </w:pPr>
            <w:r>
              <w:rPr>
                <w:bCs/>
                <w:b/>
              </w:rPr>
              <w:t xml:space="preserve">54</w:t>
            </w:r>
          </w:p>
        </w:tc>
        <w:tc>
          <w:tcPr/>
          <w:p>
            <w:pPr>
              <w:pStyle w:val="Compact"/>
              <w:jc w:val="center"/>
            </w:pPr>
            <w:r>
              <w:rPr>
                <w:bCs/>
                <w:b/>
              </w:rPr>
              <w:t xml:space="preserve">46</w:t>
            </w:r>
          </w:p>
        </w:tc>
      </w:tr>
    </w:tbl>
    <w:p>
      <w:pPr>
        <w:pStyle w:val="BodyText"/>
      </w:pPr>
      <w:r>
        <w:t xml:space="preserve">Stage composites are the row mean of the three strand scores within each stage. Writing score is a continuous supplementary outcome on a 0–20 scale (S1; S2).</w:t>
      </w:r>
    </w:p>
    <w:bookmarkEnd w:id="24"/>
    <w:bookmarkStart w:id="25" w:name="table-b2"/>
    <w:p>
      <w:pPr>
        <w:pStyle w:val="Heading2"/>
      </w:pPr>
      <w:r>
        <w:t xml:space="preserve">3.2 Table B2</w:t>
      </w:r>
    </w:p>
    <w:p>
      <w:pPr>
        <w:pStyle w:val="FirstParagraph"/>
      </w:pPr>
      <w:r>
        <w:rPr>
          <w:iCs/>
          <w:i/>
        </w:rPr>
        <w:t xml:space="preserve">Descriptive statistics for stage composites and writing score (</w:t>
      </w:r>
      <m:oMath>
        <m:r>
          <m:t>N</m:t>
        </m:r>
        <m:r>
          <m:rPr>
            <m:sty m:val="p"/>
          </m:rPr>
          <m:t>=</m:t>
        </m:r>
        <m:r>
          <m:t>100</m:t>
        </m:r>
      </m:oMath>
      <w:r>
        <w:rPr>
          <w:iCs/>
          <w:i/>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Variable</w:t>
            </w:r>
          </w:p>
        </w:tc>
        <w:tc>
          <w:tcPr/>
          <w:p>
            <w:pPr>
              <w:pStyle w:val="Compact"/>
              <w:jc w:val="center"/>
            </w:pPr>
            <m:oMath>
              <m:r>
                <m:t>M</m:t>
              </m:r>
            </m:oMath>
          </w:p>
        </w:tc>
        <w:tc>
          <w:tcPr/>
          <w:p>
            <w:pPr>
              <w:pStyle w:val="Compact"/>
              <w:jc w:val="center"/>
            </w:pPr>
            <m:oMath>
              <m:r>
                <m:t>S</m:t>
              </m:r>
              <m:r>
                <m:t>D</m:t>
              </m:r>
            </m:oMath>
          </w:p>
        </w:tc>
        <w:tc>
          <w:tcPr/>
          <w:p>
            <w:pPr>
              <w:pStyle w:val="Compact"/>
              <w:jc w:val="center"/>
            </w:pPr>
            <w:r>
              <w:t xml:space="preserve">Range</w:t>
            </w:r>
          </w:p>
        </w:tc>
      </w:tr>
      <w:tr>
        <w:tc>
          <w:tcPr/>
          <w:p>
            <w:pPr>
              <w:pStyle w:val="Compact"/>
              <w:jc w:val="left"/>
            </w:pPr>
            <w:r>
              <w:t xml:space="preserve">Pre-writing composite</w:t>
            </w:r>
          </w:p>
        </w:tc>
        <w:tc>
          <w:tcPr/>
          <w:p>
            <w:pPr>
              <w:pStyle w:val="Compact"/>
              <w:jc w:val="center"/>
            </w:pPr>
            <w:r>
              <w:t xml:space="preserve">3.45</w:t>
            </w:r>
          </w:p>
        </w:tc>
        <w:tc>
          <w:tcPr/>
          <w:p>
            <w:pPr>
              <w:pStyle w:val="Compact"/>
              <w:jc w:val="center"/>
            </w:pPr>
            <w:r>
              <w:t xml:space="preserve">0.70</w:t>
            </w:r>
          </w:p>
        </w:tc>
        <w:tc>
          <w:tcPr/>
          <w:p>
            <w:pPr>
              <w:pStyle w:val="Compact"/>
              <w:jc w:val="center"/>
            </w:pPr>
            <w:r>
              <w:t xml:space="preserve">—</w:t>
            </w:r>
          </w:p>
        </w:tc>
      </w:tr>
      <w:tr>
        <w:tc>
          <w:tcPr/>
          <w:p>
            <w:pPr>
              <w:pStyle w:val="Compact"/>
              <w:jc w:val="left"/>
            </w:pPr>
            <w:r>
              <w:t xml:space="preserve">Drafting composite</w:t>
            </w:r>
          </w:p>
        </w:tc>
        <w:tc>
          <w:tcPr/>
          <w:p>
            <w:pPr>
              <w:pStyle w:val="Compact"/>
              <w:jc w:val="center"/>
            </w:pPr>
            <w:r>
              <w:t xml:space="preserve">3.51</w:t>
            </w:r>
          </w:p>
        </w:tc>
        <w:tc>
          <w:tcPr/>
          <w:p>
            <w:pPr>
              <w:pStyle w:val="Compact"/>
              <w:jc w:val="center"/>
            </w:pPr>
            <w:r>
              <w:t xml:space="preserve">0.68</w:t>
            </w:r>
          </w:p>
        </w:tc>
        <w:tc>
          <w:tcPr/>
          <w:p>
            <w:pPr>
              <w:pStyle w:val="Compact"/>
              <w:jc w:val="center"/>
            </w:pPr>
            <w:r>
              <w:t xml:space="preserve">—</w:t>
            </w:r>
          </w:p>
        </w:tc>
      </w:tr>
      <w:tr>
        <w:tc>
          <w:tcPr/>
          <w:p>
            <w:pPr>
              <w:pStyle w:val="Compact"/>
              <w:jc w:val="left"/>
            </w:pPr>
            <w:r>
              <w:t xml:space="preserve">Editing composite</w:t>
            </w:r>
          </w:p>
        </w:tc>
        <w:tc>
          <w:tcPr/>
          <w:p>
            <w:pPr>
              <w:pStyle w:val="Compact"/>
              <w:jc w:val="center"/>
            </w:pPr>
            <w:r>
              <w:t xml:space="preserve">3.51</w:t>
            </w:r>
          </w:p>
        </w:tc>
        <w:tc>
          <w:tcPr/>
          <w:p>
            <w:pPr>
              <w:pStyle w:val="Compact"/>
              <w:jc w:val="center"/>
            </w:pPr>
            <w:r>
              <w:t xml:space="preserve">0.71</w:t>
            </w:r>
          </w:p>
        </w:tc>
        <w:tc>
          <w:tcPr/>
          <w:p>
            <w:pPr>
              <w:pStyle w:val="Compact"/>
              <w:jc w:val="center"/>
            </w:pPr>
            <w:r>
              <w:t xml:space="preserve">—</w:t>
            </w:r>
          </w:p>
        </w:tc>
      </w:tr>
      <w:tr>
        <w:tc>
          <w:tcPr/>
          <w:p>
            <w:pPr>
              <w:pStyle w:val="Compact"/>
              <w:jc w:val="left"/>
            </w:pPr>
            <w:r>
              <w:t xml:space="preserve">Writing score (0–20 scale)</w:t>
            </w:r>
          </w:p>
        </w:tc>
        <w:tc>
          <w:tcPr/>
          <w:p>
            <w:pPr>
              <w:pStyle w:val="Compact"/>
              <w:jc w:val="center"/>
            </w:pPr>
            <w:r>
              <w:t xml:space="preserve">18.38</w:t>
            </w:r>
          </w:p>
        </w:tc>
        <w:tc>
          <w:tcPr/>
          <w:p>
            <w:pPr>
              <w:pStyle w:val="Compact"/>
              <w:jc w:val="center"/>
            </w:pPr>
            <w:r>
              <w:t xml:space="preserve">1.54</w:t>
            </w:r>
          </w:p>
        </w:tc>
        <w:tc>
          <w:tcPr/>
          <w:p>
            <w:pPr>
              <w:pStyle w:val="Compact"/>
              <w:jc w:val="center"/>
            </w:pPr>
            <w:r>
              <w:t xml:space="preserve">13.49–20.00</w:t>
            </w:r>
          </w:p>
        </w:tc>
      </w:tr>
    </w:tbl>
    <w:p>
      <w:pPr>
        <w:pStyle w:val="BodyText"/>
      </w:pPr>
      <w:r>
        <w:rPr>
          <w:iCs/>
          <w:i/>
        </w:rPr>
        <w:t xml:space="preserve">Note.</w:t>
      </w:r>
      <w:r>
        <w:t xml:space="preserve"> </w:t>
      </w:r>
      <w:r>
        <w:t xml:space="preserve">Engagement composites use the 1–5 perceived-utility scale (Appendix A). Writing scores cluster near the top of the scale, and the maximum was attained by a substantial minority of participants; the manuscript treats this as a constraint on detecting performance differences rather than as a formal ceiling-effect analysis (S1, §5).</w:t>
      </w:r>
    </w:p>
    <w:p>
      <w:pPr>
        <w:pStyle w:val="BodyText"/>
      </w:pPr>
      <w:r>
        <w:t xml:space="preserve">Skewness, kurtosis, and Shapiro–Wilk statistics per subscale are not reported here because they are not part of the manuscript’s analysis and were not verified from the deposited data. Distributional assumptions for the LMM were addressed through residual variance (</w:t>
      </w:r>
      <m:oMath>
        <m:r>
          <m:rPr>
            <m:sty m:val="p"/>
          </m:rPr>
          <m:t>≈</m:t>
        </m:r>
        <m:r>
          <m:t>0.23</m:t>
        </m:r>
      </m:oMath>
      <w:r>
        <w:t xml:space="preserve">) and random-intercept variance (</w:t>
      </w:r>
      <m:oMath>
        <m:r>
          <m:rPr>
            <m:sty m:val="p"/>
          </m:rPr>
          <m:t>≈</m:t>
        </m:r>
        <m:r>
          <m:t>0.41</m:t>
        </m:r>
      </m:oMath>
      <w:r>
        <w:t xml:space="preserve">), as documented in Appendix D (S1, §4). The critical strand showed a non-monotonic pattern across proficiency tiers, and the single highest cell mean in the design was Upper-Intermediate</w:t>
      </w:r>
      <w:r>
        <w:t xml:space="preserve"> </w:t>
      </w:r>
      <m:oMath>
        <m:r>
          <m:rPr>
            <m:sty m:val="p"/>
          </m:rPr>
          <m:t>×</m:t>
        </m:r>
      </m:oMath>
      <w:r>
        <w:t xml:space="preserve"> </w:t>
      </w:r>
      <w:r>
        <w:t xml:space="preserve">Strategic</w:t>
      </w:r>
      <w:r>
        <w:t xml:space="preserve"> </w:t>
      </w:r>
      <m:oMath>
        <m:r>
          <m:rPr>
            <m:sty m:val="p"/>
          </m:rPr>
          <m:t>×</m:t>
        </m:r>
      </m:oMath>
      <w:r>
        <w:t xml:space="preserve"> </w:t>
      </w:r>
      <w:r>
        <w:t xml:space="preserve">Editing (</w:t>
      </w:r>
      <m:oMath>
        <m:r>
          <m:t>M</m:t>
        </m:r>
        <m:r>
          <m:rPr>
            <m:sty m:val="p"/>
          </m:rPr>
          <m:t>=</m:t>
        </m:r>
        <m:r>
          <m:t>3.67</m:t>
        </m:r>
      </m:oMath>
      <w:r>
        <w:t xml:space="preserve">)—both relevant to interpreting the interaction structure in Appendix D.</w:t>
      </w:r>
    </w:p>
    <w:bookmarkEnd w:id="25"/>
    <w:bookmarkEnd w:id="26"/>
    <w:bookmarkStart w:id="29" w:name="X237202bba6de74a4d4d3e0f5d5593e56d3f054c"/>
    <w:p>
      <w:pPr>
        <w:pStyle w:val="Heading1"/>
      </w:pPr>
      <w:r>
        <w:t xml:space="preserve">4 Appendix C. Stage–performance correlations and CEFR disaggregation</w:t>
      </w:r>
    </w:p>
    <w:p>
      <w:pPr>
        <w:pStyle w:val="FirstParagraph"/>
      </w:pPr>
      <w:r>
        <w:t xml:space="preserve">Table C1 reports the zero-order Pearson correlations between stage composites and the criterion measure, recomputed from the participant file and matching the manuscript (S1, §4; S2). Among the process stages, only the editing composite showed a statistically significant linear association with holistic writing performance.</w:t>
      </w:r>
    </w:p>
    <w:bookmarkStart w:id="27" w:name="table-c1"/>
    <w:p>
      <w:pPr>
        <w:pStyle w:val="Heading2"/>
      </w:pPr>
      <w:r>
        <w:t xml:space="preserve">4.1 Table C1</w:t>
      </w:r>
    </w:p>
    <w:p>
      <w:pPr>
        <w:pStyle w:val="FirstParagraph"/>
      </w:pPr>
      <w:r>
        <w:rPr>
          <w:iCs/>
          <w:i/>
        </w:rPr>
        <w:t xml:space="preserve">Correlations between stage composites and writing score (</w:t>
      </w:r>
      <m:oMath>
        <m:r>
          <m:t>N</m:t>
        </m:r>
        <m:r>
          <m:rPr>
            <m:sty m:val="p"/>
          </m:rPr>
          <m:t>=</m:t>
        </m:r>
        <m:r>
          <m:t>100</m:t>
        </m:r>
      </m:oMath>
      <w:r>
        <w:rPr>
          <w:iCs/>
          <w:i/>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Predictor</w:t>
            </w:r>
          </w:p>
        </w:tc>
        <w:tc>
          <w:tcPr/>
          <w:p>
            <w:pPr>
              <w:pStyle w:val="Compact"/>
              <w:jc w:val="center"/>
            </w:pPr>
            <m:oMath>
              <m:r>
                <m:t>r</m:t>
              </m:r>
            </m:oMath>
          </w:p>
        </w:tc>
        <w:tc>
          <w:tcPr/>
          <w:p>
            <w:pPr>
              <w:pStyle w:val="Compact"/>
              <w:jc w:val="center"/>
            </w:pPr>
            <m:oMath>
              <m:r>
                <m:t>p</m:t>
              </m:r>
            </m:oMath>
          </w:p>
        </w:tc>
      </w:tr>
      <w:tr>
        <w:tc>
          <w:tcPr/>
          <w:p>
            <w:pPr>
              <w:pStyle w:val="Compact"/>
              <w:jc w:val="left"/>
            </w:pPr>
            <w:r>
              <w:t xml:space="preserve">Pre-writing composite</w:t>
            </w:r>
          </w:p>
        </w:tc>
        <w:tc>
          <w:tcPr/>
          <w:p>
            <w:pPr>
              <w:pStyle w:val="Compact"/>
              <w:jc w:val="center"/>
            </w:pPr>
            <w:r>
              <w:t xml:space="preserve">.159</w:t>
            </w:r>
          </w:p>
        </w:tc>
        <w:tc>
          <w:tcPr/>
          <w:p>
            <w:pPr>
              <w:pStyle w:val="Compact"/>
              <w:jc w:val="center"/>
            </w:pPr>
            <w:r>
              <w:t xml:space="preserve">.114</w:t>
            </w:r>
          </w:p>
        </w:tc>
      </w:tr>
      <w:tr>
        <w:tc>
          <w:tcPr/>
          <w:p>
            <w:pPr>
              <w:pStyle w:val="Compact"/>
              <w:jc w:val="left"/>
            </w:pPr>
            <w:r>
              <w:t xml:space="preserve">Drafting composite</w:t>
            </w:r>
          </w:p>
        </w:tc>
        <w:tc>
          <w:tcPr/>
          <w:p>
            <w:pPr>
              <w:pStyle w:val="Compact"/>
              <w:jc w:val="center"/>
            </w:pPr>
            <w:r>
              <w:t xml:space="preserve">.172</w:t>
            </w:r>
          </w:p>
        </w:tc>
        <w:tc>
          <w:tcPr/>
          <w:p>
            <w:pPr>
              <w:pStyle w:val="Compact"/>
              <w:jc w:val="center"/>
            </w:pPr>
            <w:r>
              <w:t xml:space="preserve">.086</w:t>
            </w:r>
          </w:p>
        </w:tc>
      </w:tr>
      <w:tr>
        <w:tc>
          <w:tcPr/>
          <w:p>
            <w:pPr>
              <w:pStyle w:val="Compact"/>
              <w:jc w:val="left"/>
            </w:pPr>
            <w:r>
              <w:t xml:space="preserve">Editing composite</w:t>
            </w:r>
          </w:p>
        </w:tc>
        <w:tc>
          <w:tcPr/>
          <w:p>
            <w:pPr>
              <w:pStyle w:val="Compact"/>
              <w:jc w:val="center"/>
            </w:pPr>
            <w:r>
              <w:rPr>
                <w:bCs/>
                <w:b/>
              </w:rPr>
              <w:t xml:space="preserve">.292</w:t>
            </w:r>
          </w:p>
        </w:tc>
        <w:tc>
          <w:tcPr/>
          <w:p>
            <w:pPr>
              <w:pStyle w:val="Compact"/>
              <w:jc w:val="center"/>
            </w:pPr>
            <w:r>
              <w:rPr>
                <w:bCs/>
                <w:b/>
              </w:rPr>
              <w:t xml:space="preserve">.003</w:t>
            </w:r>
          </w:p>
        </w:tc>
      </w:tr>
    </w:tbl>
    <w:p>
      <w:pPr>
        <w:pStyle w:val="BodyText"/>
      </w:pPr>
      <w:r>
        <w:t xml:space="preserve">The manuscript interprets the editing association with explicit caution: because the design is cross-sectional, the positive relationship does not demonstrate that GenAI-supported editing improves writing performance; plausible alternatives include assistance effects, stronger writers exploiting AI more effectively, or bidirectional influence, which the data cannot disentangle (S1, §5.5, §5.9).</w:t>
      </w:r>
    </w:p>
    <w:bookmarkEnd w:id="27"/>
    <w:bookmarkStart w:id="28" w:name="table-c2"/>
    <w:p>
      <w:pPr>
        <w:pStyle w:val="Heading2"/>
      </w:pPr>
      <w:r>
        <w:t xml:space="preserve">4.2 Table C2</w:t>
      </w:r>
    </w:p>
    <w:p>
      <w:pPr>
        <w:pStyle w:val="FirstParagraph"/>
      </w:pPr>
      <w:r>
        <w:rPr>
          <w:iCs/>
          <w:i/>
        </w:rPr>
        <w:t xml:space="preserve">Stage engagement and writing performance by proficiency tier (</w:t>
      </w:r>
      <m:oMath>
        <m:r>
          <m:t>N</m:t>
        </m:r>
        <m:r>
          <m:rPr>
            <m:sty m:val="p"/>
          </m:rPr>
          <m:t>=</m:t>
        </m:r>
        <m:r>
          <m:t>100</m:t>
        </m:r>
      </m:oMath>
      <w:r>
        <w:rPr>
          <w:iCs/>
          <w:i/>
        </w:rPr>
        <w:t xml:space="preserve">)</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Proficiency tier</w:t>
            </w:r>
          </w:p>
        </w:tc>
        <w:tc>
          <w:tcPr/>
          <w:p>
            <w:pPr>
              <w:pStyle w:val="Compact"/>
              <w:jc w:val="center"/>
            </w:pPr>
            <m:oMath>
              <m:r>
                <m:t>n</m:t>
              </m:r>
            </m:oMath>
          </w:p>
        </w:tc>
        <w:tc>
          <w:tcPr/>
          <w:p>
            <w:pPr>
              <w:pStyle w:val="Compact"/>
              <w:jc w:val="center"/>
            </w:pPr>
            <w:r>
              <w:t xml:space="preserve">Pre-writing</w:t>
            </w:r>
            <w:r>
              <w:t xml:space="preserve"> </w:t>
            </w:r>
            <m:oMath>
              <m:r>
                <m:t>M</m:t>
              </m:r>
              <m:d>
                <m:dPr>
                  <m:begChr m:val="("/>
                  <m:endChr m:val=")"/>
                  <m:sepChr m:val=""/>
                  <m:grow/>
                </m:dPr>
                <m:e>
                  <m:r>
                    <m:t>S</m:t>
                  </m:r>
                  <m:r>
                    <m:t>D</m:t>
                  </m:r>
                </m:e>
              </m:d>
            </m:oMath>
          </w:p>
        </w:tc>
        <w:tc>
          <w:tcPr/>
          <w:p>
            <w:pPr>
              <w:pStyle w:val="Compact"/>
              <w:jc w:val="center"/>
            </w:pPr>
            <w:r>
              <w:t xml:space="preserve">Drafting</w:t>
            </w:r>
            <w:r>
              <w:t xml:space="preserve"> </w:t>
            </w:r>
            <m:oMath>
              <m:r>
                <m:t>M</m:t>
              </m:r>
              <m:d>
                <m:dPr>
                  <m:begChr m:val="("/>
                  <m:endChr m:val=")"/>
                  <m:sepChr m:val=""/>
                  <m:grow/>
                </m:dPr>
                <m:e>
                  <m:r>
                    <m:t>S</m:t>
                  </m:r>
                  <m:r>
                    <m:t>D</m:t>
                  </m:r>
                </m:e>
              </m:d>
            </m:oMath>
          </w:p>
        </w:tc>
        <w:tc>
          <w:tcPr/>
          <w:p>
            <w:pPr>
              <w:pStyle w:val="Compact"/>
              <w:jc w:val="center"/>
            </w:pPr>
            <w:r>
              <w:t xml:space="preserve">Editing</w:t>
            </w:r>
            <w:r>
              <w:t xml:space="preserve"> </w:t>
            </w:r>
            <m:oMath>
              <m:r>
                <m:t>M</m:t>
              </m:r>
              <m:d>
                <m:dPr>
                  <m:begChr m:val="("/>
                  <m:endChr m:val=")"/>
                  <m:sepChr m:val=""/>
                  <m:grow/>
                </m:dPr>
                <m:e>
                  <m:r>
                    <m:t>S</m:t>
                  </m:r>
                  <m:r>
                    <m:t>D</m:t>
                  </m:r>
                </m:e>
              </m:d>
            </m:oMath>
          </w:p>
        </w:tc>
        <w:tc>
          <w:tcPr/>
          <w:p>
            <w:pPr>
              <w:pStyle w:val="Compact"/>
              <w:jc w:val="center"/>
            </w:pPr>
            <w:r>
              <w:t xml:space="preserve">Writing score</w:t>
            </w:r>
            <w:r>
              <w:t xml:space="preserve"> </w:t>
            </w:r>
            <m:oMath>
              <m:r>
                <m:t>M</m:t>
              </m:r>
              <m:d>
                <m:dPr>
                  <m:begChr m:val="("/>
                  <m:endChr m:val=")"/>
                  <m:sepChr m:val=""/>
                  <m:grow/>
                </m:dPr>
                <m:e>
                  <m:r>
                    <m:t>S</m:t>
                  </m:r>
                  <m:r>
                    <m:t>D</m:t>
                  </m:r>
                </m:e>
              </m:d>
            </m:oMath>
          </w:p>
        </w:tc>
      </w:tr>
      <w:tr>
        <w:tc>
          <w:tcPr/>
          <w:p>
            <w:pPr>
              <w:pStyle w:val="Compact"/>
              <w:jc w:val="left"/>
            </w:pPr>
            <w:r>
              <w:t xml:space="preserve">Intermediate</w:t>
            </w:r>
          </w:p>
        </w:tc>
        <w:tc>
          <w:tcPr/>
          <w:p>
            <w:pPr>
              <w:pStyle w:val="Compact"/>
              <w:jc w:val="center"/>
            </w:pPr>
            <w:r>
              <w:t xml:space="preserve">41</w:t>
            </w:r>
          </w:p>
        </w:tc>
        <w:tc>
          <w:tcPr/>
          <w:p>
            <w:pPr>
              <w:pStyle w:val="Compact"/>
              <w:jc w:val="center"/>
            </w:pPr>
            <w:r>
              <w:t xml:space="preserve">3.45 (0.79)</w:t>
            </w:r>
          </w:p>
        </w:tc>
        <w:tc>
          <w:tcPr/>
          <w:p>
            <w:pPr>
              <w:pStyle w:val="Compact"/>
              <w:jc w:val="center"/>
            </w:pPr>
            <w:r>
              <w:t xml:space="preserve">3.52 (0.72)</w:t>
            </w:r>
          </w:p>
        </w:tc>
        <w:tc>
          <w:tcPr/>
          <w:p>
            <w:pPr>
              <w:pStyle w:val="Compact"/>
              <w:jc w:val="center"/>
            </w:pPr>
            <w:r>
              <w:t xml:space="preserve">3.43 (0.76)</w:t>
            </w:r>
          </w:p>
        </w:tc>
        <w:tc>
          <w:tcPr/>
          <w:p>
            <w:pPr>
              <w:pStyle w:val="Compact"/>
              <w:jc w:val="center"/>
            </w:pPr>
            <w:r>
              <w:t xml:space="preserve">18.38 (1.48)</w:t>
            </w:r>
          </w:p>
        </w:tc>
      </w:tr>
      <w:tr>
        <w:tc>
          <w:tcPr/>
          <w:p>
            <w:pPr>
              <w:pStyle w:val="Compact"/>
              <w:jc w:val="left"/>
            </w:pPr>
            <w:r>
              <w:t xml:space="preserve">Upper-Intermediate</w:t>
            </w:r>
          </w:p>
        </w:tc>
        <w:tc>
          <w:tcPr/>
          <w:p>
            <w:pPr>
              <w:pStyle w:val="Compact"/>
              <w:jc w:val="center"/>
            </w:pPr>
            <w:r>
              <w:t xml:space="preserve">36</w:t>
            </w:r>
          </w:p>
        </w:tc>
        <w:tc>
          <w:tcPr/>
          <w:p>
            <w:pPr>
              <w:pStyle w:val="Compact"/>
              <w:jc w:val="center"/>
            </w:pPr>
            <w:r>
              <w:t xml:space="preserve">3.47 (0.65)</w:t>
            </w:r>
          </w:p>
        </w:tc>
        <w:tc>
          <w:tcPr/>
          <w:p>
            <w:pPr>
              <w:pStyle w:val="Compact"/>
              <w:jc w:val="center"/>
            </w:pPr>
            <w:r>
              <w:t xml:space="preserve">3.52 (0.65)</w:t>
            </w:r>
          </w:p>
        </w:tc>
        <w:tc>
          <w:tcPr/>
          <w:p>
            <w:pPr>
              <w:pStyle w:val="Compact"/>
              <w:jc w:val="center"/>
            </w:pPr>
            <w:r>
              <w:t xml:space="preserve">3.59 (0.71)</w:t>
            </w:r>
          </w:p>
        </w:tc>
        <w:tc>
          <w:tcPr/>
          <w:p>
            <w:pPr>
              <w:pStyle w:val="Compact"/>
              <w:jc w:val="center"/>
            </w:pPr>
            <w:r>
              <w:t xml:space="preserve">18.11 (1.58)</w:t>
            </w:r>
          </w:p>
        </w:tc>
      </w:tr>
      <w:tr>
        <w:tc>
          <w:tcPr/>
          <w:p>
            <w:pPr>
              <w:pStyle w:val="Compact"/>
              <w:jc w:val="left"/>
            </w:pPr>
            <w:r>
              <w:t xml:space="preserve">Advanced</w:t>
            </w:r>
          </w:p>
        </w:tc>
        <w:tc>
          <w:tcPr/>
          <w:p>
            <w:pPr>
              <w:pStyle w:val="Compact"/>
              <w:jc w:val="center"/>
            </w:pPr>
            <w:r>
              <w:t xml:space="preserve">23</w:t>
            </w:r>
          </w:p>
        </w:tc>
        <w:tc>
          <w:tcPr/>
          <w:p>
            <w:pPr>
              <w:pStyle w:val="Compact"/>
              <w:jc w:val="center"/>
            </w:pPr>
            <w:r>
              <w:t xml:space="preserve">3.45 (0.63)</w:t>
            </w:r>
          </w:p>
        </w:tc>
        <w:tc>
          <w:tcPr/>
          <w:p>
            <w:pPr>
              <w:pStyle w:val="Compact"/>
              <w:jc w:val="center"/>
            </w:pPr>
            <w:r>
              <w:t xml:space="preserve">3.45 (0.66)</w:t>
            </w:r>
          </w:p>
        </w:tc>
        <w:tc>
          <w:tcPr/>
          <w:p>
            <w:pPr>
              <w:pStyle w:val="Compact"/>
              <w:jc w:val="center"/>
            </w:pPr>
            <w:r>
              <w:t xml:space="preserve">3.55 (0.60)</w:t>
            </w:r>
          </w:p>
        </w:tc>
        <w:tc>
          <w:tcPr/>
          <w:p>
            <w:pPr>
              <w:pStyle w:val="Compact"/>
              <w:jc w:val="center"/>
            </w:pPr>
            <w:r>
              <w:t xml:space="preserve">18.80 (1.56)</w:t>
            </w:r>
          </w:p>
        </w:tc>
      </w:tr>
      <w:tr>
        <w:tc>
          <w:tcPr/>
          <w:p>
            <w:pPr>
              <w:pStyle w:val="Compact"/>
              <w:jc w:val="left"/>
            </w:pPr>
            <w:r>
              <w:t xml:space="preserve">Total</w:t>
            </w:r>
          </w:p>
        </w:tc>
        <w:tc>
          <w:tcPr/>
          <w:p>
            <w:pPr>
              <w:pStyle w:val="Compact"/>
              <w:jc w:val="center"/>
            </w:pPr>
            <w:r>
              <w:t xml:space="preserve">100</w:t>
            </w:r>
          </w:p>
        </w:tc>
        <w:tc>
          <w:tcPr/>
          <w:p>
            <w:pPr>
              <w:pStyle w:val="Compact"/>
              <w:jc w:val="center"/>
            </w:pPr>
            <w:r>
              <w:t xml:space="preserve">3.45 (0.70)</w:t>
            </w:r>
          </w:p>
        </w:tc>
        <w:tc>
          <w:tcPr/>
          <w:p>
            <w:pPr>
              <w:pStyle w:val="Compact"/>
              <w:jc w:val="center"/>
            </w:pPr>
            <w:r>
              <w:t xml:space="preserve">3.51 (0.68)</w:t>
            </w:r>
          </w:p>
        </w:tc>
        <w:tc>
          <w:tcPr/>
          <w:p>
            <w:pPr>
              <w:pStyle w:val="Compact"/>
              <w:jc w:val="center"/>
            </w:pPr>
            <w:r>
              <w:t xml:space="preserve">3.51 (0.71)</w:t>
            </w:r>
          </w:p>
        </w:tc>
        <w:tc>
          <w:tcPr/>
          <w:p>
            <w:pPr>
              <w:pStyle w:val="Compact"/>
              <w:jc w:val="center"/>
            </w:pPr>
            <w:r>
              <w:t xml:space="preserve">18.38 (1.54)</w:t>
            </w:r>
          </w:p>
        </w:tc>
      </w:tr>
    </w:tbl>
    <w:p>
      <w:pPr>
        <w:pStyle w:val="BodyText"/>
      </w:pPr>
      <w:r>
        <w:t xml:space="preserve">The profile is broadly comparable across tiers, which underpins the manuscript’s central claim that engagement quality is</w:t>
      </w:r>
      <w:r>
        <w:t xml:space="preserve"> </w:t>
      </w:r>
      <w:r>
        <w:rPr>
          <w:iCs/>
          <w:i/>
        </w:rPr>
        <w:t xml:space="preserve">process-sensitive and function-dependent</w:t>
      </w:r>
      <w:r>
        <w:t xml:space="preserve"> </w:t>
      </w:r>
      <w:r>
        <w:t xml:space="preserve">rather than proficiency-determined (S1, §4–§5).</w:t>
      </w:r>
    </w:p>
    <w:bookmarkEnd w:id="28"/>
    <w:bookmarkEnd w:id="29"/>
    <w:bookmarkStart w:id="31" w:name="X81b9e25ab14ad5281904594771d0c1289ce2d10"/>
    <w:p>
      <w:pPr>
        <w:pStyle w:val="Heading1"/>
      </w:pPr>
      <w:r>
        <w:t xml:space="preserve">5 Appendix D. Linear mixed-effects specification and reported parameter estimates</w:t>
      </w:r>
    </w:p>
    <w:p>
      <w:pPr>
        <w:pStyle w:val="FirstParagraph"/>
      </w:pPr>
      <w:r>
        <w:t xml:space="preserve">Following the LEVEL framework for reporting correlated-data designs (S3), the data structure is two-level: stage–strand observations (level 1) are nested within participants (level 2). The analysis uses 900 observations (100 participants × 3 stages × 3 strands) with no missing values (S1, §4; S2).</w:t>
      </w:r>
    </w:p>
    <w:p>
      <w:pPr>
        <w:pStyle w:val="BodyText"/>
      </w:pPr>
      <w:r>
        <w:t xml:space="preserve">The model regresses engagement scores on proficiency (between-participants), stage and strand (within-participant), and their full interaction structure, with a participant random intercept:</w:t>
      </w:r>
    </w:p>
    <w:p>
      <w:pPr>
        <w:pStyle w:val="BodyText"/>
      </w:pPr>
      <w:r>
        <w:t xml:space="preserve">$$\text{Engagement}_{text{Engagement}_{ijk} = \beta_0 + \Prof}} + \beta_{\text{Stage}} + \beta_{\text{Strand}} + \text{Interactions} + u_{0i} + \varepsilon_{ijk}$$</w:t>
      </w:r>
    </w:p>
    <w:p>
      <w:pPr>
        <w:pStyle w:val="FirstParagraph"/>
      </w:pPr>
      <w:r>
        <w:t xml:space="preserve">where</w:t>
      </w:r>
      <w:r>
        <w:t xml:space="preserve"> </w:t>
      </w:r>
      <m:oMath>
        <m:sSub>
          <m:e>
            <m:r>
              <m:t>u</m:t>
            </m:r>
          </m:e>
          <m:sub>
            <m:r>
              <m:t>0</m:t>
            </m:r>
            <m:r>
              <m:t>i</m:t>
            </m:r>
          </m:sub>
        </m:sSub>
        <m:r>
          <m:rPr>
            <m:sty m:val="p"/>
          </m:rPr>
          <m:t>∼</m:t>
        </m:r>
        <m:r>
          <m:t>N</m:t>
        </m:r>
        <m:d>
          <m:dPr>
            <m:begChr m:val="("/>
            <m:endChr m:val=")"/>
            <m:sepChr m:val=""/>
            <m:grow/>
          </m:dPr>
          <m:e>
            <m:r>
              <m:t>0</m:t>
            </m:r>
            <m:r>
              <m:rPr>
                <m:sty m:val="p"/>
              </m:rPr>
              <m:t>,</m:t>
            </m:r>
            <m:sSub>
              <m:e>
                <m:r>
                  <m:t>τ</m:t>
                </m:r>
              </m:e>
              <m:sub>
                <m:r>
                  <m:t>00</m:t>
                </m:r>
              </m:sub>
            </m:sSub>
          </m:e>
        </m:d>
      </m:oMath>
      <w:r>
        <w:t xml:space="preserve"> </w:t>
      </w:r>
      <w:r>
        <w:t xml:space="preserve">is the participant-level random intercept and</w:t>
      </w:r>
      <w:r>
        <w:t xml:space="preserve"> </w:t>
      </w:r>
      <m:oMath>
        <m:sSub>
          <m:e>
            <m:r>
              <m:t>ε</m:t>
            </m:r>
          </m:e>
          <m:sub>
            <m:r>
              <m:t>i</m:t>
            </m:r>
            <m:r>
              <m:t>j</m:t>
            </m:r>
            <m:r>
              <m:t>k</m:t>
            </m:r>
          </m:sub>
        </m:sSub>
      </m:oMath>
      <w:r>
        <w:t xml:space="preserve"> </w:t>
      </w:r>
      <w:r>
        <w:t xml:space="preserve">the residual. Reference cell: proficiency = Advanced, stage = Drafting, strand = Critical (S1, §3.10, §4). Consistent with LEVEL guidance, this appendix reports the design levels, the variance components, and fixed-effect estimates with standard errors and confidence intervals (S3).</w:t>
      </w:r>
    </w:p>
    <w:p>
      <w:pPr>
        <w:pStyle w:val="BodyText"/>
      </w:pPr>
      <w:r>
        <w:rPr>
          <w:bCs/>
          <w:b/>
        </w:rPr>
        <w:t xml:space="preserve">Fixed effects.</w:t>
      </w:r>
      <w:r>
        <w:t xml:space="preserve"> </w:t>
      </w:r>
      <w:r>
        <w:t xml:space="preserve">Main effects of proficiency, stage, and strand were all non-significant (</w:t>
      </w:r>
      <m:oMath>
        <m:r>
          <m:t>p</m:t>
        </m:r>
      </m:oMath>
      <w:r>
        <w:t xml:space="preserve"> </w:t>
      </w:r>
      <w:r>
        <w:t xml:space="preserve">= .115–.661). Across the two-way interaction block, a single term reached significance:</w:t>
      </w:r>
    </w:p>
    <w:p>
      <w:pPr>
        <w:pStyle w:val="BodyText"/>
      </w:pPr>
      <m:oMathPara>
        <m:oMathParaPr>
          <m:jc m:val="center"/>
        </m:oMathParaPr>
        <m:oMath>
          <m:r>
            <m:rPr>
              <m:nor/>
              <m:sty m:val="p"/>
            </m:rPr>
            <m:t>Intermediate</m:t>
          </m:r>
          <m:r>
            <m:rPr>
              <m:sty m:val="p"/>
            </m:rPr>
            <m:t>×</m:t>
          </m:r>
          <m:r>
            <m:rPr>
              <m:nor/>
              <m:sty m:val="p"/>
            </m:rPr>
            <m:t>Editing</m:t>
          </m:r>
          <m:r>
            <m:rPr>
              <m:sty m:val="p"/>
            </m:rPr>
            <m:t>:</m:t>
          </m:r>
          <m:r>
            <m:t> </m:t>
          </m:r>
          <m:r>
            <m:t>β</m:t>
          </m:r>
          <m:r>
            <m:rPr>
              <m:sty m:val="p"/>
            </m:rPr>
            <m:t>=</m:t>
          </m:r>
          <m:r>
            <m:rPr>
              <m:sty m:val="p"/>
            </m:rPr>
            <m:t>−</m:t>
          </m:r>
          <m:r>
            <m:t>0.358</m:t>
          </m:r>
          <m:r>
            <m:rPr>
              <m:sty m:val="p"/>
            </m:rPr>
            <m:t>,</m:t>
          </m:r>
          <m:r>
            <m:t> </m:t>
          </m:r>
          <m:r>
            <m:t>S</m:t>
          </m:r>
          <m:r>
            <m:t>E</m:t>
          </m:r>
          <m:r>
            <m:rPr>
              <m:sty m:val="p"/>
            </m:rPr>
            <m:t>=</m:t>
          </m:r>
          <m:r>
            <m:t>0.177</m:t>
          </m:r>
          <m:r>
            <m:rPr>
              <m:sty m:val="p"/>
            </m:rPr>
            <m:t>,</m:t>
          </m:r>
          <m:r>
            <m:t> </m:t>
          </m:r>
          <m:r>
            <m:t>z</m:t>
          </m:r>
          <m:r>
            <m:rPr>
              <m:sty m:val="p"/>
            </m:rPr>
            <m:t>=</m:t>
          </m:r>
          <m:r>
            <m:rPr>
              <m:sty m:val="p"/>
            </m:rPr>
            <m:t>−</m:t>
          </m:r>
          <m:r>
            <m:t>2.02</m:t>
          </m:r>
          <m:r>
            <m:rPr>
              <m:sty m:val="p"/>
            </m:rPr>
            <m:t>,</m:t>
          </m:r>
          <m:r>
            <m:t> </m:t>
          </m:r>
          <m:r>
            <m:t>p</m:t>
          </m:r>
          <m:r>
            <m:rPr>
              <m:sty m:val="p"/>
            </m:rPr>
            <m:t>=</m:t>
          </m:r>
          <m:r>
            <m:t>.043</m:t>
          </m:r>
          <m:r>
            <m:rPr>
              <m:sty m:val="p"/>
            </m:rPr>
            <m:t>,</m:t>
          </m:r>
          <m:r>
            <m:t> </m:t>
          </m:r>
          <m:r>
            <m:t>95</m:t>
          </m:r>
          <m:r>
            <m:rPr>
              <m:sty m:val="p"/>
            </m:rPr>
            <m:t>%</m:t>
          </m:r>
          <m:r>
            <m:rPr>
              <m:nor/>
              <m:sty m:val="p"/>
            </m:rPr>
            <m:t> CI </m:t>
          </m:r>
          <m:d>
            <m:dPr>
              <m:begChr m:val="["/>
              <m:endChr m:val="]"/>
              <m:sepChr m:val=""/>
              <m:grow/>
            </m:dPr>
            <m:e>
              <m:r>
                <m:rPr>
                  <m:sty m:val="p"/>
                </m:rPr>
                <m:t>−</m:t>
              </m:r>
              <m:r>
                <m:t>0.706</m:t>
              </m:r>
              <m:r>
                <m:rPr>
                  <m:sty m:val="p"/>
                </m:rPr>
                <m:t>,</m:t>
              </m:r>
              <m:r>
                <m:rPr>
                  <m:sty m:val="p"/>
                </m:rPr>
                <m:t>−</m:t>
              </m:r>
              <m:r>
                <m:t>0.011</m:t>
              </m:r>
            </m:e>
          </m:d>
        </m:oMath>
      </m:oMathPara>
    </w:p>
    <w:p>
      <w:pPr>
        <w:pStyle w:val="FirstParagraph"/>
      </w:pPr>
      <w:r>
        <w:t xml:space="preserve">This indicates lower perceived utility of GenAI at the editing stage among Intermediate learners relative to the Advanced reference cell, controlling for the remaining model terms. All other two-way terms were non-significant. All eight three-way interaction terms were also non-significant (</w:t>
      </w:r>
      <m:oMath>
        <m:r>
          <m:t>β</m:t>
        </m:r>
      </m:oMath>
      <w:r>
        <w:t xml:space="preserve"> </w:t>
      </w:r>
      <w:r>
        <w:t xml:space="preserve">= 0.191–0.396,</w:t>
      </w:r>
      <w:r>
        <w:t xml:space="preserve"> </w:t>
      </w:r>
      <m:oMath>
        <m:r>
          <m:t>p</m:t>
        </m:r>
      </m:oMath>
      <w:r>
        <w:t xml:space="preserve"> </w:t>
      </w:r>
      <w:r>
        <w:t xml:space="preserve">= .123–.458), so the manuscript does not support a proficiency-dependent differentiation of the full stage × strand profile (S1, §4).</w:t>
      </w:r>
    </w:p>
    <w:bookmarkStart w:id="30" w:name="table-d1"/>
    <w:p>
      <w:pPr>
        <w:pStyle w:val="Heading2"/>
      </w:pPr>
      <w:r>
        <w:t xml:space="preserve">5.1 Table D1</w:t>
      </w:r>
    </w:p>
    <w:p>
      <w:pPr>
        <w:pStyle w:val="FirstParagraph"/>
      </w:pPr>
      <w:r>
        <w:rPr>
          <w:iCs/>
          <w:i/>
        </w:rPr>
        <w:t xml:space="preserve">Key fixed-effect estimates from the LMM (</w:t>
      </w:r>
      <m:oMath>
        <m:r>
          <m:t>N</m:t>
        </m:r>
        <m:r>
          <m:rPr>
            <m:sty m:val="p"/>
          </m:rPr>
          <m:t>=</m:t>
        </m:r>
        <m:r>
          <m:t>100</m:t>
        </m:r>
      </m:oMath>
      <w:r>
        <w:rPr>
          <w:iCs/>
          <w:i/>
        </w:rPr>
        <w:t xml:space="preserve">; 900 observations; reference: Advanced, Drafting, Critical)</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Parameter</w:t>
            </w:r>
          </w:p>
        </w:tc>
        <w:tc>
          <w:tcPr/>
          <w:p>
            <w:pPr>
              <w:pStyle w:val="Compact"/>
              <w:jc w:val="center"/>
            </w:pPr>
            <m:oMath>
              <m:r>
                <m:t>β</m:t>
              </m:r>
            </m:oMath>
          </w:p>
        </w:tc>
        <w:tc>
          <w:tcPr/>
          <w:p>
            <w:pPr>
              <w:pStyle w:val="Compact"/>
              <w:jc w:val="center"/>
            </w:pPr>
            <m:oMath>
              <m:r>
                <m:t>S</m:t>
              </m:r>
              <m:r>
                <m:t>E</m:t>
              </m:r>
            </m:oMath>
          </w:p>
        </w:tc>
        <w:tc>
          <w:tcPr/>
          <w:p>
            <w:pPr>
              <w:pStyle w:val="Compact"/>
              <w:jc w:val="center"/>
            </w:pPr>
            <m:oMath>
              <m:r>
                <m:t>z</m:t>
              </m:r>
            </m:oMath>
          </w:p>
        </w:tc>
        <w:tc>
          <w:tcPr/>
          <w:p>
            <w:pPr>
              <w:pStyle w:val="Compact"/>
              <w:jc w:val="center"/>
            </w:pPr>
            <m:oMath>
              <m:r>
                <m:t>p</m:t>
              </m:r>
            </m:oMath>
          </w:p>
        </w:tc>
        <w:tc>
          <w:tcPr/>
          <w:p>
            <w:pPr>
              <w:pStyle w:val="Compact"/>
              <w:jc w:val="center"/>
            </w:pPr>
            <w:r>
              <w:t xml:space="preserve">95% CI</w:t>
            </w:r>
          </w:p>
        </w:tc>
      </w:tr>
      <w:tr>
        <w:tc>
          <w:tcPr/>
          <w:p>
            <w:pPr>
              <w:pStyle w:val="Compact"/>
              <w:jc w:val="left"/>
            </w:pPr>
            <w:r>
              <w:t xml:space="preserve">(Intercept)</w:t>
            </w:r>
          </w:p>
        </w:tc>
        <w:tc>
          <w:tcPr/>
          <w:p>
            <w:pPr>
              <w:pStyle w:val="Compact"/>
              <w:jc w:val="center"/>
            </w:pPr>
            <w:r>
              <w:t xml:space="preserve">3.354</w:t>
            </w:r>
          </w:p>
        </w:tc>
        <w:tc>
          <w:tcPr/>
          <w:p>
            <w:pPr>
              <w:pStyle w:val="Compact"/>
              <w:jc w:val="center"/>
            </w:pPr>
            <w:r>
              <w:t xml:space="preserve">0.167</w:t>
            </w:r>
          </w:p>
        </w:tc>
        <w:tc>
          <w:tcPr/>
          <w:p>
            <w:pPr>
              <w:pStyle w:val="Compact"/>
              <w:jc w:val="center"/>
            </w:pPr>
            <w:r>
              <w:t xml:space="preserve">20.12</w:t>
            </w:r>
          </w:p>
        </w:tc>
        <w:tc>
          <w:tcPr/>
          <w:p>
            <w:pPr>
              <w:pStyle w:val="Compact"/>
              <w:jc w:val="center"/>
            </w:pPr>
            <w:r>
              <w:t xml:space="preserve">&lt;.001</w:t>
            </w:r>
          </w:p>
        </w:tc>
        <w:tc>
          <w:tcPr/>
          <w:p>
            <w:pPr>
              <w:pStyle w:val="Compact"/>
              <w:jc w:val="center"/>
            </w:pPr>
            <w:r>
              <w:t xml:space="preserve">[3.027, 3.681]</w:t>
            </w:r>
          </w:p>
        </w:tc>
      </w:tr>
      <w:tr>
        <w:tc>
          <w:tcPr/>
          <w:p>
            <w:pPr>
              <w:pStyle w:val="Compact"/>
              <w:jc w:val="left"/>
            </w:pPr>
            <w:r>
              <w:t xml:space="preserve">Proficiency: Intermediate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n.s.</w:t>
            </w:r>
          </w:p>
        </w:tc>
        <w:tc>
          <w:tcPr/>
          <w:p>
            <w:pPr>
              <w:pStyle w:val="Compact"/>
              <w:jc w:val="center"/>
            </w:pPr>
            <w:r>
              <w:t xml:space="preserve">—</w:t>
            </w:r>
          </w:p>
        </w:tc>
      </w:tr>
      <w:tr>
        <w:tc>
          <w:tcPr/>
          <w:p>
            <w:pPr>
              <w:pStyle w:val="Compact"/>
              <w:jc w:val="left"/>
            </w:pPr>
            <w:r>
              <w:t xml:space="preserve">Proficiency: Upper-Intermediate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n.s.</w:t>
            </w:r>
          </w:p>
        </w:tc>
        <w:tc>
          <w:tcPr/>
          <w:p>
            <w:pPr>
              <w:pStyle w:val="Compact"/>
              <w:jc w:val="center"/>
            </w:pPr>
            <w:r>
              <w:t xml:space="preserve">—</w:t>
            </w:r>
          </w:p>
        </w:tc>
      </w:tr>
      <w:tr>
        <w:tc>
          <w:tcPr/>
          <w:p>
            <w:pPr>
              <w:pStyle w:val="Compact"/>
              <w:jc w:val="left"/>
            </w:pPr>
            <w:r>
              <w:t xml:space="preserve">Stage: Pre-writing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n.s.</w:t>
            </w:r>
          </w:p>
        </w:tc>
        <w:tc>
          <w:tcPr/>
          <w:p>
            <w:pPr>
              <w:pStyle w:val="Compact"/>
              <w:jc w:val="center"/>
            </w:pPr>
            <w:r>
              <w:t xml:space="preserve">—</w:t>
            </w:r>
          </w:p>
        </w:tc>
      </w:tr>
      <w:tr>
        <w:tc>
          <w:tcPr/>
          <w:p>
            <w:pPr>
              <w:pStyle w:val="Compact"/>
              <w:jc w:val="left"/>
            </w:pPr>
            <w:r>
              <w:t xml:space="preserve">Stage: Editing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n.s.</w:t>
            </w:r>
          </w:p>
        </w:tc>
        <w:tc>
          <w:tcPr/>
          <w:p>
            <w:pPr>
              <w:pStyle w:val="Compact"/>
              <w:jc w:val="center"/>
            </w:pPr>
            <w:r>
              <w:t xml:space="preserve">—</w:t>
            </w:r>
          </w:p>
        </w:tc>
      </w:tr>
      <w:tr>
        <w:tc>
          <w:tcPr/>
          <w:p>
            <w:pPr>
              <w:pStyle w:val="Compact"/>
              <w:jc w:val="left"/>
            </w:pPr>
            <w:r>
              <w:t xml:space="preserve">Strand: Linguistic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n.s.</w:t>
            </w:r>
          </w:p>
        </w:tc>
        <w:tc>
          <w:tcPr/>
          <w:p>
            <w:pPr>
              <w:pStyle w:val="Compact"/>
              <w:jc w:val="center"/>
            </w:pPr>
            <w:r>
              <w:t xml:space="preserve">—</w:t>
            </w:r>
          </w:p>
        </w:tc>
      </w:tr>
      <w:tr>
        <w:tc>
          <w:tcPr/>
          <w:p>
            <w:pPr>
              <w:pStyle w:val="Compact"/>
              <w:jc w:val="left"/>
            </w:pPr>
            <w:r>
              <w:t xml:space="preserve">Strand: Strategic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n.s.</w:t>
            </w:r>
          </w:p>
        </w:tc>
        <w:tc>
          <w:tcPr/>
          <w:p>
            <w:pPr>
              <w:pStyle w:val="Compact"/>
              <w:jc w:val="center"/>
            </w:pPr>
            <w:r>
              <w:t xml:space="preserve">—</w:t>
            </w:r>
          </w:p>
        </w:tc>
      </w:tr>
      <w:tr>
        <w:tc>
          <w:tcPr/>
          <w:p>
            <w:pPr>
              <w:pStyle w:val="Compact"/>
              <w:jc w:val="left"/>
            </w:pPr>
            <w:r>
              <w:rPr>
                <w:bCs/>
                <w:b/>
              </w:rPr>
              <w:t xml:space="preserve">Intermediate × Editing</w:t>
            </w:r>
          </w:p>
        </w:tc>
        <w:tc>
          <w:tcPr/>
          <w:p>
            <w:pPr>
              <w:pStyle w:val="Compact"/>
              <w:jc w:val="center"/>
            </w:pPr>
            <w:r>
              <w:rPr>
                <w:bCs/>
                <w:b/>
              </w:rPr>
              <w:t xml:space="preserve">−0.358</w:t>
            </w:r>
          </w:p>
        </w:tc>
        <w:tc>
          <w:tcPr/>
          <w:p>
            <w:pPr>
              <w:pStyle w:val="Compact"/>
              <w:jc w:val="center"/>
            </w:pPr>
            <w:r>
              <w:rPr>
                <w:bCs/>
                <w:b/>
              </w:rPr>
              <w:t xml:space="preserve">0.177</w:t>
            </w:r>
          </w:p>
        </w:tc>
        <w:tc>
          <w:tcPr/>
          <w:p>
            <w:pPr>
              <w:pStyle w:val="Compact"/>
              <w:jc w:val="center"/>
            </w:pPr>
            <w:r>
              <w:rPr>
                <w:bCs/>
                <w:b/>
              </w:rPr>
              <w:t xml:space="preserve">−2.02</w:t>
            </w:r>
          </w:p>
        </w:tc>
        <w:tc>
          <w:tcPr/>
          <w:p>
            <w:pPr>
              <w:pStyle w:val="Compact"/>
              <w:jc w:val="center"/>
            </w:pPr>
            <w:r>
              <w:rPr>
                <w:bCs/>
                <w:b/>
              </w:rPr>
              <w:t xml:space="preserve">.043</w:t>
            </w:r>
          </w:p>
        </w:tc>
        <w:tc>
          <w:tcPr/>
          <w:p>
            <w:pPr>
              <w:pStyle w:val="Compact"/>
              <w:jc w:val="center"/>
            </w:pPr>
            <w:r>
              <w:rPr>
                <w:bCs/>
                <w:b/>
              </w:rPr>
              <w:t xml:space="preserve">[−0.706, −0.011]</w:t>
            </w:r>
          </w:p>
        </w:tc>
      </w:tr>
      <w:tr>
        <w:tc>
          <w:tcPr/>
          <w:p>
            <w:pPr>
              <w:pStyle w:val="Compact"/>
              <w:jc w:val="left"/>
            </w:pPr>
            <w:r>
              <w:t xml:space="preserve">Three-way terms (8)</w:t>
            </w:r>
          </w:p>
        </w:tc>
        <w:tc>
          <w:tcPr/>
          <w:p>
            <w:pPr>
              <w:pStyle w:val="Compact"/>
              <w:jc w:val="center"/>
            </w:pPr>
            <w:r>
              <w:t xml:space="preserve">0.191–0.396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.123–.458</w:t>
            </w:r>
          </w:p>
        </w:tc>
        <w:tc>
          <w:tcPr/>
          <w:p>
            <w:pPr>
              <w:pStyle w:val="Compact"/>
              <w:jc w:val="center"/>
            </w:pPr>
            <w:r>
              <w:t xml:space="preserve">—</w:t>
            </w:r>
          </w:p>
        </w:tc>
      </w:tr>
    </w:tbl>
    <w:p>
      <w:pPr>
        <w:pStyle w:val="BodyText"/>
      </w:pPr>
      <w:r>
        <w:rPr>
          <w:iCs/>
          <w:i/>
        </w:rPr>
        <w:t xml:space="preserve">Note.</w:t>
      </w:r>
      <w:r>
        <w:t xml:space="preserve"> </w:t>
      </w:r>
      <w:r>
        <w:t xml:space="preserve">Only coefficients reported in the manuscript’s results section are shown numerically; the remaining main-effect estimates were non-significant (</w:t>
      </w:r>
      <m:oMath>
        <m:r>
          <m:t>p</m:t>
        </m:r>
      </m:oMath>
      <w:r>
        <w:t xml:space="preserve"> </w:t>
      </w:r>
      <w:r>
        <w:t xml:space="preserve">= .115–.661) and are summarized above rather than reconstructed here. Multiple-comparison-adjusted post-hoc contrasts were planned per §3.10 of the manuscript (S1).</w:t>
      </w:r>
    </w:p>
    <w:p>
      <w:pPr>
        <w:pStyle w:val="BodyText"/>
      </w:pPr>
      <w:r>
        <w:rPr>
          <w:bCs/>
          <w:b/>
        </w:rPr>
        <w:t xml:space="preserve">Variance components and partitioning.</w:t>
      </w:r>
      <w:r>
        <w:t xml:space="preserve"> </w:t>
      </w:r>
      <w:r>
        <w:t xml:space="preserve">The participant random-inter00}  </w:t>
      </w:r>
      <m:oMath>
        <m:sSub>
          <m:e>
            <m:r>
              <m:t>τ</m:t>
            </m:r>
          </m:e>
          <m:sub>
            <m:r>
              <m:t>00</m:t>
            </m:r>
          </m:sub>
        </m:sSub>
        <m:r>
          <m:rPr>
            <m:sty m:val="p"/>
          </m:rPr>
          <m:t>≈</m:t>
        </m:r>
        <m:r>
          <m:t>0.41</m:t>
        </m:r>
      </m:oMath>
      <w:r>
        <w:t xml:space="preserve"> </w:t>
      </w:r>
      <w:r>
        <w:t xml:space="preserve">and the residual variance</w:t>
      </w:r>
      <w:r>
        <w:t xml:space="preserve"> </w:t>
      </w:r>
      <m:oMath>
        <m:sSup>
          <m:e>
            <m:r>
              <m:t>σ</m:t>
            </m:r>
          </m:e>
          <m:sup>
            <m:r>
              <m:t>2</m:t>
            </m:r>
          </m:sup>
        </m:sSup>
        <m:r>
          <m:rPr>
            <m:sty m:val="p"/>
          </m:rPr>
          <m:t>≈</m:t>
        </m:r>
        <m:r>
          <m:t>0.23</m:t>
        </m:r>
      </m:oMath>
      <w:r>
        <w:t xml:space="preserve">. Following the variance-partitioning approach recommended by LEVEL (S3), the variance partition coefficient is</w:t>
      </w:r>
    </w:p>
    <w:p>
      <w:pPr>
        <w:pStyle w:val="BodyText"/>
      </w:pPr>
      <m:oMathPara>
        <m:oMathParaPr>
          <m:jc m:val="center"/>
        </m:oMathParaPr>
        <m:oMath>
          <m:r>
            <m:rPr>
              <m:nor/>
              <m:sty m:val="p"/>
            </m:rPr>
            <m:t>VPC</m:t>
          </m:r>
          <m:r>
            <m:rPr>
              <m:sty m:val="p"/>
            </m:rPr>
            <m:t>=</m:t>
          </m:r>
          <m:f>
            <m:fPr>
              <m:type m:val="bar"/>
            </m:fPr>
            <m:num>
              <m:sSub>
                <m:e>
                  <m:r>
                    <m:t>τ</m:t>
                  </m:r>
                </m:e>
                <m:sub>
                  <m:r>
                    <m:t>00</m:t>
                  </m:r>
                </m:sub>
              </m:sSub>
            </m:num>
            <m:den>
              <m:sSub>
                <m:e>
                  <m:r>
                    <m:t>τ</m:t>
                  </m:r>
                </m:e>
                <m:sub>
                  <m:r>
                    <m:t>00</m:t>
                  </m:r>
                </m:sub>
              </m:sSub>
              <m:r>
                <m:rPr>
                  <m:sty m:val="p"/>
                </m:rPr>
                <m:t>+</m:t>
              </m:r>
              <m:sSup>
                <m:e>
                  <m:r>
                    <m:t>σ</m:t>
                  </m:r>
                </m:e>
                <m:sup>
                  <m:r>
                    <m:t>2</m:t>
                  </m:r>
                </m:sup>
              </m:sSup>
            </m:den>
          </m:f>
          <m:r>
            <m:rPr>
              <m:sty m:val="p"/>
            </m:rPr>
            <m:t>≈</m:t>
          </m:r>
          <m:f>
            <m:fPr>
              <m:type m:val="bar"/>
            </m:fPr>
            <m:num>
              <m:r>
                <m:t>0.41</m:t>
              </m:r>
            </m:num>
            <m:den>
              <m:r>
                <m:t>0.41</m:t>
              </m:r>
              <m:r>
                <m:rPr>
                  <m:sty m:val="p"/>
                </m:rPr>
                <m:t>+</m:t>
              </m:r>
              <m:r>
                <m:t>0.23</m:t>
              </m:r>
            </m:den>
          </m:f>
          <m:r>
            <m:rPr>
              <m:sty m:val="p"/>
            </m:rPr>
            <m:t>≈</m:t>
          </m:r>
          <m:r>
            <m:t>0.64</m:t>
          </m:r>
          <m:r>
            <m:rPr>
              <m:sty m:val="p"/>
            </m:rPr>
            <m:t>,</m:t>
          </m:r>
        </m:oMath>
      </m:oMathPara>
    </w:p>
    <w:p>
      <w:pPr>
        <w:pStyle w:val="FirstParagraph"/>
      </w:pPr>
      <w:r>
        <w:t xml:space="preserve">indicating that roughly 64% of the unexplained variation in engagement scores is attributable to stable between-participant differences. The manuscript does not report</w:t>
      </w:r>
      <w:r>
        <w:t xml:space="preserve"> </w:t>
      </w:r>
      <m:oMath>
        <m:sSubSup>
          <m:e>
            <m:r>
              <m:t>R</m:t>
            </m:r>
          </m:e>
          <m:sub>
            <m:r>
              <m:t>m</m:t>
            </m:r>
          </m:sub>
          <m:sup>
            <m:r>
              <m:t>2</m:t>
            </m:r>
          </m:sup>
        </m:sSubSup>
      </m:oMath>
      <w:r>
        <w:t xml:space="preserve">/</w:t>
      </w:r>
      <m:oMath>
        <m:sSubSup>
          <m:e>
            <m:r>
              <m:t>R</m:t>
            </m:r>
          </m:e>
          <m:sub>
            <m:r>
              <m:t>c</m:t>
            </m:r>
          </m:sub>
          <m:sup>
            <m:r>
              <m:t>2</m:t>
            </m:r>
          </m:sup>
        </m:sSubSup>
      </m:oMath>
      <w:r>
        <w:t xml:space="preserve"> </w:t>
      </w:r>
      <w:r>
        <w:t xml:space="preserve">or an ICC statistic by name; reviewers requiring these can obtain them from the fitted model using standard formulas, but they are deliberately not fabricated here.</w:t>
      </w:r>
    </w:p>
    <w:bookmarkEnd w:id="30"/>
    <w:bookmarkEnd w:id="31"/>
    <w:bookmarkStart w:id="35" w:name="X93c4b675404549022c5dc92b524dbd1bda1912a"/>
    <w:p>
      <w:pPr>
        <w:pStyle w:val="Heading1"/>
      </w:pPr>
      <w:r>
        <w:t xml:space="preserve">6 Appendix E. Data structure, missingness, and reproducibility constraints</w:t>
      </w:r>
    </w:p>
    <w:bookmarkStart w:id="32" w:name="e1.-deposited-data"/>
    <w:p>
      <w:pPr>
        <w:pStyle w:val="Heading2"/>
      </w:pPr>
      <w:r>
        <w:t xml:space="preserve">6.1 E1. Deposited data</w:t>
      </w:r>
    </w:p>
    <w:p>
      <w:pPr>
        <w:pStyle w:val="FirstParagraph"/>
      </w:pPr>
      <w:r>
        <w:t xml:space="preserve">The reproducibility package centers on the participant-level file</w:t>
      </w:r>
      <w:r>
        <w:t xml:space="preserve"> </w:t>
      </w:r>
      <w:r>
        <w:rPr>
          <w:rStyle w:val="VerbatimChar"/>
        </w:rPr>
        <w:t xml:space="preserve">survey_raw_data.csv</w:t>
      </w:r>
      <w:r>
        <w:t xml:space="preserve"> </w:t>
      </w:r>
      <w:r>
        <w:t xml:space="preserve">(</w:t>
      </w:r>
      <m:oMath>
        <m:r>
          <m:t>N</m:t>
        </m:r>
        <m:r>
          <m:rPr>
            <m:sty m:val="p"/>
          </m:rPr>
          <m:t>=</m:t>
        </m:r>
        <m:r>
          <m:t>100</m:t>
        </m:r>
      </m:oMath>
      <w:r>
        <w:t xml:space="preserve">; 18 columns: ParticipantID, Age, Gender, Major, Proficiency, nine stage–strand scores, three stage composites, WritingScore), from which a complete-case long format of 900 rows can be derived deterministically. All composites in the file were verified to equal the row mean of the corresponding strand scores (maximum deviation 0.0067, attributable to rounding) (S2).</w:t>
      </w:r>
    </w:p>
    <w:bookmarkEnd w:id="32"/>
    <w:bookmarkStart w:id="33" w:name="X2d953a1dfef359e980af55c28c6056433822de6"/>
    <w:p>
      <w:pPr>
        <w:pStyle w:val="Heading2"/>
      </w:pPr>
      <w:r>
        <w:t xml:space="preserve">6.2 E2. Mixed-methods components not present in the dataset</w:t>
      </w:r>
    </w:p>
    <w:p>
      <w:pPr>
        <w:pStyle w:val="FirstParagraph"/>
      </w:pPr>
      <w:r>
        <w:t xml:space="preserve">The study design was a convergent mixed-methods study combining the quantitative survey with prompt logs and semi-structured interviews (S1, §3). The qualitative components and the participants’ item-level questionnaire responses were not part of the deposited dataset; consequently, thematic results can be consulted only in the manuscript itself, and internal-consistency statistics cannot be recomputed from the deposited data (S1, §5.9).</w:t>
      </w:r>
    </w:p>
    <w:bookmarkEnd w:id="33"/>
    <w:bookmarkStart w:id="34" w:name="X8a171b93be6060633f853395896b4cfa2bc4eea"/>
    <w:p>
      <w:pPr>
        <w:pStyle w:val="Heading2"/>
      </w:pPr>
      <w:r>
        <w:t xml:space="preserve">6.3 E3. Reproducibility constraints and recommended extensions</w:t>
      </w:r>
    </w:p>
    <w:p>
      <w:pPr>
        <w:pStyle w:val="FirstParagraph"/>
      </w:pPr>
      <w:r>
        <w:t xml:space="preserve">Three constraints, mirroring the manuscript’s own limitations, bound what can be reproduced: (1) composite-only scoring precludes reliability estimation and factor-structure checks; (2) no direct behavioral measure of agency exists—future work should combine self-report with keystroke logging, screen recordings, revision histories, prompt histories, and AI interaction logs; and (3) the cross-sectional design precludes causal claims about the editing–performance association (S1, §5.9). The manuscript further recommends replication across task types, genres, and AI models. Any</w:t>
      </w:r>
      <w:r>
        <w:t xml:space="preserve"> </w:t>
      </w:r>
      <m:oMath>
        <m:sSup>
          <m:e>
            <m:r>
              <m:t>R</m:t>
            </m:r>
          </m:e>
          <m:sup>
            <m:r>
              <m:t>2</m:t>
            </m:r>
          </m:sup>
        </m:sSup>
      </m:oMath>
      <w:r>
        <w:t xml:space="preserve"> </w:t>
      </w:r>
      <w:r>
        <w:t xml:space="preserve">or ICC values beyond those derivable in Appendix D should be computed from a refit of the specified model rather than taken from secondary summaries.</w:t>
      </w:r>
    </w:p>
    <w:bookmarkEnd w:id="34"/>
    <w:bookmarkEnd w:id="35"/>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azirmatn">
    <w:family w:val="swiss"/>
    <w:pitch w:val="variable"/>
    <w:embedRegular r:id="rIdGapGPTVazirmatnRegular" w:fontKey="{A87ED5A0-4333-5524-8E0F-8F6D12030A04}"/>
    <w:embedBold r:id="rIdGapGPTVazirmatnBold" w:fontKey="{E6192C94-7E0A-5DFF-9A54-21492B366F4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Vazirmatn" w:cs="Vazirmatn"/>
        <w:color w:val="808080"/>
        <w:sz w:val="18"/>
        <w:szCs w:val="18"/>
      </w:rPr>
      <w:t>Supplementary Material for “Beyond Proficiency: Unpacking Cognitive Engagement with Generative AI Across the L2 Writing Process”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embedTrueTypeFonts w:val="true"/>
  <w:saveSubsetFonts w:val="true"/>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Vazirmatn" w:cs="Vazirmat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83" w:lineRule="auto"/>
      <w:ind w:firstLine="360"/>
      <w:jc w:val="both"/>
    </w:pPr>
    <w:rPr>
      <w:rFonts w:ascii="Times New Roman" w:hAnsi="Times New Roman" w:eastAsia="Vazirmatn" w:cs="Vazirmatn"/>
      <w:sz w:val="24"/>
      <w:szCs w:val="24"/>
    </w:rPr>
  </w:style>
  <w:style w:styleId="BodyText" w:type="paragraph">
    <w:name w:val="Body Text"/>
    <w:basedOn w:val="Normal"/>
    <w:link w:val="BodyTextChar"/>
    <w:pPr>
      <w:spacing w:after="0" w:before="0" w:line="283" w:lineRule="auto"/>
      <w:ind w:firstLine="360"/>
      <w:jc w:val="both"/>
    </w:pPr>
    <w:qFormat/>
    <w:rPr>
      <w:rFonts w:ascii="Times New Roman" w:hAnsi="Times New Roman" w:eastAsia="Vazirmatn" w:cs="Vazirmatn"/>
      <w:sz w:val="24"/>
      <w:szCs w:val="24"/>
    </w:rPr>
  </w:style>
  <w:style w:customStyle="1" w:styleId="FirstParagraph" w:type="paragraph">
    <w:name w:val="First Paragraph"/>
    <w:basedOn w:val="BodyText"/>
    <w:next w:val="BodyText"/>
    <w:qFormat/>
    <w:pPr>
      <w:spacing w:before="0" w:after="0" w:line="283" w:lineRule="auto"/>
      <w:ind w:firstLine="360"/>
      <w:jc w:val="both"/>
    </w:pPr>
    <w:rPr>
      <w:rFonts w:ascii="Times New Roman" w:hAnsi="Times New Roman" w:eastAsia="Vazirmatn" w:cs="Vazirmatn"/>
      <w:sz w:val="24"/>
      <w:szCs w:val="24"/>
    </w:rPr>
  </w:style>
  <w:style w:customStyle="1" w:styleId="Compact" w:type="paragraph">
    <w:name w:val="Compact"/>
    <w:basedOn w:val="BodyText"/>
    <w:qFormat/>
    <w:pPr>
      <w:spacing w:after="0" w:before="0" w:line="283" w:lineRule="auto"/>
      <w:ind w:firstLine="360"/>
      <w:jc w:val="both"/>
    </w:pPr>
    <w:rPr>
      <w:rFonts w:ascii="Times New Roman" w:hAnsi="Times New Roman" w:eastAsia="Vazirmatn" w:cs="Vazirmatn"/>
      <w:sz w:val="24"/>
      <w:szCs w:val="24"/>
    </w:rPr>
  </w:style>
  <w:style w:styleId="Title" w:type="paragraph">
    <w:name w:val="Title"/>
    <w:basedOn w:val="Normal"/>
    <w:next w:val="BodyText"/>
    <w:qFormat/>
    <w:pPr>
      <w:keepNext/>
      <w:keepLines/>
      <w:spacing w:after="80" w:before="0"/>
      <w:jc w:val="center"/>
    </w:pPr>
    <w:rPr>
      <w:rFonts w:ascii="Times New Roman" w:hAnsi="Times New Roman" w:eastAsia="Vazirmatn" w:cs="Vazirmatn"/>
      <w:b/>
      <w:bCs w:val="1"/>
      <w:color w:val="111111"/>
      <w:sz w:val="37"/>
      <w:szCs w:val="37"/>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before="0" w:after="240"/>
      <w:jc w:val="center"/>
      <w:pBdr>
        <w:bottom w:val="single" w:sz="6" w:space="8" w:color="D1D5DB"/>
      </w:pBdr>
    </w:pPr>
    <w:rPr>
      <w:rFonts w:ascii="Times New Roman" w:hAnsi="Times New Roman" w:eastAsia="Vazirmatn" w:cs="Vazirmatn"/>
      <w:b w:val="0"/>
      <w:color w:val="6B7280"/>
      <w:sz w:val="22"/>
      <w:szCs w:val="22"/>
      <w:bCs w:val="0"/>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40"/>
      <w:jc w:val="left"/>
      <w:outlineLvl w:val="0"/>
    </w:pPr>
    <w:rPr>
      <w:rFonts w:ascii="Times New Roman" w:hAnsi="Times New Roman" w:eastAsia="Vazirmatn" w:cs="Vazirmatn"/>
      <w:b/>
      <w:bCs w:val="1"/>
      <w:color w:val="111111"/>
      <w:sz w:val="32"/>
      <w:szCs w:val="32"/>
    </w:rPr>
  </w:style>
  <w:style w:styleId="Heading2" w:type="paragraph">
    <w:name w:val="Heading 2"/>
    <w:basedOn w:val="Normal"/>
    <w:next w:val="BodyText"/>
    <w:uiPriority w:val="9"/>
    <w:unhideWhenUsed/>
    <w:qFormat/>
    <w:pPr>
      <w:keepNext/>
      <w:keepLines/>
      <w:spacing w:after="80" w:before="200"/>
      <w:jc w:val="left"/>
      <w:outlineLvl w:val="1"/>
    </w:pPr>
    <w:rPr>
      <w:rFonts w:ascii="Times New Roman" w:hAnsi="Times New Roman" w:eastAsia="Vazirmatn" w:cs="Vazirmatn"/>
      <w:b/>
      <w:bCs w:val="1"/>
      <w:color w:val="111111"/>
      <w:sz w:val="26"/>
      <w:szCs w:val="26"/>
    </w:rPr>
  </w:style>
  <w:style w:styleId="Heading3" w:type="paragraph">
    <w:name w:val="Heading 3"/>
    <w:basedOn w:val="Normal"/>
    <w:next w:val="BodyText"/>
    <w:uiPriority w:val="9"/>
    <w:unhideWhenUsed/>
    <w:qFormat/>
    <w:pPr>
      <w:keepNext/>
      <w:keepLines/>
      <w:spacing w:after="60" w:before="160"/>
      <w:jc w:val="left"/>
      <w:outlineLvl w:val="2"/>
    </w:pPr>
    <w:rPr>
      <w:rFonts w:ascii="Times New Roman" w:hAnsi="Times New Roman" w:eastAsia="Vazirmatn" w:cs="Vazirmatn"/>
      <w:b/>
      <w:bCs w:val="1"/>
      <w:color w:val="111111"/>
      <w:sz w:val="23"/>
      <w:szCs w:val="23"/>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Vazirmatn" w:cs="Vazirmat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Vazirmatn" w:cs="Vazirmat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Vazirmatn" w:cs="Vazirmat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Vazirmatn" w:cs="Vazirmat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Vazirmatn" w:cs="Vazirmat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Vazirmatn" w:cs="Vazirmat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before="200" w:line="259" w:lineRule="auto" w:after="120"/>
      <w:jc w:val="left"/>
      <w:outlineLvl w:val="9"/>
    </w:pPr>
    <w:rPr>
      <w:rFonts w:asciiTheme="majorHAnsi" w:cstheme="majorBidi" w:eastAsiaTheme="majorEastAsia" w:hAnsiTheme="majorHAnsi" w:ascii="Times New Roman" w:hAnsi="Times New Roman" w:eastAsia="Vazirmatn" w:cs="Vazirmatn"/>
      <w:b/>
      <w:bCs w:val="1"/>
      <w:color w:val="111111"/>
      <w:sz w:val="32"/>
      <w:szCs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ns0:Relationships xmlns:ns0="http://schemas.openxmlformats.org/package/2006/relationships"><ns0:Relationship Id="rIdGapGPTVazirmatnRegular" Type="http://schemas.openxmlformats.org/officeDocument/2006/relationships/font" Target="fonts/Vazirmatn-Regular.odttf"/><ns0:Relationship Id="rIdGapGPTVazirmatnBold" Type="http://schemas.openxmlformats.org/officeDocument/2006/relationships/font" Target="fonts/Vazirmatn-Bold.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“Beyond Proficiency: Unpacking Cognitive Engagement with Generative AI Across the L2 Writing Process”</dc:title>
  <dc:creator/>
  <cp:keywords/>
  <dcterms:created xsi:type="dcterms:W3CDTF">2026-09-07T05:39:30Z</dcterms:created>
  <dcterms:modified xsi:type="dcterms:W3CDTF">2026-09-07T05:39:30Z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2026-09-07</vt:lpwstr>
  </property>
  <property fmtid="{D5CDD505-2E9C-101B-9397-08002B2CF9AE}" pid="3" name="toc-title">
    <vt:lpwstr>Table of Contents</vt:lpwstr>
  </property>
</Properties>
</file>