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Vazirmatn" w:hAnsi="Vazirmatn" w:eastAsia="Vazirmatn" w:cs="Vazirmatn"/>
        </w:rPr>
        <w:t>Supplementary Appendices: S-D-S Intervention and EEG Study</w:t>
      </w:r>
    </w:p>
    <w:p>
      <w:pPr>
        <w:pStyle w:val="Date"/>
      </w:pPr>
      <w:r>
        <w:t xml:space="preserve">2026-09-21</w:t>
      </w:r>
    </w:p>
    <w:sdt>
      <w:sdtPr>
        <w:docPartObj>
          <w:docPartGallery w:val="Table of Contents"/>
          <w:docPartUnique/>
        </w:docPartObj>
      </w:sdtPr>
      <w:sdtContent>
        <w:p>
          <w:pPr>
            <w:pStyle w:val="TOCHeading"/>
          </w:pPr>
          <w:r>
            <w:t xml:space="preserve">Table of Contents</w:t>
          </w:r>
        </w:p>
        <w:p>
          <w:pPr>
            <w:jc w:val="left"/>
            <w:spacing w:after="60"/>
            <w:tabs>
              <w:tab w:val="right" w:leader="dot" w:pos="9000"/>
            </w:tabs>
          </w:pPr>
          <w:hyperlink w:anchor="X428aaa5771a5decd982b7135f3073517d62c20f" w:history="1">
            <w:r>
              <w:rPr>
                <w:sz w:val="21"/>
                <w:szCs w:val="21"/>
              </w:rPr>
              <w:t>1 Appendix A: Stimulus Set — Full 20 Vocabulary Triplets (60 Items)</w:t>
            </w:r>
          </w:hyperlink>
          <w:r>
            <w:tab/>
          </w:r>
          <w:fldSimple w:instr=" PAGEREF X428aaa5771a5decd982b7135f3073517d62c20f \h "/>
        </w:p>
        <w:p>
          <w:pPr>
            <w:jc w:val="left"/>
            <w:spacing w:after="60"/>
            <w:tabs>
              <w:tab w:val="right" w:leader="dot" w:pos="9000"/>
            </w:tabs>
          </w:pPr>
          <w:hyperlink w:anchor="Xf1e26491bba769f9c5144acf2ceeb9e9a83c34e" w:history="1">
            <w:r>
              <w:rPr>
                <w:sz w:val="21"/>
                <w:szCs w:val="21"/>
              </w:rPr>
              <w:t>2 Appendix B: Weekly S-D-S Intervention Curriculum (24 Weeks)</w:t>
            </w:r>
          </w:hyperlink>
          <w:r>
            <w:tab/>
          </w:r>
          <w:fldSimple w:instr=" PAGEREF Xf1e26491bba769f9c5144acf2ceeb9e9a83c34e \h "/>
        </w:p>
        <w:p>
          <w:pPr>
            <w:jc w:val="left"/>
            <w:spacing w:after="60"/>
            <w:tabs>
              <w:tab w:val="right" w:leader="dot" w:pos="9000"/>
            </w:tabs>
          </w:pPr>
          <w:hyperlink w:anchor="Xfdf9f213666989e74202d8f3ec78a5d4bacdeb3" w:history="1">
            <w:r>
              <w:rPr>
                <w:sz w:val="21"/>
                <w:szCs w:val="21"/>
              </w:rPr>
              <w:t>3 Appendix C: EEG Acquisition and Preprocessing Pipeline</w:t>
            </w:r>
          </w:hyperlink>
          <w:r>
            <w:tab/>
          </w:r>
          <w:fldSimple w:instr=" PAGEREF Xfdf9f213666989e74202d8f3ec78a5d4bacdeb3 \h "/>
        </w:p>
        <w:p>
          <w:pPr>
            <w:jc w:val="left"/>
            <w:spacing w:after="60"/>
            <w:tabs>
              <w:tab w:val="right" w:leader="dot" w:pos="9000"/>
            </w:tabs>
          </w:pPr>
          <w:hyperlink w:anchor="X11597abffaa3ada220fd297ec9a76695a834996" w:history="1">
            <w:r>
              <w:rPr>
                <w:sz w:val="21"/>
                <w:szCs w:val="21"/>
              </w:rPr>
              <w:t>4 Appendix D: Descriptive Statistics (Group × Time)</w:t>
            </w:r>
          </w:hyperlink>
          <w:r>
            <w:tab/>
          </w:r>
          <w:fldSimple w:instr=" PAGEREF X11597abffaa3ada220fd297ec9a76695a834996 \h "/>
        </w:p>
      </w:sdtContent>
    </w:sdt>
    <w:bookmarkStart w:id="20" w:name="X428aaa5771a5decd982b7135f3073517d62c20f"/>
    <w:p>
      <w:pPr>
        <w:pStyle w:val="Heading1"/>
      </w:pPr>
      <w:r>
        <w:t xml:space="preserve">1 Appendix A: Stimulus Set — Full 20 Vocabulary Triplets (60 Items)</w:t>
      </w:r>
    </w:p>
    <w:p>
      <w:pPr>
        <w:pStyle w:val="FirstParagraph"/>
      </w:pPr>
      <w:r>
        <w:t xml:space="preserve">Table A1 presents the complete stimulus set: 20 semantic-category triplets, each consisting of a trained Target item (T), a Matched Control item (C), and a Semantic Mismatch item (M), yielding 60 critical words in total. All items were drawn from intermediate-level (CEFR B1) vocabulary lists and met the following psycholinguistic screening criteria: moderate corpus frequency in the Corpus of Contemporary American English (COCA, 4.8–48.2 occurrences per million), high concreteness on the Brysbaert et al. norms (M-concreteness range 4.48–4.96 on a 5-point scale), and word length of 4–10 letters. Within each triplet, the three members were matched as closely as possible on length, frequency, and concreteness; the Mismatch item was selected to be semantically distant from the Target within the same superordinate domain, so that it would plausibly elicit elevated N400 amplitudes when substituted for the Target in recognition and verification trials. Assignment of items to the Target position within each triplet was counterbalanced across participants.</w:t>
      </w:r>
    </w:p>
    <w:p>
      <w:pPr>
        <w:pStyle w:val="BodyText"/>
      </w:pPr>
      <w:r>
        <w:rPr>
          <w:bCs/>
          <w:b/>
        </w:rPr>
        <w:t xml:space="preserve">Table A1.</w:t>
      </w:r>
      <w:r>
        <w:t xml:space="preserve"> </w:t>
      </w:r>
      <w:r>
        <w:t xml:space="preserve">Complete stimulus set with psycholinguistic properties and S-D-S visual scenario prompts.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Semantic domain</w:t>
            </w:r>
          </w:p>
        </w:tc>
        <w:tc>
          <w:tcPr/>
          <w:p>
            <w:pPr>
              <w:pStyle w:val="Compact"/>
              <w:jc w:val="left"/>
            </w:pPr>
            <w:r>
              <w:t xml:space="preserve">Trained Target (T)</w:t>
            </w:r>
          </w:p>
        </w:tc>
        <w:tc>
          <w:tcPr/>
          <w:p>
            <w:pPr>
              <w:pStyle w:val="Compact"/>
              <w:jc w:val="left"/>
            </w:pPr>
            <w:r>
              <w:t xml:space="preserve">Matched Control (C)</w:t>
            </w:r>
          </w:p>
        </w:tc>
        <w:tc>
          <w:tcPr/>
          <w:p>
            <w:pPr>
              <w:pStyle w:val="Compact"/>
              <w:jc w:val="left"/>
            </w:pPr>
            <w:r>
              <w:t xml:space="preserve">Semantic Mismatch (M)</w:t>
            </w:r>
          </w:p>
        </w:tc>
        <w:tc>
          <w:tcPr/>
          <w:p>
            <w:pPr>
              <w:pStyle w:val="Compact"/>
              <w:jc w:val="left"/>
            </w:pPr>
            <w:r>
              <w:t xml:space="preserve">Length (letters) T/C/M</w:t>
            </w:r>
          </w:p>
        </w:tc>
        <w:tc>
          <w:tcPr/>
          <w:p>
            <w:pPr>
              <w:pStyle w:val="Compact"/>
              <w:jc w:val="left"/>
            </w:pPr>
            <w:r>
              <w:t xml:space="preserve">Concreteness (Brysbaert) T/C/M</w:t>
            </w:r>
          </w:p>
        </w:tc>
        <w:tc>
          <w:tcPr/>
          <w:p>
            <w:pPr>
              <w:pStyle w:val="Compact"/>
              <w:jc w:val="left"/>
            </w:pPr>
            <w:r>
              <w:t xml:space="preserve">COCA frequency (per million) T/C/M</w:t>
            </w:r>
          </w:p>
        </w:tc>
        <w:tc>
          <w:tcPr/>
          <w:p>
            <w:pPr>
              <w:pStyle w:val="Compact"/>
              <w:jc w:val="left"/>
            </w:pPr>
            <w:r>
              <w:t xml:space="preserve">S-D-S visual scenario prompt</w:t>
            </w:r>
          </w:p>
        </w:tc>
      </w:tr>
      <w:tr>
        <w:tc>
          <w:tcPr/>
          <w:p>
            <w:pPr>
              <w:pStyle w:val="Compact"/>
              <w:jc w:val="left"/>
            </w:pPr>
            <w:r>
              <w:t xml:space="preserve">1</w:t>
            </w:r>
          </w:p>
        </w:tc>
        <w:tc>
          <w:tcPr/>
          <w:p>
            <w:pPr>
              <w:pStyle w:val="Compact"/>
              <w:jc w:val="left"/>
            </w:pPr>
            <w:r>
              <w:t xml:space="preserve">Navigation &amp; Tools</w:t>
            </w:r>
          </w:p>
        </w:tc>
        <w:tc>
          <w:tcPr/>
          <w:p>
            <w:pPr>
              <w:pStyle w:val="Compact"/>
              <w:jc w:val="left"/>
            </w:pPr>
            <w:r>
              <w:rPr>
                <w:bCs/>
                <w:b/>
              </w:rPr>
              <w:t xml:space="preserve">Compass</w:t>
            </w:r>
          </w:p>
        </w:tc>
        <w:tc>
          <w:tcPr/>
          <w:p>
            <w:pPr>
              <w:pStyle w:val="Compact"/>
              <w:jc w:val="left"/>
            </w:pPr>
            <w:r>
              <w:t xml:space="preserve">Lantern</w:t>
            </w:r>
          </w:p>
        </w:tc>
        <w:tc>
          <w:tcPr/>
          <w:p>
            <w:pPr>
              <w:pStyle w:val="Compact"/>
              <w:jc w:val="left"/>
            </w:pPr>
            <w:r>
              <w:t xml:space="preserve">Anchor</w:t>
            </w:r>
          </w:p>
        </w:tc>
        <w:tc>
          <w:tcPr/>
          <w:p>
            <w:pPr>
              <w:pStyle w:val="Compact"/>
              <w:jc w:val="left"/>
            </w:pPr>
            <w:r>
              <w:t xml:space="preserve">7 / 7 / 6</w:t>
            </w:r>
          </w:p>
        </w:tc>
        <w:tc>
          <w:tcPr/>
          <w:p>
            <w:pPr>
              <w:pStyle w:val="Compact"/>
              <w:jc w:val="left"/>
            </w:pPr>
            <w:r>
              <w:t xml:space="preserve">4.88 / 4.79 / 4.85</w:t>
            </w:r>
          </w:p>
        </w:tc>
        <w:tc>
          <w:tcPr/>
          <w:p>
            <w:pPr>
              <w:pStyle w:val="Compact"/>
              <w:jc w:val="left"/>
            </w:pPr>
            <w:r>
              <w:t xml:space="preserve">18.4 / 15.2 / 12.1</w:t>
            </w:r>
          </w:p>
        </w:tc>
        <w:tc>
          <w:tcPr/>
          <w:p>
            <w:pPr>
              <w:pStyle w:val="Compact"/>
              <w:jc w:val="left"/>
            </w:pPr>
            <w:r>
              <w:t xml:space="preserve">Hiker lost in fog checking needle alignment</w:t>
            </w:r>
          </w:p>
        </w:tc>
      </w:tr>
      <w:tr>
        <w:tc>
          <w:tcPr/>
          <w:p>
            <w:pPr>
              <w:pStyle w:val="Compact"/>
              <w:jc w:val="left"/>
            </w:pPr>
            <w:r>
              <w:t xml:space="preserve">2</w:t>
            </w:r>
          </w:p>
        </w:tc>
        <w:tc>
          <w:tcPr/>
          <w:p>
            <w:pPr>
              <w:pStyle w:val="Compact"/>
              <w:jc w:val="left"/>
            </w:pPr>
            <w:r>
              <w:t xml:space="preserve">Astronomy &amp; Science</w:t>
            </w:r>
          </w:p>
        </w:tc>
        <w:tc>
          <w:tcPr/>
          <w:p>
            <w:pPr>
              <w:pStyle w:val="Compact"/>
              <w:jc w:val="left"/>
            </w:pPr>
            <w:r>
              <w:rPr>
                <w:bCs/>
                <w:b/>
              </w:rPr>
              <w:t xml:space="preserve">Telescope</w:t>
            </w:r>
          </w:p>
        </w:tc>
        <w:tc>
          <w:tcPr/>
          <w:p>
            <w:pPr>
              <w:pStyle w:val="Compact"/>
              <w:jc w:val="left"/>
            </w:pPr>
            <w:r>
              <w:t xml:space="preserve">Microscope</w:t>
            </w:r>
          </w:p>
        </w:tc>
        <w:tc>
          <w:tcPr/>
          <w:p>
            <w:pPr>
              <w:pStyle w:val="Compact"/>
              <w:jc w:val="left"/>
            </w:pPr>
            <w:r>
              <w:t xml:space="preserve">Binoculars</w:t>
            </w:r>
          </w:p>
        </w:tc>
        <w:tc>
          <w:tcPr/>
          <w:p>
            <w:pPr>
              <w:pStyle w:val="Compact"/>
              <w:jc w:val="left"/>
            </w:pPr>
            <w:r>
              <w:t xml:space="preserve">9 / 10 / 10</w:t>
            </w:r>
          </w:p>
        </w:tc>
        <w:tc>
          <w:tcPr/>
          <w:p>
            <w:pPr>
              <w:pStyle w:val="Compact"/>
              <w:jc w:val="left"/>
            </w:pPr>
            <w:r>
              <w:t xml:space="preserve">4.82 / 4.86 / 4.84</w:t>
            </w:r>
          </w:p>
        </w:tc>
        <w:tc>
          <w:tcPr/>
          <w:p>
            <w:pPr>
              <w:pStyle w:val="Compact"/>
              <w:jc w:val="left"/>
            </w:pPr>
            <w:r>
              <w:t xml:space="preserve">14.1 / 16.8 / 11.5</w:t>
            </w:r>
          </w:p>
        </w:tc>
        <w:tc>
          <w:tcPr/>
          <w:p>
            <w:pPr>
              <w:pStyle w:val="Compact"/>
              <w:jc w:val="left"/>
            </w:pPr>
            <w:r>
              <w:t xml:space="preserve">Observing lunar craters from an observatory</w:t>
            </w:r>
          </w:p>
        </w:tc>
      </w:tr>
      <w:tr>
        <w:tc>
          <w:tcPr/>
          <w:p>
            <w:pPr>
              <w:pStyle w:val="Compact"/>
              <w:jc w:val="left"/>
            </w:pPr>
            <w:r>
              <w:t xml:space="preserve">3</w:t>
            </w:r>
          </w:p>
        </w:tc>
        <w:tc>
          <w:tcPr/>
          <w:p>
            <w:pPr>
              <w:pStyle w:val="Compact"/>
              <w:jc w:val="left"/>
            </w:pPr>
            <w:r>
              <w:t xml:space="preserve">Maritime &amp; Geography</w:t>
            </w:r>
          </w:p>
        </w:tc>
        <w:tc>
          <w:tcPr/>
          <w:p>
            <w:pPr>
              <w:pStyle w:val="Compact"/>
              <w:jc w:val="left"/>
            </w:pPr>
            <w:r>
              <w:rPr>
                <w:bCs/>
                <w:b/>
              </w:rPr>
              <w:t xml:space="preserve">Harbor</w:t>
            </w:r>
          </w:p>
        </w:tc>
        <w:tc>
          <w:tcPr/>
          <w:p>
            <w:pPr>
              <w:pStyle w:val="Compact"/>
              <w:jc w:val="left"/>
            </w:pPr>
            <w:r>
              <w:t xml:space="preserve">Island</w:t>
            </w:r>
          </w:p>
        </w:tc>
        <w:tc>
          <w:tcPr/>
          <w:p>
            <w:pPr>
              <w:pStyle w:val="Compact"/>
              <w:jc w:val="left"/>
            </w:pPr>
            <w:r>
              <w:t xml:space="preserve">Bridge</w:t>
            </w:r>
          </w:p>
        </w:tc>
        <w:tc>
          <w:tcPr/>
          <w:p>
            <w:pPr>
              <w:pStyle w:val="Compact"/>
              <w:jc w:val="left"/>
            </w:pPr>
            <w:r>
              <w:t xml:space="preserve">6 / 6 / 6</w:t>
            </w:r>
          </w:p>
        </w:tc>
        <w:tc>
          <w:tcPr/>
          <w:p>
            <w:pPr>
              <w:pStyle w:val="Compact"/>
              <w:jc w:val="left"/>
            </w:pPr>
            <w:r>
              <w:t xml:space="preserve">4.72 / 4.81 / 4.78</w:t>
            </w:r>
          </w:p>
        </w:tc>
        <w:tc>
          <w:tcPr/>
          <w:p>
            <w:pPr>
              <w:pStyle w:val="Compact"/>
              <w:jc w:val="left"/>
            </w:pPr>
            <w:r>
              <w:t xml:space="preserve">32.5 / 38.1 / 41.2</w:t>
            </w:r>
          </w:p>
        </w:tc>
        <w:tc>
          <w:tcPr/>
          <w:p>
            <w:pPr>
              <w:pStyle w:val="Compact"/>
              <w:jc w:val="left"/>
            </w:pPr>
            <w:r>
              <w:t xml:space="preserve">Cargo vessels docking at the quay during sunset</w:t>
            </w:r>
          </w:p>
        </w:tc>
      </w:tr>
      <w:tr>
        <w:tc>
          <w:tcPr/>
          <w:p>
            <w:pPr>
              <w:pStyle w:val="Compact"/>
              <w:jc w:val="left"/>
            </w:pPr>
            <w:r>
              <w:t xml:space="preserve">4</w:t>
            </w:r>
          </w:p>
        </w:tc>
        <w:tc>
          <w:tcPr/>
          <w:p>
            <w:pPr>
              <w:pStyle w:val="Compact"/>
              <w:jc w:val="left"/>
            </w:pPr>
            <w:r>
              <w:t xml:space="preserve">Weather &amp; Nature</w:t>
            </w:r>
          </w:p>
        </w:tc>
        <w:tc>
          <w:tcPr/>
          <w:p>
            <w:pPr>
              <w:pStyle w:val="Compact"/>
              <w:jc w:val="left"/>
            </w:pPr>
            <w:r>
              <w:rPr>
                <w:bCs/>
                <w:b/>
              </w:rPr>
              <w:t xml:space="preserve">Avalanche</w:t>
            </w:r>
          </w:p>
        </w:tc>
        <w:tc>
          <w:tcPr/>
          <w:p>
            <w:pPr>
              <w:pStyle w:val="Compact"/>
              <w:jc w:val="left"/>
            </w:pPr>
            <w:r>
              <w:t xml:space="preserve">Blizzard</w:t>
            </w:r>
          </w:p>
        </w:tc>
        <w:tc>
          <w:tcPr/>
          <w:p>
            <w:pPr>
              <w:pStyle w:val="Compact"/>
              <w:jc w:val="left"/>
            </w:pPr>
            <w:r>
              <w:t xml:space="preserve">Lightning</w:t>
            </w:r>
          </w:p>
        </w:tc>
        <w:tc>
          <w:tcPr/>
          <w:p>
            <w:pPr>
              <w:pStyle w:val="Compact"/>
              <w:jc w:val="left"/>
            </w:pPr>
            <w:r>
              <w:t xml:space="preserve">9 / 8 / 9</w:t>
            </w:r>
          </w:p>
        </w:tc>
        <w:tc>
          <w:tcPr/>
          <w:p>
            <w:pPr>
              <w:pStyle w:val="Compact"/>
              <w:jc w:val="left"/>
            </w:pPr>
            <w:r>
              <w:t xml:space="preserve">4.65 / 4.61 / 4.70</w:t>
            </w:r>
          </w:p>
        </w:tc>
        <w:tc>
          <w:tcPr/>
          <w:p>
            <w:pPr>
              <w:pStyle w:val="Compact"/>
              <w:jc w:val="left"/>
            </w:pPr>
            <w:r>
              <w:t xml:space="preserve">8.2 / 9.4 / 21.0</w:t>
            </w:r>
          </w:p>
        </w:tc>
        <w:tc>
          <w:tcPr/>
          <w:p>
            <w:pPr>
              <w:pStyle w:val="Compact"/>
              <w:jc w:val="left"/>
            </w:pPr>
            <w:r>
              <w:t xml:space="preserve">Snowmass violently descending a steep alpine slope</w:t>
            </w:r>
          </w:p>
        </w:tc>
      </w:tr>
      <w:tr>
        <w:tc>
          <w:tcPr/>
          <w:p>
            <w:pPr>
              <w:pStyle w:val="Compact"/>
              <w:jc w:val="left"/>
            </w:pPr>
            <w:r>
              <w:t xml:space="preserve">5</w:t>
            </w:r>
          </w:p>
        </w:tc>
        <w:tc>
          <w:tcPr/>
          <w:p>
            <w:pPr>
              <w:pStyle w:val="Compact"/>
              <w:jc w:val="left"/>
            </w:pPr>
            <w:r>
              <w:t xml:space="preserve">Culinary &amp; Kitchen</w:t>
            </w:r>
          </w:p>
        </w:tc>
        <w:tc>
          <w:tcPr/>
          <w:p>
            <w:pPr>
              <w:pStyle w:val="Compact"/>
              <w:jc w:val="left"/>
            </w:pPr>
            <w:r>
              <w:rPr>
                <w:bCs/>
                <w:b/>
              </w:rPr>
              <w:t xml:space="preserve">Blender</w:t>
            </w:r>
          </w:p>
        </w:tc>
        <w:tc>
          <w:tcPr/>
          <w:p>
            <w:pPr>
              <w:pStyle w:val="Compact"/>
              <w:jc w:val="left"/>
            </w:pPr>
            <w:r>
              <w:t xml:space="preserve">Whisk</w:t>
            </w:r>
          </w:p>
        </w:tc>
        <w:tc>
          <w:tcPr/>
          <w:p>
            <w:pPr>
              <w:pStyle w:val="Compact"/>
              <w:jc w:val="left"/>
            </w:pPr>
            <w:r>
              <w:t xml:space="preserve">Kettle</w:t>
            </w:r>
          </w:p>
        </w:tc>
        <w:tc>
          <w:tcPr/>
          <w:p>
            <w:pPr>
              <w:pStyle w:val="Compact"/>
              <w:jc w:val="left"/>
            </w:pPr>
            <w:r>
              <w:t xml:space="preserve">7 / 5 / 6</w:t>
            </w:r>
          </w:p>
        </w:tc>
        <w:tc>
          <w:tcPr/>
          <w:p>
            <w:pPr>
              <w:pStyle w:val="Compact"/>
              <w:jc w:val="left"/>
            </w:pPr>
            <w:r>
              <w:t xml:space="preserve">4.91 / 4.85 / 4.90</w:t>
            </w:r>
          </w:p>
        </w:tc>
        <w:tc>
          <w:tcPr/>
          <w:p>
            <w:pPr>
              <w:pStyle w:val="Compact"/>
              <w:jc w:val="left"/>
            </w:pPr>
            <w:r>
              <w:t xml:space="preserve">11.3 / 6.8 / 14.7</w:t>
            </w:r>
          </w:p>
        </w:tc>
        <w:tc>
          <w:tcPr/>
          <w:p>
            <w:pPr>
              <w:pStyle w:val="Compact"/>
              <w:jc w:val="left"/>
            </w:pPr>
            <w:r>
              <w:t xml:space="preserve">Pureeing fruit into a smoothie on the counter</w:t>
            </w:r>
          </w:p>
        </w:tc>
      </w:tr>
      <w:tr>
        <w:tc>
          <w:tcPr/>
          <w:p>
            <w:pPr>
              <w:pStyle w:val="Compact"/>
              <w:jc w:val="left"/>
            </w:pPr>
            <w:r>
              <w:t xml:space="preserve">6</w:t>
            </w:r>
          </w:p>
        </w:tc>
        <w:tc>
          <w:tcPr/>
          <w:p>
            <w:pPr>
              <w:pStyle w:val="Compact"/>
              <w:jc w:val="left"/>
            </w:pPr>
            <w:r>
              <w:t xml:space="preserve">Construction</w:t>
            </w:r>
          </w:p>
        </w:tc>
        <w:tc>
          <w:tcPr/>
          <w:p>
            <w:pPr>
              <w:pStyle w:val="Compact"/>
              <w:jc w:val="left"/>
            </w:pPr>
            <w:r>
              <w:rPr>
                <w:bCs/>
                <w:b/>
              </w:rPr>
              <w:t xml:space="preserve">Scaffold</w:t>
            </w:r>
          </w:p>
        </w:tc>
        <w:tc>
          <w:tcPr/>
          <w:p>
            <w:pPr>
              <w:pStyle w:val="Compact"/>
              <w:jc w:val="left"/>
            </w:pPr>
            <w:r>
              <w:t xml:space="preserve">Ladder</w:t>
            </w:r>
          </w:p>
        </w:tc>
        <w:tc>
          <w:tcPr/>
          <w:p>
            <w:pPr>
              <w:pStyle w:val="Compact"/>
              <w:jc w:val="left"/>
            </w:pPr>
            <w:r>
              <w:t xml:space="preserve">Pavement</w:t>
            </w:r>
          </w:p>
        </w:tc>
        <w:tc>
          <w:tcPr/>
          <w:p>
            <w:pPr>
              <w:pStyle w:val="Compact"/>
              <w:jc w:val="left"/>
            </w:pPr>
            <w:r>
              <w:t xml:space="preserve">8 / 6 / 8</w:t>
            </w:r>
          </w:p>
        </w:tc>
        <w:tc>
          <w:tcPr/>
          <w:p>
            <w:pPr>
              <w:pStyle w:val="Compact"/>
              <w:jc w:val="left"/>
            </w:pPr>
            <w:r>
              <w:t xml:space="preserve">4.69 / 4.83 / 4.65</w:t>
            </w:r>
          </w:p>
        </w:tc>
        <w:tc>
          <w:tcPr/>
          <w:p>
            <w:pPr>
              <w:pStyle w:val="Compact"/>
              <w:jc w:val="left"/>
            </w:pPr>
            <w:r>
              <w:t xml:space="preserve">7.9 / 24.5 / 19.3</w:t>
            </w:r>
          </w:p>
        </w:tc>
        <w:tc>
          <w:tcPr/>
          <w:p>
            <w:pPr>
              <w:pStyle w:val="Compact"/>
              <w:jc w:val="left"/>
            </w:pPr>
            <w:r>
              <w:t xml:space="preserve">Workers erecting metal frames against a facade</w:t>
            </w:r>
          </w:p>
        </w:tc>
      </w:tr>
      <w:tr>
        <w:tc>
          <w:tcPr/>
          <w:p>
            <w:pPr>
              <w:pStyle w:val="Compact"/>
              <w:jc w:val="left"/>
            </w:pPr>
            <w:r>
              <w:t xml:space="preserve">7</w:t>
            </w:r>
          </w:p>
        </w:tc>
        <w:tc>
          <w:tcPr/>
          <w:p>
            <w:pPr>
              <w:pStyle w:val="Compact"/>
              <w:jc w:val="left"/>
            </w:pPr>
            <w:r>
              <w:t xml:space="preserve">Archaeology &amp; Art</w:t>
            </w:r>
          </w:p>
        </w:tc>
        <w:tc>
          <w:tcPr/>
          <w:p>
            <w:pPr>
              <w:pStyle w:val="Compact"/>
              <w:jc w:val="left"/>
            </w:pPr>
            <w:r>
              <w:rPr>
                <w:bCs/>
                <w:b/>
              </w:rPr>
              <w:t xml:space="preserve">Artifact</w:t>
            </w:r>
          </w:p>
        </w:tc>
        <w:tc>
          <w:tcPr/>
          <w:p>
            <w:pPr>
              <w:pStyle w:val="Compact"/>
              <w:jc w:val="left"/>
            </w:pPr>
            <w:r>
              <w:t xml:space="preserve">Monument</w:t>
            </w:r>
          </w:p>
        </w:tc>
        <w:tc>
          <w:tcPr/>
          <w:p>
            <w:pPr>
              <w:pStyle w:val="Compact"/>
              <w:jc w:val="left"/>
            </w:pPr>
            <w:r>
              <w:t xml:space="preserve">Canvas</w:t>
            </w:r>
          </w:p>
        </w:tc>
        <w:tc>
          <w:tcPr/>
          <w:p>
            <w:pPr>
              <w:pStyle w:val="Compact"/>
              <w:jc w:val="left"/>
            </w:pPr>
            <w:r>
              <w:t xml:space="preserve">8 / 8 / 6</w:t>
            </w:r>
          </w:p>
        </w:tc>
        <w:tc>
          <w:tcPr/>
          <w:p>
            <w:pPr>
              <w:pStyle w:val="Compact"/>
              <w:jc w:val="left"/>
            </w:pPr>
            <w:r>
              <w:t xml:space="preserve">4.54 / 4.60 / 4.72</w:t>
            </w:r>
          </w:p>
        </w:tc>
        <w:tc>
          <w:tcPr/>
          <w:p>
            <w:pPr>
              <w:pStyle w:val="Compact"/>
              <w:jc w:val="left"/>
            </w:pPr>
            <w:r>
              <w:t xml:space="preserve">19.8 / 22.1 / 18.5</w:t>
            </w:r>
          </w:p>
        </w:tc>
        <w:tc>
          <w:tcPr/>
          <w:p>
            <w:pPr>
              <w:pStyle w:val="Compact"/>
              <w:jc w:val="left"/>
            </w:pPr>
            <w:r>
              <w:t xml:space="preserve">Unearthing ancient pottery shards in a trench</w:t>
            </w:r>
          </w:p>
        </w:tc>
      </w:tr>
      <w:tr>
        <w:tc>
          <w:tcPr/>
          <w:p>
            <w:pPr>
              <w:pStyle w:val="Compact"/>
              <w:jc w:val="left"/>
            </w:pPr>
            <w:r>
              <w:t xml:space="preserve">8</w:t>
            </w:r>
          </w:p>
        </w:tc>
        <w:tc>
          <w:tcPr/>
          <w:p>
            <w:pPr>
              <w:pStyle w:val="Compact"/>
              <w:jc w:val="left"/>
            </w:pPr>
            <w:r>
              <w:t xml:space="preserve">Medical &amp; Biology</w:t>
            </w:r>
          </w:p>
        </w:tc>
        <w:tc>
          <w:tcPr/>
          <w:p>
            <w:pPr>
              <w:pStyle w:val="Compact"/>
              <w:jc w:val="left"/>
            </w:pPr>
            <w:r>
              <w:rPr>
                <w:bCs/>
                <w:b/>
              </w:rPr>
              <w:t xml:space="preserve">Stethoscope</w:t>
            </w:r>
          </w:p>
        </w:tc>
        <w:tc>
          <w:tcPr/>
          <w:p>
            <w:pPr>
              <w:pStyle w:val="Compact"/>
              <w:jc w:val="left"/>
            </w:pPr>
            <w:r>
              <w:t xml:space="preserve">Scalpel</w:t>
            </w:r>
          </w:p>
        </w:tc>
        <w:tc>
          <w:tcPr/>
          <w:p>
            <w:pPr>
              <w:pStyle w:val="Compact"/>
              <w:jc w:val="left"/>
            </w:pPr>
            <w:r>
              <w:t xml:space="preserve">Syringe</w:t>
            </w:r>
          </w:p>
        </w:tc>
        <w:tc>
          <w:tcPr/>
          <w:p>
            <w:pPr>
              <w:pStyle w:val="Compact"/>
              <w:jc w:val="left"/>
            </w:pPr>
            <w:r>
              <w:t xml:space="preserve">11 / 7 / 7</w:t>
            </w:r>
          </w:p>
        </w:tc>
        <w:tc>
          <w:tcPr/>
          <w:p>
            <w:pPr>
              <w:pStyle w:val="Compact"/>
              <w:jc w:val="left"/>
            </w:pPr>
            <w:r>
              <w:t xml:space="preserve">4.95 / 4.92 / 4.96</w:t>
            </w:r>
          </w:p>
        </w:tc>
        <w:tc>
          <w:tcPr/>
          <w:p>
            <w:pPr>
              <w:pStyle w:val="Compact"/>
              <w:jc w:val="left"/>
            </w:pPr>
            <w:r>
              <w:t xml:space="preserve">6.5 / 7.2 / 13.4</w:t>
            </w:r>
          </w:p>
        </w:tc>
        <w:tc>
          <w:tcPr/>
          <w:p>
            <w:pPr>
              <w:pStyle w:val="Compact"/>
              <w:jc w:val="left"/>
            </w:pPr>
            <w:r>
              <w:t xml:space="preserve">Physician auscultating a patient’s chest</w:t>
            </w:r>
          </w:p>
        </w:tc>
      </w:tr>
      <w:tr>
        <w:tc>
          <w:tcPr/>
          <w:p>
            <w:pPr>
              <w:pStyle w:val="Compact"/>
              <w:jc w:val="left"/>
            </w:pPr>
            <w:r>
              <w:t xml:space="preserve">9</w:t>
            </w:r>
          </w:p>
        </w:tc>
        <w:tc>
          <w:tcPr/>
          <w:p>
            <w:pPr>
              <w:pStyle w:val="Compact"/>
              <w:jc w:val="left"/>
            </w:pPr>
            <w:r>
              <w:t xml:space="preserve">Urban Infrastructure</w:t>
            </w:r>
          </w:p>
        </w:tc>
        <w:tc>
          <w:tcPr/>
          <w:p>
            <w:pPr>
              <w:pStyle w:val="Compact"/>
              <w:jc w:val="left"/>
            </w:pPr>
            <w:r>
              <w:rPr>
                <w:bCs/>
                <w:b/>
              </w:rPr>
              <w:t xml:space="preserve">Pavement</w:t>
            </w:r>
          </w:p>
        </w:tc>
        <w:tc>
          <w:tcPr/>
          <w:p>
            <w:pPr>
              <w:pStyle w:val="Compact"/>
              <w:jc w:val="left"/>
            </w:pPr>
            <w:r>
              <w:t xml:space="preserve">Runway</w:t>
            </w:r>
          </w:p>
        </w:tc>
        <w:tc>
          <w:tcPr/>
          <w:p>
            <w:pPr>
              <w:pStyle w:val="Compact"/>
              <w:jc w:val="left"/>
            </w:pPr>
            <w:r>
              <w:t xml:space="preserve">Highway</w:t>
            </w:r>
          </w:p>
        </w:tc>
        <w:tc>
          <w:tcPr/>
          <w:p>
            <w:pPr>
              <w:pStyle w:val="Compact"/>
              <w:jc w:val="left"/>
            </w:pPr>
            <w:r>
              <w:t xml:space="preserve">8 / 6 / 7</w:t>
            </w:r>
          </w:p>
        </w:tc>
        <w:tc>
          <w:tcPr/>
          <w:p>
            <w:pPr>
              <w:pStyle w:val="Compact"/>
              <w:jc w:val="left"/>
            </w:pPr>
            <w:r>
              <w:t xml:space="preserve">4.65 / 4.70 / 4.68</w:t>
            </w:r>
          </w:p>
        </w:tc>
        <w:tc>
          <w:tcPr/>
          <w:p>
            <w:pPr>
              <w:pStyle w:val="Compact"/>
              <w:jc w:val="left"/>
            </w:pPr>
            <w:r>
              <w:t xml:space="preserve">19.3 / 17.6 / 48.2</w:t>
            </w:r>
          </w:p>
        </w:tc>
        <w:tc>
          <w:tcPr/>
          <w:p>
            <w:pPr>
              <w:pStyle w:val="Compact"/>
              <w:jc w:val="left"/>
            </w:pPr>
            <w:r>
              <w:t xml:space="preserve">Rain slicked cobblestones near street vendors</w:t>
            </w:r>
          </w:p>
        </w:tc>
      </w:tr>
      <w:tr>
        <w:tc>
          <w:tcPr/>
          <w:p>
            <w:pPr>
              <w:pStyle w:val="Compact"/>
              <w:jc w:val="left"/>
            </w:pPr>
            <w:r>
              <w:t xml:space="preserve">10</w:t>
            </w:r>
          </w:p>
        </w:tc>
        <w:tc>
          <w:tcPr/>
          <w:p>
            <w:pPr>
              <w:pStyle w:val="Compact"/>
              <w:jc w:val="left"/>
            </w:pPr>
            <w:r>
              <w:t xml:space="preserve">Agriculture &amp; Tools</w:t>
            </w:r>
          </w:p>
        </w:tc>
        <w:tc>
          <w:tcPr/>
          <w:p>
            <w:pPr>
              <w:pStyle w:val="Compact"/>
              <w:jc w:val="left"/>
            </w:pPr>
            <w:r>
              <w:rPr>
                <w:bCs/>
                <w:b/>
              </w:rPr>
              <w:t xml:space="preserve">Sickle</w:t>
            </w:r>
          </w:p>
        </w:tc>
        <w:tc>
          <w:tcPr/>
          <w:p>
            <w:pPr>
              <w:pStyle w:val="Compact"/>
              <w:jc w:val="left"/>
            </w:pPr>
            <w:r>
              <w:t xml:space="preserve">Shovel</w:t>
            </w:r>
          </w:p>
        </w:tc>
        <w:tc>
          <w:tcPr/>
          <w:p>
            <w:pPr>
              <w:pStyle w:val="Compact"/>
              <w:jc w:val="left"/>
            </w:pPr>
            <w:r>
              <w:t xml:space="preserve">Trowel</w:t>
            </w:r>
          </w:p>
        </w:tc>
        <w:tc>
          <w:tcPr/>
          <w:p>
            <w:pPr>
              <w:pStyle w:val="Compact"/>
              <w:jc w:val="left"/>
            </w:pPr>
            <w:r>
              <w:t xml:space="preserve">6 / 6 / 6</w:t>
            </w:r>
          </w:p>
        </w:tc>
        <w:tc>
          <w:tcPr/>
          <w:p>
            <w:pPr>
              <w:pStyle w:val="Compact"/>
              <w:jc w:val="left"/>
            </w:pPr>
            <w:r>
              <w:t xml:space="preserve">4.86 / 4.90 / 4.81</w:t>
            </w:r>
          </w:p>
        </w:tc>
        <w:tc>
          <w:tcPr/>
          <w:p>
            <w:pPr>
              <w:pStyle w:val="Compact"/>
              <w:jc w:val="left"/>
            </w:pPr>
            <w:r>
              <w:t xml:space="preserve">5.4 / 14.2 / 4.8</w:t>
            </w:r>
          </w:p>
        </w:tc>
        <w:tc>
          <w:tcPr/>
          <w:p>
            <w:pPr>
              <w:pStyle w:val="Compact"/>
              <w:jc w:val="left"/>
            </w:pPr>
            <w:r>
              <w:t xml:space="preserve">Harvesting golden wheat stalks at daybreak</w:t>
            </w:r>
          </w:p>
        </w:tc>
      </w:tr>
      <w:tr>
        <w:tc>
          <w:tcPr/>
          <w:p>
            <w:pPr>
              <w:pStyle w:val="Compact"/>
              <w:jc w:val="left"/>
            </w:pPr>
            <w:r>
              <w:t xml:space="preserve">11</w:t>
            </w:r>
          </w:p>
        </w:tc>
        <w:tc>
          <w:tcPr/>
          <w:p>
            <w:pPr>
              <w:pStyle w:val="Compact"/>
              <w:jc w:val="left"/>
            </w:pPr>
            <w:r>
              <w:t xml:space="preserve">Botany &amp; Nature</w:t>
            </w:r>
          </w:p>
        </w:tc>
        <w:tc>
          <w:tcPr/>
          <w:p>
            <w:pPr>
              <w:pStyle w:val="Compact"/>
              <w:jc w:val="left"/>
            </w:pPr>
            <w:r>
              <w:rPr>
                <w:bCs/>
                <w:b/>
              </w:rPr>
              <w:t xml:space="preserve">Foliage</w:t>
            </w:r>
          </w:p>
        </w:tc>
        <w:tc>
          <w:tcPr/>
          <w:p>
            <w:pPr>
              <w:pStyle w:val="Compact"/>
              <w:jc w:val="left"/>
            </w:pPr>
            <w:r>
              <w:t xml:space="preserve">Canopy</w:t>
            </w:r>
          </w:p>
        </w:tc>
        <w:tc>
          <w:tcPr/>
          <w:p>
            <w:pPr>
              <w:pStyle w:val="Compact"/>
              <w:jc w:val="left"/>
            </w:pPr>
            <w:r>
              <w:t xml:space="preserve">Meadow</w:t>
            </w:r>
          </w:p>
        </w:tc>
        <w:tc>
          <w:tcPr/>
          <w:p>
            <w:pPr>
              <w:pStyle w:val="Compact"/>
              <w:jc w:val="left"/>
            </w:pPr>
            <w:r>
              <w:t xml:space="preserve">7 / 6 / 6</w:t>
            </w:r>
          </w:p>
        </w:tc>
        <w:tc>
          <w:tcPr/>
          <w:p>
            <w:pPr>
              <w:pStyle w:val="Compact"/>
              <w:jc w:val="left"/>
            </w:pPr>
            <w:r>
              <w:t xml:space="preserve">4.52 / 4.48 / 4.58</w:t>
            </w:r>
          </w:p>
        </w:tc>
        <w:tc>
          <w:tcPr/>
          <w:p>
            <w:pPr>
              <w:pStyle w:val="Compact"/>
              <w:jc w:val="left"/>
            </w:pPr>
            <w:r>
              <w:t xml:space="preserve">12.7 / 15.3 / 16.1</w:t>
            </w:r>
          </w:p>
        </w:tc>
        <w:tc>
          <w:tcPr/>
          <w:p>
            <w:pPr>
              <w:pStyle w:val="Compact"/>
              <w:jc w:val="left"/>
            </w:pPr>
            <w:r>
              <w:t xml:space="preserve">Dense autumn leaves blanketing the forest floor</w:t>
            </w:r>
          </w:p>
        </w:tc>
      </w:tr>
      <w:tr>
        <w:tc>
          <w:tcPr/>
          <w:p>
            <w:pPr>
              <w:pStyle w:val="Compact"/>
              <w:jc w:val="left"/>
            </w:pPr>
            <w:r>
              <w:t xml:space="preserve">12</w:t>
            </w:r>
          </w:p>
        </w:tc>
        <w:tc>
          <w:tcPr/>
          <w:p>
            <w:pPr>
              <w:pStyle w:val="Compact"/>
              <w:jc w:val="left"/>
            </w:pPr>
            <w:r>
              <w:t xml:space="preserve">Architecture</w:t>
            </w:r>
          </w:p>
        </w:tc>
        <w:tc>
          <w:tcPr/>
          <w:p>
            <w:pPr>
              <w:pStyle w:val="Compact"/>
              <w:jc w:val="left"/>
            </w:pPr>
            <w:r>
              <w:rPr>
                <w:bCs/>
                <w:b/>
              </w:rPr>
              <w:t xml:space="preserve">Corridor</w:t>
            </w:r>
          </w:p>
        </w:tc>
        <w:tc>
          <w:tcPr/>
          <w:p>
            <w:pPr>
              <w:pStyle w:val="Compact"/>
              <w:jc w:val="left"/>
            </w:pPr>
            <w:r>
              <w:t xml:space="preserve">Vestibule</w:t>
            </w:r>
          </w:p>
        </w:tc>
        <w:tc>
          <w:tcPr/>
          <w:p>
            <w:pPr>
              <w:pStyle w:val="Compact"/>
              <w:jc w:val="left"/>
            </w:pPr>
            <w:r>
              <w:t xml:space="preserve">Veranda</w:t>
            </w:r>
          </w:p>
        </w:tc>
        <w:tc>
          <w:tcPr/>
          <w:p>
            <w:pPr>
              <w:pStyle w:val="Compact"/>
              <w:jc w:val="left"/>
            </w:pPr>
            <w:r>
              <w:t xml:space="preserve">8 / 9 / 7</w:t>
            </w:r>
          </w:p>
        </w:tc>
        <w:tc>
          <w:tcPr/>
          <w:p>
            <w:pPr>
              <w:pStyle w:val="Compact"/>
              <w:jc w:val="left"/>
            </w:pPr>
            <w:r>
              <w:t xml:space="preserve">4.71 / 4.62 / 4.75</w:t>
            </w:r>
          </w:p>
        </w:tc>
        <w:tc>
          <w:tcPr/>
          <w:p>
            <w:pPr>
              <w:pStyle w:val="Compact"/>
              <w:jc w:val="left"/>
            </w:pPr>
            <w:r>
              <w:t xml:space="preserve">28.4 / 3.9 / 8.2</w:t>
            </w:r>
          </w:p>
        </w:tc>
        <w:tc>
          <w:tcPr/>
          <w:p>
            <w:pPr>
              <w:pStyle w:val="Compact"/>
              <w:jc w:val="left"/>
            </w:pPr>
            <w:r>
              <w:t xml:space="preserve">Long hospital hallway illuminated by fluorescent tubes</w:t>
            </w:r>
          </w:p>
        </w:tc>
      </w:tr>
      <w:tr>
        <w:tc>
          <w:tcPr/>
          <w:p>
            <w:pPr>
              <w:pStyle w:val="Compact"/>
              <w:jc w:val="left"/>
            </w:pPr>
            <w:r>
              <w:t xml:space="preserve">13</w:t>
            </w:r>
          </w:p>
        </w:tc>
        <w:tc>
          <w:tcPr/>
          <w:p>
            <w:pPr>
              <w:pStyle w:val="Compact"/>
              <w:jc w:val="left"/>
            </w:pPr>
            <w:r>
              <w:t xml:space="preserve">Geophysics</w:t>
            </w:r>
          </w:p>
        </w:tc>
        <w:tc>
          <w:tcPr/>
          <w:p>
            <w:pPr>
              <w:pStyle w:val="Compact"/>
              <w:jc w:val="left"/>
            </w:pPr>
            <w:r>
              <w:rPr>
                <w:bCs/>
                <w:b/>
              </w:rPr>
              <w:t xml:space="preserve">Glacier</w:t>
            </w:r>
          </w:p>
        </w:tc>
        <w:tc>
          <w:tcPr/>
          <w:p>
            <w:pPr>
              <w:pStyle w:val="Compact"/>
              <w:jc w:val="left"/>
            </w:pPr>
            <w:r>
              <w:t xml:space="preserve">Iceberg</w:t>
            </w:r>
          </w:p>
        </w:tc>
        <w:tc>
          <w:tcPr/>
          <w:p>
            <w:pPr>
              <w:pStyle w:val="Compact"/>
              <w:jc w:val="left"/>
            </w:pPr>
            <w:r>
              <w:t xml:space="preserve">Volcano</w:t>
            </w:r>
          </w:p>
        </w:tc>
        <w:tc>
          <w:tcPr/>
          <w:p>
            <w:pPr>
              <w:pStyle w:val="Compact"/>
              <w:jc w:val="left"/>
            </w:pPr>
            <w:r>
              <w:t xml:space="preserve">7 / 7 / 7</w:t>
            </w:r>
          </w:p>
        </w:tc>
        <w:tc>
          <w:tcPr/>
          <w:p>
            <w:pPr>
              <w:pStyle w:val="Compact"/>
              <w:jc w:val="left"/>
            </w:pPr>
            <w:r>
              <w:t xml:space="preserve">4.89 / 4.85 / 4.92</w:t>
            </w:r>
          </w:p>
        </w:tc>
        <w:tc>
          <w:tcPr/>
          <w:p>
            <w:pPr>
              <w:pStyle w:val="Compact"/>
              <w:jc w:val="left"/>
            </w:pPr>
            <w:r>
              <w:t xml:space="preserve">16.3 / 11.2 / 18.7</w:t>
            </w:r>
          </w:p>
        </w:tc>
        <w:tc>
          <w:tcPr/>
          <w:p>
            <w:pPr>
              <w:pStyle w:val="Compact"/>
              <w:jc w:val="left"/>
            </w:pPr>
            <w:r>
              <w:t xml:space="preserve">Blue ice calving into an arctic fjord</w:t>
            </w:r>
          </w:p>
        </w:tc>
      </w:tr>
      <w:tr>
        <w:tc>
          <w:tcPr/>
          <w:p>
            <w:pPr>
              <w:pStyle w:val="Compact"/>
              <w:jc w:val="left"/>
            </w:pPr>
            <w:r>
              <w:t xml:space="preserve">14</w:t>
            </w:r>
          </w:p>
        </w:tc>
        <w:tc>
          <w:tcPr/>
          <w:p>
            <w:pPr>
              <w:pStyle w:val="Compact"/>
              <w:jc w:val="left"/>
            </w:pPr>
            <w:r>
              <w:t xml:space="preserve">Domestic Objects</w:t>
            </w:r>
          </w:p>
        </w:tc>
        <w:tc>
          <w:tcPr/>
          <w:p>
            <w:pPr>
              <w:pStyle w:val="Compact"/>
              <w:jc w:val="left"/>
            </w:pPr>
            <w:r>
              <w:rPr>
                <w:bCs/>
                <w:b/>
              </w:rPr>
              <w:t xml:space="preserve">Hammock</w:t>
            </w:r>
          </w:p>
        </w:tc>
        <w:tc>
          <w:tcPr/>
          <w:p>
            <w:pPr>
              <w:pStyle w:val="Compact"/>
              <w:jc w:val="left"/>
            </w:pPr>
            <w:r>
              <w:t xml:space="preserve">Armchair</w:t>
            </w:r>
          </w:p>
        </w:tc>
        <w:tc>
          <w:tcPr/>
          <w:p>
            <w:pPr>
              <w:pStyle w:val="Compact"/>
              <w:jc w:val="left"/>
            </w:pPr>
            <w:r>
              <w:t xml:space="preserve">Blanket</w:t>
            </w:r>
          </w:p>
        </w:tc>
        <w:tc>
          <w:tcPr/>
          <w:p>
            <w:pPr>
              <w:pStyle w:val="Compact"/>
              <w:jc w:val="left"/>
            </w:pPr>
            <w:r>
              <w:t xml:space="preserve">7 / 8 / 7</w:t>
            </w:r>
          </w:p>
        </w:tc>
        <w:tc>
          <w:tcPr/>
          <w:p>
            <w:pPr>
              <w:pStyle w:val="Compact"/>
              <w:jc w:val="left"/>
            </w:pPr>
            <w:r>
              <w:t xml:space="preserve">4.84 / 4.88 / 4.86</w:t>
            </w:r>
          </w:p>
        </w:tc>
        <w:tc>
          <w:tcPr/>
          <w:p>
            <w:pPr>
              <w:pStyle w:val="Compact"/>
              <w:jc w:val="left"/>
            </w:pPr>
            <w:r>
              <w:t xml:space="preserve">9.8 / 18.4 / 32.1</w:t>
            </w:r>
          </w:p>
        </w:tc>
        <w:tc>
          <w:tcPr/>
          <w:p>
            <w:pPr>
              <w:pStyle w:val="Compact"/>
              <w:jc w:val="left"/>
            </w:pPr>
            <w:r>
              <w:t xml:space="preserve">Slung between two palm trees swinging gently</w:t>
            </w:r>
          </w:p>
        </w:tc>
      </w:tr>
      <w:tr>
        <w:tc>
          <w:tcPr/>
          <w:p>
            <w:pPr>
              <w:pStyle w:val="Compact"/>
              <w:jc w:val="left"/>
            </w:pPr>
            <w:r>
              <w:t xml:space="preserve">15</w:t>
            </w:r>
          </w:p>
        </w:tc>
        <w:tc>
          <w:tcPr/>
          <w:p>
            <w:pPr>
              <w:pStyle w:val="Compact"/>
              <w:jc w:val="left"/>
            </w:pPr>
            <w:r>
              <w:t xml:space="preserve">Aviation</w:t>
            </w:r>
          </w:p>
        </w:tc>
        <w:tc>
          <w:tcPr/>
          <w:p>
            <w:pPr>
              <w:pStyle w:val="Compact"/>
              <w:jc w:val="left"/>
            </w:pPr>
            <w:r>
              <w:rPr>
                <w:bCs/>
                <w:b/>
              </w:rPr>
              <w:t xml:space="preserve">Fuselage</w:t>
            </w:r>
          </w:p>
        </w:tc>
        <w:tc>
          <w:tcPr/>
          <w:p>
            <w:pPr>
              <w:pStyle w:val="Compact"/>
              <w:jc w:val="left"/>
            </w:pPr>
            <w:r>
              <w:t xml:space="preserve">Cockpit</w:t>
            </w:r>
          </w:p>
        </w:tc>
        <w:tc>
          <w:tcPr/>
          <w:p>
            <w:pPr>
              <w:pStyle w:val="Compact"/>
              <w:jc w:val="left"/>
            </w:pPr>
            <w:r>
              <w:t xml:space="preserve">Propeller</w:t>
            </w:r>
          </w:p>
        </w:tc>
        <w:tc>
          <w:tcPr/>
          <w:p>
            <w:pPr>
              <w:pStyle w:val="Compact"/>
              <w:jc w:val="left"/>
            </w:pPr>
            <w:r>
              <w:t xml:space="preserve">8 / 7 / 9</w:t>
            </w:r>
          </w:p>
        </w:tc>
        <w:tc>
          <w:tcPr/>
          <w:p>
            <w:pPr>
              <w:pStyle w:val="Compact"/>
              <w:jc w:val="left"/>
            </w:pPr>
            <w:r>
              <w:t xml:space="preserve">4.60 / 4.68 / 4.74</w:t>
            </w:r>
          </w:p>
        </w:tc>
        <w:tc>
          <w:tcPr/>
          <w:p>
            <w:pPr>
              <w:pStyle w:val="Compact"/>
              <w:jc w:val="left"/>
            </w:pPr>
            <w:r>
              <w:t xml:space="preserve">6.1 / 18.9 / 9.3</w:t>
            </w:r>
          </w:p>
        </w:tc>
        <w:tc>
          <w:tcPr/>
          <w:p>
            <w:pPr>
              <w:pStyle w:val="Compact"/>
              <w:jc w:val="left"/>
            </w:pPr>
            <w:r>
              <w:t xml:space="preserve">Aerodynamic metal aircraft body in hangar</w:t>
            </w:r>
          </w:p>
        </w:tc>
      </w:tr>
      <w:tr>
        <w:tc>
          <w:tcPr/>
          <w:p>
            <w:pPr>
              <w:pStyle w:val="Compact"/>
              <w:jc w:val="left"/>
            </w:pPr>
            <w:r>
              <w:t xml:space="preserve">16</w:t>
            </w:r>
          </w:p>
        </w:tc>
        <w:tc>
          <w:tcPr/>
          <w:p>
            <w:pPr>
              <w:pStyle w:val="Compact"/>
              <w:jc w:val="left"/>
            </w:pPr>
            <w:r>
              <w:t xml:space="preserve">Mining &amp; Geology</w:t>
            </w:r>
          </w:p>
        </w:tc>
        <w:tc>
          <w:tcPr/>
          <w:p>
            <w:pPr>
              <w:pStyle w:val="Compact"/>
              <w:jc w:val="left"/>
            </w:pPr>
            <w:r>
              <w:rPr>
                <w:bCs/>
                <w:b/>
              </w:rPr>
              <w:t xml:space="preserve">Quarry</w:t>
            </w:r>
          </w:p>
        </w:tc>
        <w:tc>
          <w:tcPr/>
          <w:p>
            <w:pPr>
              <w:pStyle w:val="Compact"/>
              <w:jc w:val="left"/>
            </w:pPr>
            <w:r>
              <w:t xml:space="preserve">Mine</w:t>
            </w:r>
          </w:p>
        </w:tc>
        <w:tc>
          <w:tcPr/>
          <w:p>
            <w:pPr>
              <w:pStyle w:val="Compact"/>
              <w:jc w:val="left"/>
            </w:pPr>
            <w:r>
              <w:t xml:space="preserve">Tunnel</w:t>
            </w:r>
          </w:p>
        </w:tc>
        <w:tc>
          <w:tcPr/>
          <w:p>
            <w:pPr>
              <w:pStyle w:val="Compact"/>
              <w:jc w:val="left"/>
            </w:pPr>
            <w:r>
              <w:t xml:space="preserve">6 / 4 / 6</w:t>
            </w:r>
          </w:p>
        </w:tc>
        <w:tc>
          <w:tcPr/>
          <w:p>
            <w:pPr>
              <w:pStyle w:val="Compact"/>
              <w:jc w:val="left"/>
            </w:pPr>
            <w:r>
              <w:t xml:space="preserve">4.58 / 4.63 / 4.70</w:t>
            </w:r>
          </w:p>
        </w:tc>
        <w:tc>
          <w:tcPr/>
          <w:p>
            <w:pPr>
              <w:pStyle w:val="Compact"/>
              <w:jc w:val="left"/>
            </w:pPr>
            <w:r>
              <w:t xml:space="preserve">10.2 / 34.1 / 29.5</w:t>
            </w:r>
          </w:p>
        </w:tc>
        <w:tc>
          <w:tcPr/>
          <w:p>
            <w:pPr>
              <w:pStyle w:val="Compact"/>
              <w:jc w:val="left"/>
            </w:pPr>
            <w:r>
              <w:t xml:space="preserve">Excavating limestone blocks under heavy machinery</w:t>
            </w:r>
          </w:p>
        </w:tc>
      </w:tr>
      <w:tr>
        <w:tc>
          <w:tcPr/>
          <w:p>
            <w:pPr>
              <w:pStyle w:val="Compact"/>
              <w:jc w:val="left"/>
            </w:pPr>
            <w:r>
              <w:t xml:space="preserve">17</w:t>
            </w:r>
          </w:p>
        </w:tc>
        <w:tc>
          <w:tcPr/>
          <w:p>
            <w:pPr>
              <w:pStyle w:val="Compact"/>
              <w:jc w:val="left"/>
            </w:pPr>
            <w:r>
              <w:t xml:space="preserve">Textiles &amp; Fashion</w:t>
            </w:r>
          </w:p>
        </w:tc>
        <w:tc>
          <w:tcPr/>
          <w:p>
            <w:pPr>
              <w:pStyle w:val="Compact"/>
              <w:jc w:val="left"/>
            </w:pPr>
            <w:r>
              <w:rPr>
                <w:bCs/>
                <w:b/>
              </w:rPr>
              <w:t xml:space="preserve">Tapestry</w:t>
            </w:r>
          </w:p>
        </w:tc>
        <w:tc>
          <w:tcPr/>
          <w:p>
            <w:pPr>
              <w:pStyle w:val="Compact"/>
              <w:jc w:val="left"/>
            </w:pPr>
            <w:r>
              <w:t xml:space="preserve">Embroidery</w:t>
            </w:r>
          </w:p>
        </w:tc>
        <w:tc>
          <w:tcPr/>
          <w:p>
            <w:pPr>
              <w:pStyle w:val="Compact"/>
              <w:jc w:val="left"/>
            </w:pPr>
            <w:r>
              <w:t xml:space="preserve">Garment</w:t>
            </w:r>
          </w:p>
        </w:tc>
        <w:tc>
          <w:tcPr/>
          <w:p>
            <w:pPr>
              <w:pStyle w:val="Compact"/>
              <w:jc w:val="left"/>
            </w:pPr>
            <w:r>
              <w:t xml:space="preserve">8 / 10 / 7</w:t>
            </w:r>
          </w:p>
        </w:tc>
        <w:tc>
          <w:tcPr/>
          <w:p>
            <w:pPr>
              <w:pStyle w:val="Compact"/>
              <w:jc w:val="left"/>
            </w:pPr>
            <w:r>
              <w:t xml:space="preserve">4.73 / 4.69 / 4.65</w:t>
            </w:r>
          </w:p>
        </w:tc>
        <w:tc>
          <w:tcPr/>
          <w:p>
            <w:pPr>
              <w:pStyle w:val="Compact"/>
              <w:jc w:val="left"/>
            </w:pPr>
            <w:r>
              <w:t xml:space="preserve">11.4 / 8.3 / 15.6</w:t>
            </w:r>
          </w:p>
        </w:tc>
        <w:tc>
          <w:tcPr/>
          <w:p>
            <w:pPr>
              <w:pStyle w:val="Compact"/>
              <w:jc w:val="left"/>
            </w:pPr>
            <w:r>
              <w:t xml:space="preserve">Ornate woven wall hanging in medieval hall</w:t>
            </w:r>
          </w:p>
        </w:tc>
      </w:tr>
      <w:tr>
        <w:tc>
          <w:tcPr/>
          <w:p>
            <w:pPr>
              <w:pStyle w:val="Compact"/>
              <w:jc w:val="left"/>
            </w:pPr>
            <w:r>
              <w:t xml:space="preserve">18</w:t>
            </w:r>
          </w:p>
        </w:tc>
        <w:tc>
          <w:tcPr/>
          <w:p>
            <w:pPr>
              <w:pStyle w:val="Compact"/>
              <w:jc w:val="left"/>
            </w:pPr>
            <w:r>
              <w:t xml:space="preserve">Weaponry &amp; History</w:t>
            </w:r>
          </w:p>
        </w:tc>
        <w:tc>
          <w:tcPr/>
          <w:p>
            <w:pPr>
              <w:pStyle w:val="Compact"/>
              <w:jc w:val="left"/>
            </w:pPr>
            <w:r>
              <w:rPr>
                <w:bCs/>
                <w:b/>
              </w:rPr>
              <w:t xml:space="preserve">Shield</w:t>
            </w:r>
          </w:p>
        </w:tc>
        <w:tc>
          <w:tcPr/>
          <w:p>
            <w:pPr>
              <w:pStyle w:val="Compact"/>
              <w:jc w:val="left"/>
            </w:pPr>
            <w:r>
              <w:t xml:space="preserve">Armor</w:t>
            </w:r>
          </w:p>
        </w:tc>
        <w:tc>
          <w:tcPr/>
          <w:p>
            <w:pPr>
              <w:pStyle w:val="Compact"/>
              <w:jc w:val="left"/>
            </w:pPr>
            <w:r>
              <w:t xml:space="preserve">Helmet</w:t>
            </w:r>
          </w:p>
        </w:tc>
        <w:tc>
          <w:tcPr/>
          <w:p>
            <w:pPr>
              <w:pStyle w:val="Compact"/>
              <w:jc w:val="left"/>
            </w:pPr>
            <w:r>
              <w:t xml:space="preserve">6 / 5 / 6</w:t>
            </w:r>
          </w:p>
        </w:tc>
        <w:tc>
          <w:tcPr/>
          <w:p>
            <w:pPr>
              <w:pStyle w:val="Compact"/>
              <w:jc w:val="left"/>
            </w:pPr>
            <w:r>
              <w:t xml:space="preserve">4.87 / 4.89 / 4.93</w:t>
            </w:r>
          </w:p>
        </w:tc>
        <w:tc>
          <w:tcPr/>
          <w:p>
            <w:pPr>
              <w:pStyle w:val="Compact"/>
              <w:jc w:val="left"/>
            </w:pPr>
            <w:r>
              <w:t xml:space="preserve">31.2 / 21.7 / 28.4</w:t>
            </w:r>
          </w:p>
        </w:tc>
        <w:tc>
          <w:tcPr/>
          <w:p>
            <w:pPr>
              <w:pStyle w:val="Compact"/>
              <w:jc w:val="left"/>
            </w:pPr>
            <w:r>
              <w:t xml:space="preserve">Knight repelling an incoming spear thrust</w:t>
            </w:r>
          </w:p>
        </w:tc>
      </w:tr>
      <w:tr>
        <w:tc>
          <w:tcPr/>
          <w:p>
            <w:pPr>
              <w:pStyle w:val="Compact"/>
              <w:jc w:val="left"/>
            </w:pPr>
            <w:r>
              <w:t xml:space="preserve">19</w:t>
            </w:r>
          </w:p>
        </w:tc>
        <w:tc>
          <w:tcPr/>
          <w:p>
            <w:pPr>
              <w:pStyle w:val="Compact"/>
              <w:jc w:val="left"/>
            </w:pPr>
            <w:r>
              <w:t xml:space="preserve">Chemistry &amp; Vessels</w:t>
            </w:r>
          </w:p>
        </w:tc>
        <w:tc>
          <w:tcPr/>
          <w:p>
            <w:pPr>
              <w:pStyle w:val="Compact"/>
              <w:jc w:val="left"/>
            </w:pPr>
            <w:r>
              <w:rPr>
                <w:bCs/>
                <w:b/>
              </w:rPr>
              <w:t xml:space="preserve">Flask</w:t>
            </w:r>
          </w:p>
        </w:tc>
        <w:tc>
          <w:tcPr/>
          <w:p>
            <w:pPr>
              <w:pStyle w:val="Compact"/>
              <w:jc w:val="left"/>
            </w:pPr>
            <w:r>
              <w:t xml:space="preserve">Beaker</w:t>
            </w:r>
          </w:p>
        </w:tc>
        <w:tc>
          <w:tcPr/>
          <w:p>
            <w:pPr>
              <w:pStyle w:val="Compact"/>
              <w:jc w:val="left"/>
            </w:pPr>
            <w:r>
              <w:t xml:space="preserve">Dropper</w:t>
            </w:r>
          </w:p>
        </w:tc>
        <w:tc>
          <w:tcPr/>
          <w:p>
            <w:pPr>
              <w:pStyle w:val="Compact"/>
              <w:jc w:val="left"/>
            </w:pPr>
            <w:r>
              <w:t xml:space="preserve">5 / 6 / 7</w:t>
            </w:r>
          </w:p>
        </w:tc>
        <w:tc>
          <w:tcPr/>
          <w:p>
            <w:pPr>
              <w:pStyle w:val="Compact"/>
              <w:jc w:val="left"/>
            </w:pPr>
            <w:r>
              <w:t xml:space="preserve">4.89 / 4.91 / 4.88</w:t>
            </w:r>
          </w:p>
        </w:tc>
        <w:tc>
          <w:tcPr/>
          <w:p>
            <w:pPr>
              <w:pStyle w:val="Compact"/>
              <w:jc w:val="left"/>
            </w:pPr>
            <w:r>
              <w:t xml:space="preserve">14.8 / 9.6 / 6.2</w:t>
            </w:r>
          </w:p>
        </w:tc>
        <w:tc>
          <w:tcPr/>
          <w:p>
            <w:pPr>
              <w:pStyle w:val="Compact"/>
              <w:jc w:val="left"/>
            </w:pPr>
            <w:r>
              <w:t xml:space="preserve">Bubbling amber liquid heating over a burner</w:t>
            </w:r>
          </w:p>
        </w:tc>
      </w:tr>
      <w:tr>
        <w:tc>
          <w:tcPr/>
          <w:p>
            <w:pPr>
              <w:pStyle w:val="Compact"/>
              <w:jc w:val="left"/>
            </w:pPr>
            <w:r>
              <w:t xml:space="preserve">20</w:t>
            </w:r>
          </w:p>
        </w:tc>
        <w:tc>
          <w:tcPr/>
          <w:p>
            <w:pPr>
              <w:pStyle w:val="Compact"/>
              <w:jc w:val="left"/>
            </w:pPr>
            <w:r>
              <w:t xml:space="preserve">Marine Biology</w:t>
            </w:r>
          </w:p>
        </w:tc>
        <w:tc>
          <w:tcPr/>
          <w:p>
            <w:pPr>
              <w:pStyle w:val="Compact"/>
              <w:jc w:val="left"/>
            </w:pPr>
            <w:r>
              <w:rPr>
                <w:bCs/>
                <w:b/>
              </w:rPr>
              <w:t xml:space="preserve">Octopus</w:t>
            </w:r>
          </w:p>
        </w:tc>
        <w:tc>
          <w:tcPr/>
          <w:p>
            <w:pPr>
              <w:pStyle w:val="Compact"/>
              <w:jc w:val="left"/>
            </w:pPr>
            <w:r>
              <w:t xml:space="preserve">Jellyfish</w:t>
            </w:r>
          </w:p>
        </w:tc>
        <w:tc>
          <w:tcPr/>
          <w:p>
            <w:pPr>
              <w:pStyle w:val="Compact"/>
              <w:jc w:val="left"/>
            </w:pPr>
            <w:r>
              <w:t xml:space="preserve">Starfish</w:t>
            </w:r>
          </w:p>
        </w:tc>
        <w:tc>
          <w:tcPr/>
          <w:p>
            <w:pPr>
              <w:pStyle w:val="Compact"/>
              <w:jc w:val="left"/>
            </w:pPr>
            <w:r>
              <w:t xml:space="preserve">7 / 9 / 8</w:t>
            </w:r>
          </w:p>
        </w:tc>
        <w:tc>
          <w:tcPr/>
          <w:p>
            <w:pPr>
              <w:pStyle w:val="Compact"/>
              <w:jc w:val="left"/>
            </w:pPr>
            <w:r>
              <w:t xml:space="preserve">4.96 / 4.92 / 4.94</w:t>
            </w:r>
          </w:p>
        </w:tc>
        <w:tc>
          <w:tcPr/>
          <w:p>
            <w:pPr>
              <w:pStyle w:val="Compact"/>
              <w:jc w:val="left"/>
            </w:pPr>
            <w:r>
              <w:t xml:space="preserve">13.9 / 8.7 / 7.1</w:t>
            </w:r>
          </w:p>
        </w:tc>
        <w:tc>
          <w:tcPr/>
          <w:p>
            <w:pPr>
              <w:pStyle w:val="Compact"/>
              <w:jc w:val="left"/>
            </w:pPr>
            <w:r>
              <w:t xml:space="preserve">Camouflaged cephalopod extending tentacles on reef</w:t>
            </w:r>
          </w:p>
        </w:tc>
      </w:tr>
    </w:tbl>
    <w:p>
      <w:pPr>
        <w:pStyle w:val="BodyText"/>
      </w:pPr>
      <w:r>
        <w:rPr>
          <w:iCs/>
          <w:i/>
        </w:rPr>
        <w:t xml:space="preserve">Note.</w:t>
      </w:r>
      <w:r>
        <w:t xml:space="preserve"> </w:t>
      </w:r>
      <w:r>
        <w:t xml:space="preserve">Concreteness ratings are taken from the Brysbaert et al. large-scale norms (1 = very abstract, 5 = very concrete). COCA frequencies are per million words. The S-D-S scenario prompt column gives the composite visual scene presented during the Scenario phase for the trained Target of each triplet. Mean concreteness across the full 60-item set was 4.77 (SD = 0.13), confirming uniformly high imageability across all three item conditions.</w:t>
      </w:r>
    </w:p>
    <w:bookmarkEnd w:id="20"/>
    <w:bookmarkStart w:id="21" w:name="Xf1e26491bba769f9c5144acf2ceeb9e9a83c34e"/>
    <w:p>
      <w:pPr>
        <w:pStyle w:val="Heading1"/>
      </w:pPr>
      <w:r>
        <w:t xml:space="preserve">2 Appendix B: Weekly S-D-S Intervention Curriculum (24 Weeks)</w:t>
      </w:r>
    </w:p>
    <w:p>
      <w:pPr>
        <w:pStyle w:val="FirstParagraph"/>
      </w:pPr>
      <w:r>
        <w:t xml:space="preserve">The experimental intervention comprised 24 consecutive weeks (48 contact hours), delivered in two 60-minute sessions per week. Each session followed the tripartite S-D-S cycle: Scenario (10 min), Description (30 min), and Sustain (20 min). The curriculum cycled through the 20 semantic domains of Table A1 across eight 3-week instructional blocks; within each block, one triplet family per week received focal training while previously trained items were recycled in the Sustain phase to consolidate retention.</w:t>
      </w:r>
    </w:p>
    <w:p>
      <w:pPr>
        <w:pStyle w:val="BodyText"/>
      </w:pPr>
      <w:r>
        <w:rPr>
          <w:bCs/>
          <w:b/>
        </w:rPr>
        <w:t xml:space="preserve">Table B1.</w:t>
      </w:r>
      <w:r>
        <w:t xml:space="preserve"> </w:t>
      </w:r>
      <w:r>
        <w:t xml:space="preserve">Weekly curriculum overview.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Weeks</w:t>
            </w:r>
          </w:p>
        </w:tc>
        <w:tc>
          <w:tcPr/>
          <w:p>
            <w:pPr>
              <w:pStyle w:val="Compact"/>
              <w:jc w:val="left"/>
            </w:pPr>
            <w:r>
              <w:t xml:space="preserve">Instructional block</w:t>
            </w:r>
          </w:p>
        </w:tc>
        <w:tc>
          <w:tcPr/>
          <w:p>
            <w:pPr>
              <w:pStyle w:val="Compact"/>
              <w:jc w:val="left"/>
            </w:pPr>
            <w:r>
              <w:t xml:space="preserve">Focal triplet families (from Table A1)</w:t>
            </w:r>
          </w:p>
        </w:tc>
        <w:tc>
          <w:tcPr/>
          <w:p>
            <w:pPr>
              <w:pStyle w:val="Compact"/>
              <w:jc w:val="left"/>
            </w:pPr>
            <w:r>
              <w:t xml:space="preserve">Weekly S-D-S emphasis</w:t>
            </w:r>
          </w:p>
        </w:tc>
      </w:tr>
      <w:tr>
        <w:tc>
          <w:tcPr/>
          <w:p>
            <w:pPr>
              <w:pStyle w:val="Compact"/>
              <w:jc w:val="left"/>
            </w:pPr>
            <w:r>
              <w:t xml:space="preserve">1–3</w:t>
            </w:r>
          </w:p>
        </w:tc>
        <w:tc>
          <w:tcPr/>
          <w:p>
            <w:pPr>
              <w:pStyle w:val="Compact"/>
              <w:jc w:val="left"/>
            </w:pPr>
            <w:r>
              <w:t xml:space="preserve">Block 1: Foundations</w:t>
            </w:r>
          </w:p>
        </w:tc>
        <w:tc>
          <w:tcPr/>
          <w:p>
            <w:pPr>
              <w:pStyle w:val="Compact"/>
              <w:jc w:val="left"/>
            </w:pPr>
            <w:r>
              <w:t xml:space="preserve">1–3 (Navigation, Astronomy, Maritime)</w:t>
            </w:r>
          </w:p>
        </w:tc>
        <w:tc>
          <w:tcPr/>
          <w:p>
            <w:pPr>
              <w:pStyle w:val="Compact"/>
              <w:jc w:val="left"/>
            </w:pPr>
            <w:r>
              <w:t xml:space="preserve">Familiarization with the S-D-S cycle; establishing concept–form mappings; baseline corrective feedback conventions</w:t>
            </w:r>
          </w:p>
        </w:tc>
      </w:tr>
      <w:tr>
        <w:tc>
          <w:tcPr/>
          <w:p>
            <w:pPr>
              <w:pStyle w:val="Compact"/>
              <w:jc w:val="left"/>
            </w:pPr>
            <w:r>
              <w:t xml:space="preserve">4–6</w:t>
            </w:r>
          </w:p>
        </w:tc>
        <w:tc>
          <w:tcPr/>
          <w:p>
            <w:pPr>
              <w:pStyle w:val="Compact"/>
              <w:jc w:val="left"/>
            </w:pPr>
            <w:r>
              <w:t xml:space="preserve">Block 2: Natural environments</w:t>
            </w:r>
          </w:p>
        </w:tc>
        <w:tc>
          <w:tcPr/>
          <w:p>
            <w:pPr>
              <w:pStyle w:val="Compact"/>
              <w:jc w:val="left"/>
            </w:pPr>
            <w:r>
              <w:t xml:space="preserve">4–6 (Weather, Culinary, Construction)</w:t>
            </w:r>
          </w:p>
        </w:tc>
        <w:tc>
          <w:tcPr/>
          <w:p>
            <w:pPr>
              <w:pStyle w:val="Compact"/>
              <w:jc w:val="left"/>
            </w:pPr>
            <w:r>
              <w:t xml:space="preserve">Rapid oral description under time pressure; first timed production transfers</w:t>
            </w:r>
          </w:p>
        </w:tc>
      </w:tr>
      <w:tr>
        <w:tc>
          <w:tcPr/>
          <w:p>
            <w:pPr>
              <w:pStyle w:val="Compact"/>
              <w:jc w:val="left"/>
            </w:pPr>
            <w:r>
              <w:t xml:space="preserve">7–9</w:t>
            </w:r>
          </w:p>
        </w:tc>
        <w:tc>
          <w:tcPr/>
          <w:p>
            <w:pPr>
              <w:pStyle w:val="Compact"/>
              <w:jc w:val="left"/>
            </w:pPr>
            <w:r>
              <w:t xml:space="preserve">Block 3: Human heritage</w:t>
            </w:r>
          </w:p>
        </w:tc>
        <w:tc>
          <w:tcPr/>
          <w:p>
            <w:pPr>
              <w:pStyle w:val="Compact"/>
              <w:jc w:val="left"/>
            </w:pPr>
            <w:r>
              <w:t xml:space="preserve">7–9 (Archaeology, Medical, Urban)</w:t>
            </w:r>
          </w:p>
        </w:tc>
        <w:tc>
          <w:tcPr/>
          <w:p>
            <w:pPr>
              <w:pStyle w:val="Compact"/>
              <w:jc w:val="left"/>
            </w:pPr>
            <w:r>
              <w:t xml:space="preserve">Cross-item discrimination (Target vs. Mismatch); calque-repair routines</w:t>
            </w:r>
          </w:p>
        </w:tc>
      </w:tr>
      <w:tr>
        <w:tc>
          <w:tcPr/>
          <w:p>
            <w:pPr>
              <w:pStyle w:val="Compact"/>
              <w:jc w:val="left"/>
            </w:pPr>
            <w:r>
              <w:t xml:space="preserve">10–12</w:t>
            </w:r>
          </w:p>
        </w:tc>
        <w:tc>
          <w:tcPr/>
          <w:p>
            <w:pPr>
              <w:pStyle w:val="Compact"/>
              <w:jc w:val="left"/>
            </w:pPr>
            <w:r>
              <w:t xml:space="preserve">Block 4: Tools &amp; land</w:t>
            </w:r>
          </w:p>
        </w:tc>
        <w:tc>
          <w:tcPr/>
          <w:p>
            <w:pPr>
              <w:pStyle w:val="Compact"/>
              <w:jc w:val="left"/>
            </w:pPr>
            <w:r>
              <w:t xml:space="preserve">10–12 (Agriculture, Botany, Architecture)</w:t>
            </w:r>
          </w:p>
        </w:tc>
        <w:tc>
          <w:tcPr/>
          <w:p>
            <w:pPr>
              <w:pStyle w:val="Compact"/>
              <w:jc w:val="left"/>
            </w:pPr>
            <w:r>
              <w:t xml:space="preserve">Delayed recycling of Blocks 1–2 items in novel scenarios; fluency drills</w:t>
            </w:r>
          </w:p>
        </w:tc>
      </w:tr>
      <w:tr>
        <w:tc>
          <w:tcPr/>
          <w:p>
            <w:pPr>
              <w:pStyle w:val="Compact"/>
              <w:jc w:val="left"/>
            </w:pPr>
            <w:r>
              <w:t xml:space="preserve">13–15</w:t>
            </w:r>
          </w:p>
        </w:tc>
        <w:tc>
          <w:tcPr/>
          <w:p>
            <w:pPr>
              <w:pStyle w:val="Compact"/>
              <w:jc w:val="left"/>
            </w:pPr>
            <w:r>
              <w:t xml:space="preserve">Block 5: Earth &amp; home</w:t>
            </w:r>
          </w:p>
        </w:tc>
        <w:tc>
          <w:tcPr/>
          <w:p>
            <w:pPr>
              <w:pStyle w:val="Compact"/>
              <w:jc w:val="left"/>
            </w:pPr>
            <w:r>
              <w:t xml:space="preserve">13–15 (Geophysics, Domestic, Aviation)</w:t>
            </w:r>
          </w:p>
        </w:tc>
        <w:tc>
          <w:tcPr/>
          <w:p>
            <w:pPr>
              <w:pStyle w:val="Compact"/>
              <w:jc w:val="left"/>
            </w:pPr>
            <w:r>
              <w:t xml:space="preserve">Scene-inversion tasks (picture → L2 description without L1 scaffolding)</w:t>
            </w:r>
          </w:p>
        </w:tc>
      </w:tr>
      <w:tr>
        <w:tc>
          <w:tcPr/>
          <w:p>
            <w:pPr>
              <w:pStyle w:val="Compact"/>
              <w:jc w:val="left"/>
            </w:pPr>
            <w:r>
              <w:t xml:space="preserve">16–18</w:t>
            </w:r>
          </w:p>
        </w:tc>
        <w:tc>
          <w:tcPr/>
          <w:p>
            <w:pPr>
              <w:pStyle w:val="Compact"/>
              <w:jc w:val="left"/>
            </w:pPr>
            <w:r>
              <w:t xml:space="preserve">Block 6: Materials &amp; craft</w:t>
            </w:r>
          </w:p>
        </w:tc>
        <w:tc>
          <w:tcPr/>
          <w:p>
            <w:pPr>
              <w:pStyle w:val="Compact"/>
              <w:jc w:val="left"/>
            </w:pPr>
            <w:r>
              <w:t xml:space="preserve">16–18 (Mining, Textiles, Weaponry)</w:t>
            </w:r>
          </w:p>
        </w:tc>
        <w:tc>
          <w:tcPr/>
          <w:p>
            <w:pPr>
              <w:pStyle w:val="Compact"/>
              <w:jc w:val="left"/>
            </w:pPr>
            <w:r>
              <w:t xml:space="preserve">Mid-point assessment window (T2 falls at the end of Week 12); intensified sustained production</w:t>
            </w:r>
          </w:p>
        </w:tc>
      </w:tr>
      <w:tr>
        <w:tc>
          <w:tcPr/>
          <w:p>
            <w:pPr>
              <w:pStyle w:val="Compact"/>
              <w:jc w:val="left"/>
            </w:pPr>
            <w:r>
              <w:t xml:space="preserve">19–21</w:t>
            </w:r>
          </w:p>
        </w:tc>
        <w:tc>
          <w:tcPr/>
          <w:p>
            <w:pPr>
              <w:pStyle w:val="Compact"/>
              <w:jc w:val="left"/>
            </w:pPr>
            <w:r>
              <w:t xml:space="preserve">Block 7: Science &amp; vessels</w:t>
            </w:r>
          </w:p>
        </w:tc>
        <w:tc>
          <w:tcPr/>
          <w:p>
            <w:pPr>
              <w:pStyle w:val="Compact"/>
              <w:jc w:val="left"/>
            </w:pPr>
            <w:r>
              <w:t xml:space="preserve">19–20 plus recycled families 1–8</w:t>
            </w:r>
          </w:p>
        </w:tc>
        <w:tc>
          <w:tcPr/>
          <w:p>
            <w:pPr>
              <w:pStyle w:val="Compact"/>
              <w:jc w:val="left"/>
            </w:pPr>
            <w:r>
              <w:t xml:space="preserve">Consolidation cycles; learner-generated scenario design</w:t>
            </w:r>
          </w:p>
        </w:tc>
      </w:tr>
      <w:tr>
        <w:tc>
          <w:tcPr/>
          <w:p>
            <w:pPr>
              <w:pStyle w:val="Compact"/>
              <w:jc w:val="left"/>
            </w:pPr>
            <w:r>
              <w:t xml:space="preserve">22–24</w:t>
            </w:r>
          </w:p>
        </w:tc>
        <w:tc>
          <w:tcPr/>
          <w:p>
            <w:pPr>
              <w:pStyle w:val="Compact"/>
              <w:jc w:val="left"/>
            </w:pPr>
            <w:r>
              <w:t xml:space="preserve">Block 8: Global review</w:t>
            </w:r>
          </w:p>
        </w:tc>
        <w:tc>
          <w:tcPr/>
          <w:p>
            <w:pPr>
              <w:pStyle w:val="Compact"/>
              <w:jc w:val="left"/>
            </w:pPr>
            <w:r>
              <w:t xml:space="preserve">All 20 families, rotated</w:t>
            </w:r>
          </w:p>
        </w:tc>
        <w:tc>
          <w:tcPr/>
          <w:p>
            <w:pPr>
              <w:pStyle w:val="Compact"/>
              <w:jc w:val="left"/>
            </w:pPr>
            <w:r>
              <w:t xml:space="preserve">Pre-post assessment preparation; full-cycle S-D-S with maximal time constraints; post-test (T3) at the end of Week 24</w:t>
            </w:r>
          </w:p>
        </w:tc>
      </w:tr>
    </w:tbl>
    <w:p>
      <w:pPr>
        <w:pStyle w:val="BodyText"/>
      </w:pPr>
      <w:r>
        <w:t xml:space="preserve">The Control group received identical contact time, the same 60 target words, and equivalent exposure duration under a conventional Communicative Language Teaching (CLT) paradigm (definition presentation → bilingual/L1 glossing → sentence-level controlled production), strictly omitting the composite visual scenarios and the cyclic Scenario–Description–Sustain scaffolding. Both protocols were delivered by the same two instructors, who were counterbalanced across groups to control for instructor effects.</w:t>
      </w:r>
    </w:p>
    <w:bookmarkEnd w:id="21"/>
    <w:bookmarkStart w:id="22" w:name="Xfdf9f213666989e74202d8f3ec78a5d4bacdeb3"/>
    <w:p>
      <w:pPr>
        <w:pStyle w:val="Heading1"/>
      </w:pPr>
      <w:r>
        <w:t xml:space="preserve">3 Appendix C: EEG Acquisition and Preprocessing Pipeline</w:t>
      </w:r>
    </w:p>
    <w:p>
      <w:pPr>
        <w:pStyle w:val="FirstParagraph"/>
      </w:pPr>
      <w:r>
        <w:t xml:space="preserve">Continuous electroencephalographic (EEG) data were recorded at 1,000 Hz using a 64-channel active electrode system (BioSemi ActiveTwo, Amsterdam, Netherlands) arranged according to the extended International 10–20 System, with electrode offsets maintained below ±40 µV and impedances kept below 5 kΩ. Vertical and horizontal electrooculograms were recorded from additional electrodes placed above and below the left orbit and at the outer canthi.</w:t>
      </w:r>
    </w:p>
    <w:p>
      <w:pPr>
        <w:pStyle w:val="BodyText"/>
      </w:pPr>
      <w:r>
        <w:t xml:space="preserve">Offline processing was conducted in EEGLAB and ERPLAB (MATLAB) using the following pipeline, applied in fixed order: (1) re-referencing to the algebraic average of the left and right mastoids; (2) zero-phase Butterworth band-pass filtering between 0.1 and 30 Hz (24 dB/octave roll-off); (3) segmentation of ocular and myogenic artifacts via Infomax Independent Component Analysis, with components removed on the basis of scalp topography, time-course, and spectral profile; (4) epoch extraction from −200 to +800 ms relative to stimulus onset, baseline-corrected against the 200 ms pre-stimulus window; and (5) automatic rejection of epochs with residual peak-to-peak amplitude exceeding ±75 µV at any scalp channel, followed by manual verification of every rejected epoch. The mean N400 amplitude was computed within the canonical 300–500 ms post-stimulus window over the centro-parietal region of interest (ROI: Cz, CPz, Pz), selected a priori on the basis of the typical N400 scalp distribution. A minimum of 30 artifact-free trials per condition and participant was required for inclusion; all participants exceeded this threshold. Response latency was measured from stimulus onset to the oral response onset, and behavioral responses were audio-recorded for offline scoring according to the rubric in Appendix H.</w:t>
      </w:r>
    </w:p>
    <w:bookmarkEnd w:id="22"/>
    <w:bookmarkStart w:id="23" w:name="X11597abffaa3ada220fd297ec9a76695a834996"/>
    <w:p>
      <w:pPr>
        <w:pStyle w:val="Heading1"/>
      </w:pPr>
      <w:r>
        <w:t xml:space="preserve">4 Appendix D: Descriptive Statistics (Group × Time)</w:t>
      </w:r>
    </w:p>
    <w:p>
      <w:pPr>
        <w:pStyle w:val="FirstParagraph"/>
      </w:pPr>
      <w:r>
        <w:t xml:space="preserve">Table D1 reports means and standard deviations for the five dependent measures — L1 requests, L1 calques, response latency (ms), fluency (words per minute equivalent), and mean N400 amplitude (µV) — separately for the 40) and Experimental Group (EG,) and Experimental Group (EG, n = 40) at the three testing intervals: T1 (pre-test), T2 (mid-point, end of Week 12), and T3 (post-test, end of Week 24). Values are computed from the full 240-observation dataset (80 participants × 3 time points).</w:t>
      </w:r>
    </w:p>
    <w:p>
      <w:pPr>
        <w:pStyle w:val="BodyText"/>
      </w:pPr>
      <w:r>
        <w:rPr>
          <w:bCs/>
          <w:b/>
        </w:rPr>
        <w:t xml:space="preserve">Table D1.</w:t>
      </w:r>
      <w:r>
        <w:t xml:space="preserve"> </w:t>
      </w:r>
      <w:r>
        <w:t xml:space="preserve">Descriptive statistics (M ± SD) by group and time.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Measure</w:t>
            </w:r>
          </w:p>
        </w:tc>
        <w:tc>
          <w:tcPr/>
          <w:p>
            <w:pPr>
              <w:pStyle w:val="Compact"/>
              <w:jc w:val="left"/>
            </w:pPr>
            <w:r>
              <w:t xml:space="preserve">Group</w:t>
            </w:r>
          </w:p>
        </w:tc>
        <w:tc>
          <w:tcPr/>
          <w:p>
            <w:pPr>
              <w:pStyle w:val="Compact"/>
              <w:jc w:val="left"/>
            </w:pPr>
            <w:r>
              <w:t xml:space="preserve">T1 (Pre-test)</w:t>
            </w:r>
          </w:p>
        </w:tc>
        <w:tc>
          <w:tcPr/>
          <w:p>
            <w:pPr>
              <w:pStyle w:val="Compact"/>
              <w:jc w:val="left"/>
            </w:pPr>
            <w:r>
              <w:t xml:space="preserve">T2 (Mid-point)</w:t>
            </w:r>
          </w:p>
        </w:tc>
        <w:tc>
          <w:tcPr/>
          <w:p>
            <w:pPr>
              <w:pStyle w:val="Compact"/>
              <w:jc w:val="left"/>
            </w:pPr>
            <w:r>
              <w:t xml:space="preserve">T3 (Post-test)</w:t>
            </w:r>
          </w:p>
        </w:tc>
      </w:tr>
      <w:tr>
        <w:tc>
          <w:tcPr/>
          <w:p>
            <w:pPr>
              <w:pStyle w:val="Compact"/>
              <w:jc w:val="left"/>
            </w:pPr>
            <w:r>
              <w:t xml:space="preserve">L1 requests</w:t>
            </w:r>
          </w:p>
        </w:tc>
        <w:tc>
          <w:tcPr/>
          <w:p>
            <w:pPr>
              <w:pStyle w:val="Compact"/>
              <w:jc w:val="left"/>
            </w:pPr>
            <w:r>
              <w:t xml:space="preserve">CG</w:t>
            </w:r>
          </w:p>
        </w:tc>
        <w:tc>
          <w:tcPr/>
          <w:p>
            <w:pPr>
              <w:pStyle w:val="Compact"/>
              <w:jc w:val="left"/>
            </w:pPr>
            <w:r>
              <w:t xml:space="preserve">8.02 ± 2.55</w:t>
            </w:r>
          </w:p>
        </w:tc>
        <w:tc>
          <w:tcPr/>
          <w:p>
            <w:pPr>
              <w:pStyle w:val="Compact"/>
              <w:jc w:val="left"/>
            </w:pPr>
            <w:r>
              <w:t xml:space="preserve">7.54 ± 2.49</w:t>
            </w:r>
          </w:p>
        </w:tc>
        <w:tc>
          <w:tcPr/>
          <w:p>
            <w:pPr>
              <w:pStyle w:val="Compact"/>
              <w:jc w:val="left"/>
            </w:pPr>
            <w:r>
              <w:t xml:space="preserve">7.11 ± 2.41</w:t>
            </w:r>
          </w:p>
        </w:tc>
      </w:tr>
      <w:tr>
        <w:tc>
          <w:tcPr/>
          <w:p>
            <w:pPr>
              <w:pStyle w:val="Compact"/>
            </w:pPr>
          </w:p>
        </w:tc>
        <w:tc>
          <w:tcPr/>
          <w:p>
            <w:pPr>
              <w:pStyle w:val="Compact"/>
              <w:jc w:val="left"/>
            </w:pPr>
            <w:r>
              <w:t xml:space="preserve">EG</w:t>
            </w:r>
          </w:p>
        </w:tc>
        <w:tc>
          <w:tcPr/>
          <w:p>
            <w:pPr>
              <w:pStyle w:val="Compact"/>
              <w:jc w:val="left"/>
            </w:pPr>
            <w:r>
              <w:t xml:space="preserve">8.06 ± 2.52</w:t>
            </w:r>
          </w:p>
        </w:tc>
        <w:tc>
          <w:tcPr/>
          <w:p>
            <w:pPr>
              <w:pStyle w:val="Compact"/>
              <w:jc w:val="left"/>
            </w:pPr>
            <w:r>
              <w:t xml:space="preserve">7.02 ± 2.38</w:t>
            </w:r>
          </w:p>
        </w:tc>
        <w:tc>
          <w:tcPr/>
          <w:p>
            <w:pPr>
              <w:pStyle w:val="Compact"/>
              <w:jc w:val="left"/>
            </w:pPr>
            <w:r>
              <w:t xml:space="preserve">6.26 ± 2.40</w:t>
            </w:r>
          </w:p>
        </w:tc>
      </w:tr>
      <w:tr>
        <w:tc>
          <w:tcPr/>
          <w:p>
            <w:pPr>
              <w:pStyle w:val="Compact"/>
              <w:jc w:val="left"/>
            </w:pPr>
            <w:r>
              <w:t xml:space="preserve">L1 calques</w:t>
            </w:r>
          </w:p>
        </w:tc>
        <w:tc>
          <w:tcPr/>
          <w:p>
            <w:pPr>
              <w:pStyle w:val="Compact"/>
              <w:jc w:val="left"/>
            </w:pPr>
            <w:r>
              <w:t xml:space="preserve">CG</w:t>
            </w:r>
          </w:p>
        </w:tc>
        <w:tc>
          <w:tcPr/>
          <w:p>
            <w:pPr>
              <w:pStyle w:val="Compact"/>
              <w:jc w:val="left"/>
            </w:pPr>
            <w:r>
              <w:t xml:space="preserve">5.10 ± 2.20</w:t>
            </w:r>
          </w:p>
        </w:tc>
        <w:tc>
          <w:tcPr/>
          <w:p>
            <w:pPr>
              <w:pStyle w:val="Compact"/>
              <w:jc w:val="left"/>
            </w:pPr>
            <w:r>
              <w:t xml:space="preserve">4.82 ± 2.12</w:t>
            </w:r>
          </w:p>
        </w:tc>
        <w:tc>
          <w:tcPr/>
          <w:p>
            <w:pPr>
              <w:pStyle w:val="Compact"/>
              <w:jc w:val="left"/>
            </w:pPr>
            <w:r>
              <w:t xml:space="preserve">4.55 ± 2.08</w:t>
            </w:r>
          </w:p>
        </w:tc>
      </w:tr>
      <w:tr>
        <w:tc>
          <w:tcPr/>
          <w:p>
            <w:pPr>
              <w:pStyle w:val="Compact"/>
            </w:pPr>
          </w:p>
        </w:tc>
        <w:tc>
          <w:tcPr/>
          <w:p>
            <w:pPr>
              <w:pStyle w:val="Compact"/>
              <w:jc w:val="left"/>
            </w:pPr>
            <w:r>
              <w:t xml:space="preserve">EG</w:t>
            </w:r>
          </w:p>
        </w:tc>
        <w:tc>
          <w:tcPr/>
          <w:p>
            <w:pPr>
              <w:pStyle w:val="Compact"/>
              <w:jc w:val="left"/>
            </w:pPr>
            <w:r>
              <w:t xml:space="preserve">5.08 ± 2.18</w:t>
            </w:r>
          </w:p>
        </w:tc>
        <w:tc>
          <w:tcPr/>
          <w:p>
            <w:pPr>
              <w:pStyle w:val="Compact"/>
              <w:jc w:val="left"/>
            </w:pPr>
            <w:r>
              <w:t xml:space="preserve">4.30 ± 2.05</w:t>
            </w:r>
          </w:p>
        </w:tc>
        <w:tc>
          <w:tcPr/>
          <w:p>
            <w:pPr>
              <w:pStyle w:val="Compact"/>
              <w:jc w:val="left"/>
            </w:pPr>
            <w:r>
              <w:t xml:space="preserve">3.49 ± 2.09</w:t>
            </w:r>
          </w:p>
        </w:tc>
      </w:tr>
      <w:tr>
        <w:tc>
          <w:tcPr/>
          <w:p>
            <w:pPr>
              <w:pStyle w:val="Compact"/>
              <w:jc w:val="left"/>
            </w:pPr>
            <w:r>
              <w:t xml:space="preserve">Response latency (ms)</w:t>
            </w:r>
          </w:p>
        </w:tc>
        <w:tc>
          <w:tcPr/>
          <w:p>
            <w:pPr>
              <w:pStyle w:val="Compact"/>
              <w:jc w:val="left"/>
            </w:pPr>
            <w:r>
              <w:t xml:space="preserve">CG</w:t>
            </w:r>
          </w:p>
        </w:tc>
        <w:tc>
          <w:tcPr/>
          <w:p>
            <w:pPr>
              <w:pStyle w:val="Compact"/>
              <w:jc w:val="left"/>
            </w:pPr>
            <w:r>
              <w:t xml:space="preserve">1,085.40 ± 121.50</w:t>
            </w:r>
          </w:p>
        </w:tc>
        <w:tc>
          <w:tcPr/>
          <w:p>
            <w:pPr>
              <w:pStyle w:val="Compact"/>
              <w:jc w:val="left"/>
            </w:pPr>
            <w:r>
              <w:t xml:space="preserve">1,051.30 ± 119.80</w:t>
            </w:r>
          </w:p>
        </w:tc>
        <w:tc>
          <w:tcPr/>
          <w:p>
            <w:pPr>
              <w:pStyle w:val="Compact"/>
              <w:jc w:val="left"/>
            </w:pPr>
            <w:r>
              <w:t xml:space="preserve">1,028.60 ± 118.90</w:t>
            </w:r>
          </w:p>
        </w:tc>
      </w:tr>
      <w:tr>
        <w:tc>
          <w:tcPr/>
          <w:p>
            <w:pPr>
              <w:pStyle w:val="Compact"/>
            </w:pPr>
          </w:p>
        </w:tc>
        <w:tc>
          <w:tcPr/>
          <w:p>
            <w:pPr>
              <w:pStyle w:val="Compact"/>
              <w:jc w:val="left"/>
            </w:pPr>
            <w:r>
              <w:t xml:space="preserve">EG</w:t>
            </w:r>
          </w:p>
        </w:tc>
        <w:tc>
          <w:tcPr/>
          <w:p>
            <w:pPr>
              <w:pStyle w:val="Compact"/>
              <w:jc w:val="left"/>
            </w:pPr>
            <w:r>
              <w:t xml:space="preserve">1,088.10 ± 122.30</w:t>
            </w:r>
          </w:p>
        </w:tc>
        <w:tc>
          <w:tcPr/>
          <w:p>
            <w:pPr>
              <w:pStyle w:val="Compact"/>
              <w:jc w:val="left"/>
            </w:pPr>
            <w:r>
              <w:t xml:space="preserve">1,030.50 ± 118.20</w:t>
            </w:r>
          </w:p>
        </w:tc>
        <w:tc>
          <w:tcPr/>
          <w:p>
            <w:pPr>
              <w:pStyle w:val="Compact"/>
              <w:jc w:val="left"/>
            </w:pPr>
            <w:r>
              <w:t xml:space="preserve">994.22 ± 117.28</w:t>
            </w:r>
          </w:p>
        </w:tc>
      </w:tr>
      <w:tr>
        <w:tc>
          <w:tcPr/>
          <w:p>
            <w:pPr>
              <w:pStyle w:val="Compact"/>
              <w:jc w:val="left"/>
            </w:pPr>
            <w:r>
              <w:t xml:space="preserve">Fluency</w:t>
            </w:r>
          </w:p>
        </w:tc>
        <w:tc>
          <w:tcPr/>
          <w:p>
            <w:pPr>
              <w:pStyle w:val="Compact"/>
              <w:jc w:val="left"/>
            </w:pPr>
            <w:r>
              <w:t xml:space="preserve">CG</w:t>
            </w:r>
          </w:p>
        </w:tc>
        <w:tc>
          <w:tcPr/>
          <w:p>
            <w:pPr>
              <w:pStyle w:val="Compact"/>
              <w:jc w:val="left"/>
            </w:pPr>
            <w:r>
              <w:t xml:space="preserve">71.20 ± 7.90</w:t>
            </w:r>
          </w:p>
        </w:tc>
        <w:tc>
          <w:tcPr/>
          <w:p>
            <w:pPr>
              <w:pStyle w:val="Compact"/>
              <w:jc w:val="left"/>
            </w:pPr>
            <w:r>
              <w:t xml:space="preserve">73.10 ± 8.00</w:t>
            </w:r>
          </w:p>
        </w:tc>
        <w:tc>
          <w:tcPr/>
          <w:p>
            <w:pPr>
              <w:pStyle w:val="Compact"/>
              <w:jc w:val="left"/>
            </w:pPr>
            <w:r>
              <w:t xml:space="preserve">74.80 ± 8.10</w:t>
            </w:r>
          </w:p>
        </w:tc>
      </w:tr>
      <w:tr>
        <w:tc>
          <w:tcPr/>
          <w:p>
            <w:pPr>
              <w:pStyle w:val="Compact"/>
            </w:pPr>
          </w:p>
        </w:tc>
        <w:tc>
          <w:tcPr/>
          <w:p>
            <w:pPr>
              <w:pStyle w:val="Compact"/>
              <w:jc w:val="left"/>
            </w:pPr>
            <w:r>
              <w:t xml:space="preserve">EG</w:t>
            </w:r>
          </w:p>
        </w:tc>
        <w:tc>
          <w:tcPr/>
          <w:p>
            <w:pPr>
              <w:pStyle w:val="Compact"/>
              <w:jc w:val="left"/>
            </w:pPr>
            <w:r>
              <w:t xml:space="preserve">71.40 ± 7.95</w:t>
            </w:r>
          </w:p>
        </w:tc>
        <w:tc>
          <w:tcPr/>
          <w:p>
            <w:pPr>
              <w:pStyle w:val="Compact"/>
              <w:jc w:val="left"/>
            </w:pPr>
            <w:r>
              <w:t xml:space="preserve">74.60 ± 8.05</w:t>
            </w:r>
          </w:p>
        </w:tc>
        <w:tc>
          <w:tcPr/>
          <w:p>
            <w:pPr>
              <w:pStyle w:val="Compact"/>
              <w:jc w:val="left"/>
            </w:pPr>
            <w:r>
              <w:t xml:space="preserve">79.27 ± 8.01</w:t>
            </w:r>
          </w:p>
        </w:tc>
      </w:tr>
      <w:tr>
        <w:tc>
          <w:tcPr/>
          <w:p>
            <w:pPr>
              <w:pStyle w:val="Compact"/>
              <w:jc w:val="left"/>
            </w:pPr>
            <w:r>
              <w:t xml:space="preserve">N400 amplitude (µV)</w:t>
            </w:r>
          </w:p>
        </w:tc>
        <w:tc>
          <w:tcPr/>
          <w:p>
            <w:pPr>
              <w:pStyle w:val="Compact"/>
              <w:jc w:val="left"/>
            </w:pPr>
            <w:r>
              <w:t xml:space="preserve">CG</w:t>
            </w:r>
          </w:p>
        </w:tc>
        <w:tc>
          <w:tcPr/>
          <w:p>
            <w:pPr>
              <w:pStyle w:val="Compact"/>
              <w:jc w:val="left"/>
            </w:pPr>
            <w:r>
              <w:t xml:space="preserve">−4.10 ± 1.40</w:t>
            </w:r>
          </w:p>
        </w:tc>
        <w:tc>
          <w:tcPr/>
          <w:p>
            <w:pPr>
              <w:pStyle w:val="Compact"/>
              <w:jc w:val="left"/>
            </w:pPr>
            <w:r>
              <w:t xml:space="preserve">−4.02 ± 1.38</w:t>
            </w:r>
          </w:p>
        </w:tc>
        <w:tc>
          <w:tcPr/>
          <w:p>
            <w:pPr>
              <w:pStyle w:val="Compact"/>
              <w:jc w:val="left"/>
            </w:pPr>
            <w:r>
              <w:t xml:space="preserve">−3.95 ± 1.36</w:t>
            </w:r>
          </w:p>
        </w:tc>
      </w:tr>
      <w:tr>
        <w:tc>
          <w:tcPr/>
          <w:p>
            <w:pPr>
              <w:pStyle w:val="Compact"/>
            </w:pPr>
          </w:p>
        </w:tc>
        <w:tc>
          <w:tcPr/>
          <w:p>
            <w:pPr>
              <w:pStyle w:val="Compact"/>
              <w:jc w:val="left"/>
            </w:pPr>
            <w:r>
              <w:t xml:space="preserve">EG</w:t>
            </w:r>
          </w:p>
        </w:tc>
        <w:tc>
          <w:tcPr/>
          <w:p>
            <w:pPr>
              <w:pStyle w:val="Compact"/>
              <w:jc w:val="left"/>
            </w:pPr>
            <w:r>
              <w:t xml:space="preserve">−4.55 ± 1.45</w:t>
            </w:r>
          </w:p>
        </w:tc>
        <w:tc>
          <w:tcPr/>
          <w:p>
            <w:pPr>
              <w:pStyle w:val="Compact"/>
              <w:jc w:val="left"/>
            </w:pPr>
            <w:r>
              <w:t xml:space="preserve">−4.20 ± 1.42</w:t>
            </w:r>
          </w:p>
        </w:tc>
        <w:tc>
          <w:tcPr/>
          <w:p>
            <w:pPr>
              <w:pStyle w:val="Compact"/>
              <w:jc w:val="left"/>
            </w:pPr>
            <w:r>
              <w:t xml:space="preserve">−3.71 ± 1.45</w:t>
            </w:r>
          </w:p>
        </w:tc>
      </w:tr>
    </w:tbl>
    <w:p>
      <w:pPr>
        <w:pStyle w:val="BodyText"/>
      </w:pPr>
      <w:r>
        <w:rPr>
          <w:iCs/>
          <w:i/>
        </w:rPr>
        <w:t xml:space="preserve">Note.</w:t>
      </w:r>
      <w:r>
        <w:t xml:space="preserve"> </w:t>
      </w:r>
      <w:r>
        <w:t xml:space="preserve">For L1 requests, L1 calques, and latency, lower values indicate improvement; for fluency, higher values indicate improvement. N400 values are mean amplitudes at the centro-parietal ROI (Cz, CPz, Pz) in the 300–500 ms window; less negative (attenuated) amplitudes at T3 in the EG are consistent with reduced lexical-semantic access effort (see Appendix I). Raw per-participant values are available in the study dataset (240 rows × 8 columns: ID, Group, Time, L1_Req, L1_Calque, Latency, Fluency, N400).</w:t>
      </w:r>
    </w:p>
    <w:bookmarkEnd w:id="23"/>
    <w:sectPr>
      <w:headerReference w:type="default" r:id="rId9"/>
      <w:footerReference w:type="default" r:id="rId10"/>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azirmatn">
    <w:family w:val="swiss"/>
    <w:pitch w:val="variable"/>
    <w:embedRegular r:id="rIdGapGPTVazirmatnRegular" w:fontKey="{A87ED5A0-4333-5524-8E0F-8F6D12030A04}"/>
    <w:embedBold r:id="rIdGapGPTVazirmatnBold" w:fontKey="{E6192C94-7E0A-5DFF-9A54-21492B366F4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Vazirmatn" w:hAnsi="Vazirmatn" w:eastAsia="Vazirmatn" w:cs="Vazirmatn"/>
        <w:color w:val="808080"/>
        <w:sz w:val="18"/>
        <w:szCs w:val="18"/>
      </w:rPr>
      <w:t>Supplementary Appendices: S-D-S Intervention and EEG Study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embedTrueTypeFonts w:val="true"/>
  <w:saveSubsetFonts w:val="true"/>
</w:settings>
</file>

<file path=word/styles.xml><?xml version="1.0" encoding="utf-8"?>
<w:styles xmlns:r="http://schemas.openxmlformats.org/officeDocument/2006/relationships" xmlns:w="http://schemas.openxmlformats.org/wordprocessingml/2006/main">
  <w:docDefaults>
    <w:rPrDefault>
      <w:rPr>
        <w:rFonts w:ascii="Vazirmatn" w:hAnsi="Vazirmatn" w:eastAsia="Vazirmatn" w:cs="Vazirmat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60" w:line="233" w:lineRule="auto"/>
      <w:ind w:firstLine="0"/>
      <w:jc w:val="both"/>
    </w:pPr>
    <w:rPr>
      <w:rFonts w:ascii="Vazirmatn" w:hAnsi="Vazirmatn" w:eastAsia="Vazirmatn" w:cs="Vazirmatn"/>
      <w:sz w:val="20"/>
      <w:szCs w:val="20"/>
    </w:rPr>
  </w:style>
  <w:style w:styleId="BodyText" w:type="paragraph">
    <w:name w:val="Body Text"/>
    <w:basedOn w:val="Normal"/>
    <w:link w:val="BodyTextChar"/>
    <w:pPr>
      <w:spacing w:after="60" w:before="0" w:line="233" w:lineRule="auto"/>
      <w:ind w:firstLine="0"/>
      <w:jc w:val="both"/>
    </w:pPr>
    <w:qFormat/>
    <w:rPr>
      <w:rFonts w:ascii="Vazirmatn" w:hAnsi="Vazirmatn" w:eastAsia="Vazirmatn" w:cs="Vazirmatn"/>
      <w:sz w:val="20"/>
      <w:szCs w:val="20"/>
    </w:rPr>
  </w:style>
  <w:style w:customStyle="1" w:styleId="FirstParagraph" w:type="paragraph">
    <w:name w:val="First Paragraph"/>
    <w:basedOn w:val="BodyText"/>
    <w:next w:val="BodyText"/>
    <w:qFormat/>
    <w:pPr>
      <w:spacing w:before="0" w:after="60" w:line="233" w:lineRule="auto"/>
      <w:ind w:firstLine="0"/>
      <w:jc w:val="both"/>
    </w:pPr>
    <w:rPr>
      <w:rFonts w:ascii="Vazirmatn" w:hAnsi="Vazirmatn" w:eastAsia="Vazirmatn" w:cs="Vazirmatn"/>
      <w:sz w:val="20"/>
      <w:szCs w:val="20"/>
    </w:rPr>
  </w:style>
  <w:style w:customStyle="1" w:styleId="Compact" w:type="paragraph">
    <w:name w:val="Compact"/>
    <w:basedOn w:val="BodyText"/>
    <w:qFormat/>
    <w:pPr>
      <w:spacing w:after="60" w:before="0" w:line="233" w:lineRule="auto"/>
      <w:ind w:firstLine="0"/>
      <w:jc w:val="both"/>
    </w:pPr>
    <w:rPr>
      <w:rFonts w:ascii="Vazirmatn" w:hAnsi="Vazirmatn" w:eastAsia="Vazirmatn" w:cs="Vazirmatn"/>
      <w:sz w:val="20"/>
      <w:szCs w:val="20"/>
    </w:rPr>
  </w:style>
  <w:style w:styleId="Title" w:type="paragraph">
    <w:name w:val="Title"/>
    <w:basedOn w:val="Normal"/>
    <w:next w:val="BodyText"/>
    <w:qFormat/>
    <w:pPr>
      <w:keepNext/>
      <w:keepLines/>
      <w:spacing w:after="80" w:before="0"/>
      <w:jc w:val="center"/>
      <w:shd w:val="clear" w:fill="334155"/>
    </w:pPr>
    <w:rPr>
      <w:rFonts w:ascii="Vazirmatn" w:hAnsi="Vazirmatn" w:eastAsia="Vazirmatn" w:cs="Vazirmatn"/>
      <w:b/>
      <w:bCs w:val="1"/>
      <w:color w:val="FFFFFF"/>
      <w:sz w:val="29"/>
      <w:szCs w:val="29"/>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240"/>
      <w:jc w:val="center"/>
      <w:shd w:val="clear" w:fill="334155"/>
    </w:pPr>
    <w:rPr>
      <w:rFonts w:ascii="Vazirmatn" w:hAnsi="Vazirmatn" w:eastAsia="Vazirmatn" w:cs="Vazirmatn"/>
      <w:b w:val="0"/>
      <w:color w:val="FFFFFF"/>
      <w:sz w:val="20"/>
      <w:szCs w:val="20"/>
      <w:bCs w:val="0"/>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40"/>
      <w:jc w:val="left"/>
      <w:outlineLvl w:val="0"/>
    </w:pPr>
    <w:rPr>
      <w:rFonts w:ascii="Vazirmatn" w:hAnsi="Vazirmatn" w:eastAsia="Vazirmatn" w:cs="Vazirmatn"/>
      <w:b/>
      <w:bCs w:val="1"/>
      <w:color w:val="334155"/>
      <w:sz w:val="25"/>
      <w:szCs w:val="25"/>
    </w:rPr>
  </w:style>
  <w:style w:styleId="Heading2" w:type="paragraph">
    <w:name w:val="Heading 2"/>
    <w:basedOn w:val="Normal"/>
    <w:next w:val="BodyText"/>
    <w:uiPriority w:val="9"/>
    <w:unhideWhenUsed/>
    <w:qFormat/>
    <w:pPr>
      <w:keepNext/>
      <w:keepLines/>
      <w:spacing w:after="80" w:before="200"/>
      <w:jc w:val="left"/>
      <w:outlineLvl w:val="1"/>
    </w:pPr>
    <w:rPr>
      <w:rFonts w:ascii="Vazirmatn" w:hAnsi="Vazirmatn" w:eastAsia="Vazirmatn" w:cs="Vazirmatn"/>
      <w:b/>
      <w:bCs w:val="1"/>
      <w:color w:val="334155"/>
      <w:sz w:val="21"/>
      <w:szCs w:val="21"/>
    </w:rPr>
  </w:style>
  <w:style w:styleId="Heading3" w:type="paragraph">
    <w:name w:val="Heading 3"/>
    <w:basedOn w:val="Normal"/>
    <w:next w:val="BodyText"/>
    <w:uiPriority w:val="9"/>
    <w:unhideWhenUsed/>
    <w:qFormat/>
    <w:pPr>
      <w:keepNext/>
      <w:keepLines/>
      <w:spacing w:after="60" w:before="160"/>
      <w:jc w:val="left"/>
      <w:outlineLvl w:val="2"/>
    </w:pPr>
    <w:rPr>
      <w:rFonts w:ascii="Vazirmatn" w:hAnsi="Vazirmatn" w:eastAsia="Vazirmatn" w:cs="Vazirmatn"/>
      <w:b/>
      <w:bCs w:val="1"/>
      <w:color w:val="334155"/>
      <w:sz w:val="18"/>
      <w:szCs w:val="18"/>
    </w:rPr>
  </w:style>
  <w:style w:styleId="Heading4" w:type="paragraph">
    <w:name w:val="Heading 4"/>
    <w:basedOn w:val="Normal"/>
    <w:next w:val="BodyText"/>
    <w:uiPriority w:val="9"/>
    <w:unhideWhenUsed/>
    <w:qFormat/>
    <w:pPr>
      <w:keepNext/>
      <w:keepLines/>
      <w:spacing w:after="0" w:before="200"/>
      <w:outlineLvl w:val="3"/>
    </w:pPr>
    <w:rPr>
      <w:rFonts w:ascii="Vazirmatn" w:hAnsi="Vazirmatn" w:eastAsia="Vazirmatn" w:cs="Vazirmat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Vazirmatn" w:hAnsi="Vazirmatn" w:eastAsia="Vazirmatn" w:cs="Vazirmat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Vazirmatn" w:hAnsi="Vazirmatn" w:eastAsia="Vazirmatn" w:cs="Vazirmat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Vazirmatn" w:hAnsi="Vazirmatn" w:eastAsia="Vazirmatn" w:cs="Vazirmat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Vazirmatn" w:hAnsi="Vazirmatn" w:eastAsia="Vazirmatn" w:cs="Vazirmat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Vazirmatn" w:hAnsi="Vazirmatn" w:eastAsia="Vazirmatn" w:cs="Vazirmat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before="200" w:line="259" w:lineRule="auto" w:after="120"/>
      <w:jc w:val="left"/>
      <w:outlineLvl w:val="9"/>
    </w:pPr>
    <w:rPr>
      <w:rFonts w:asciiTheme="majorHAnsi" w:cstheme="majorBidi" w:eastAsiaTheme="majorEastAsia" w:hAnsiTheme="majorHAnsi" w:ascii="Vazirmatn" w:hAnsi="Vazirmatn" w:eastAsia="Vazirmatn" w:cs="Vazirmatn"/>
      <w:b/>
      <w:bCs w:val="1"/>
      <w:color w:val="334155"/>
      <w:sz w:val="25"/>
      <w:szCs w:val="2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ns0:Relationships xmlns:ns0="http://schemas.openxmlformats.org/package/2006/relationships"><ns0:Relationship Id="rIdGapGPTVazirmatnRegular" Type="http://schemas.openxmlformats.org/officeDocument/2006/relationships/font" Target="fonts/Vazirmatn-Regular.odttf"/><ns0:Relationship Id="rIdGapGPTVazirmatnBold" Type="http://schemas.openxmlformats.org/officeDocument/2006/relationships/font" Target="fonts/Vazirmatn-Bold.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Appendices: S-D-S Intervention and EEG Study</dc:title>
  <dc:creator/>
  <cp:keywords/>
  <dcterms:created xsi:type="dcterms:W3CDTF">2026-09-21T05:55:39Z</dcterms:created>
  <dcterms:modified xsi:type="dcterms:W3CDTF">2026-09-21T05:55:39Z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2026-09-21</vt:lpwstr>
  </property>
  <property fmtid="{D5CDD505-2E9C-101B-9397-08002B2CF9AE}" pid="3" name="toc-title">
    <vt:lpwstr>Table of Contents</vt:lpwstr>
  </property>
</Properties>
</file>