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Vazirmatn" w:hAnsi="Vazirmatn" w:eastAsia="Vazirmatn" w:cs="Vazirmatn"/>
        </w:rPr>
        <w:t>Pragmatics Survey Questionnaire: The Nigerian Greeting "Have You Eaten?"</w:t>
      </w:r>
    </w:p>
    <w:p>
      <w:pPr>
        <w:pStyle w:val="Date"/>
      </w:pPr>
      <w:r>
        <w:t xml:space="preserve">2026-09-23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survey-overview" w:history="1">
            <w:r>
              <w:rPr>
                <w:sz w:val="21"/>
                <w:szCs w:val="21"/>
              </w:rPr>
              <w:t>1 Survey Overview</w:t>
            </w:r>
          </w:hyperlink>
          <w:r>
            <w:tab/>
          </w:r>
          <w:fldSimple w:instr=" PAGEREF survey-overview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section-a-demographic-information" w:history="1">
            <w:r>
              <w:rPr>
                <w:sz w:val="21"/>
                <w:szCs w:val="21"/>
              </w:rPr>
              <w:t>2 Section A — Demographic Information</w:t>
            </w:r>
          </w:hyperlink>
          <w:r>
            <w:tab/>
          </w:r>
          <w:fldSimple w:instr=" PAGEREF section-a-demographic-information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Xd48c52f7dab8561a46d8ea45c7b63759a41942f" w:history="1">
            <w:r>
              <w:rPr>
                <w:sz w:val="21"/>
                <w:szCs w:val="21"/>
              </w:rPr>
              <w:t>3 Section B — Pragmatic Questionnaire Items (Q1 to Q6)</w:t>
            </w:r>
          </w:hyperlink>
          <w:r>
            <w:tab/>
          </w:r>
          <w:fldSimple w:instr=" PAGEREF Xd48c52f7dab8561a46d8ea45c7b63759a41942f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response-distribution-summary" w:history="1">
            <w:r>
              <w:rPr>
                <w:sz w:val="21"/>
                <w:szCs w:val="21"/>
              </w:rPr>
              <w:t>4 Response Distribution Summary</w:t>
            </w:r>
          </w:hyperlink>
          <w:r>
            <w:tab/>
          </w:r>
          <w:fldSimple w:instr=" PAGEREF response-distribution-summary \h "/>
        </w:p>
        <w:p>
          <w:pPr>
            <w:jc w:val="left"/>
            <w:spacing w:after="60"/>
            <w:tabs>
              <w:tab w:val="right" w:leader="dot" w:pos="9000"/>
            </w:tabs>
          </w:pPr>
          <w:hyperlink w:anchor="figures" w:history="1">
            <w:r>
              <w:rPr>
                <w:sz w:val="21"/>
                <w:szCs w:val="21"/>
              </w:rPr>
              <w:t>5 Figures</w:t>
            </w:r>
          </w:hyperlink>
          <w:r>
            <w:tab/>
          </w:r>
          <w:fldSimple w:instr=" PAGEREF figures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e4b5d85f6bc5c3076849d377e306d58be0b9d33" w:history="1">
            <w:r>
              <w:rPr>
                <w:sz w:val="21"/>
                <w:szCs w:val="21"/>
              </w:rPr>
              <w:t>5.1 Figure 1 — General Use and Primary Communicative Intention (Q1 &amp; Q2)</w:t>
            </w:r>
          </w:hyperlink>
          <w:r>
            <w:tab/>
          </w:r>
          <w:fldSimple w:instr=" PAGEREF Xe4b5d85f6bc5c3076849d377e306d58be0b9d33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3b55794fbdeabc2ea9a2c1faaf95e651d3043e6" w:history="1">
            <w:r>
              <w:rPr>
                <w:sz w:val="21"/>
                <w:szCs w:val="21"/>
              </w:rPr>
              <w:t>5.2 Figure 2 — The Affective–Material Gap (Q3 vs. Q5)</w:t>
            </w:r>
          </w:hyperlink>
          <w:r>
            <w:tab/>
          </w:r>
          <w:fldSimple w:instr=" PAGEREF X3b55794fbdeabc2ea9a2c1faaf95e651d3043e6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d37d5c69a0ce43f4665ecd192342b2d70e66ba3" w:history="1">
            <w:r>
              <w:rPr>
                <w:sz w:val="21"/>
                <w:szCs w:val="21"/>
              </w:rPr>
              <w:t>5.3 Figure 3 — Reaction Profiles to Explicit Hunger Disclosure (Q4)</w:t>
            </w:r>
          </w:hyperlink>
          <w:r>
            <w:tab/>
          </w:r>
          <w:fldSimple w:instr=" PAGEREF Xd37d5c69a0ce43f4665ecd192342b2d70e66ba3 \h "/>
        </w:p>
        <w:p>
          <w:pPr>
            <w:jc w:val="left"/>
            <w:spacing w:after="60"/>
            <w:tabs>
              <w:tab w:val="right" w:leader="dot" w:pos="9000"/>
            </w:tabs>
            <w:ind w:left="360"/>
          </w:pPr>
          <w:hyperlink w:anchor="X1cca00e90a2f3a60f0db8d5208a030b7b745e53" w:history="1">
            <w:r>
              <w:rPr>
                <w:sz w:val="21"/>
                <w:szCs w:val="21"/>
              </w:rPr>
              <w:t>5.4 Figure 4 — Response Strategies by Residence Status (Q5)</w:t>
            </w:r>
          </w:hyperlink>
          <w:r>
            <w:tab/>
          </w:r>
          <w:fldSimple w:instr=" PAGEREF X1cca00e90a2f3a60f0db8d5208a030b7b745e53 \h "/>
        </w:p>
      </w:sdtContent>
    </w:sdt>
    <w:bookmarkStart w:id="20" w:name="survey-overview"/>
    <w:p>
      <w:pPr>
        <w:pStyle w:val="Heading1"/>
      </w:pPr>
      <w:r>
        <w:t xml:space="preserve">1 Survey Overview</w:t>
      </w:r>
    </w:p>
    <w:p>
      <w:pPr>
        <w:pStyle w:val="FirstParagraph"/>
      </w:pPr>
      <w:r>
        <w:t xml:space="preserve">This questionnaire forms part of the study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Between Care and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Billing</w:t>
      </w:r>
      <w:r>
        <w:rPr>
          <w:bCs/>
          <w:b/>
        </w:rPr>
        <w:t xml:space="preserve">’</w:t>
      </w:r>
      <w:r>
        <w:rPr>
          <w:bCs/>
          <w:b/>
        </w:rPr>
        <w:t xml:space="preserve">: Decoding Linguistic Masking and Transnational Identity in the Nigerian Greeting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Have You Eaten?</w:t>
      </w:r>
      <w:r>
        <w:rPr>
          <w:bCs/>
          <w:b/>
        </w:rPr>
        <w:t xml:space="preserve">’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It is a structured pragmatic questionnaire examining frequency of greeting use, perceived communicative intention, affective meaning, reactions to an explicit hunger scenario, subsequent response strategies, and perceptions of economic influence.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Study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Nigerian adults, aged 30–50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diaspora participants (60%) / 40 residents in Nigeria (40%)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Purposive and snowball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Quantitative, cross-sectional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statistics; Wilson 95% CIs; exact binomial test; Pearson’s χ² with Cramér’s V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Instructions to respondents:</w:t>
      </w:r>
      <w:r>
        <w:t xml:space="preserve"> </w:t>
      </w:r>
      <w:r>
        <w:t xml:space="preserve">Please answer all questions honestly. There are no right or wrong answers. Question Q4 allows you to select more than one option; all other items require a single response unless otherwise indicated.</w:t>
      </w:r>
    </w:p>
    <w:bookmarkEnd w:id="20"/>
    <w:bookmarkStart w:id="21" w:name="section-a-demographic-information"/>
    <w:p>
      <w:pPr>
        <w:pStyle w:val="Heading1"/>
      </w:pPr>
      <w:r>
        <w:t xml:space="preserve">2 Section A — Demographic Information</w:t>
      </w:r>
    </w:p>
    <w:p>
      <w:pPr>
        <w:pStyle w:val="FirstParagraph"/>
      </w:pPr>
      <w:r>
        <w:t xml:space="preserve">Please provide the following background information:</w:t>
      </w:r>
    </w:p>
    <w:p>
      <w:pPr>
        <w:pStyle w:val="BodyText"/>
      </w:pPr>
      <w:r>
        <w:rPr>
          <w:bCs/>
          <w:b/>
        </w:rPr>
        <w:t xml:space="preserve">A1. Age group</w:t>
      </w:r>
      <w:r>
        <w:t xml:space="preserve"> </w:t>
      </w:r>
      <w:r>
        <w:t xml:space="preserve">- ☐ 30–39 years</w:t>
      </w:r>
      <w:r>
        <w:t xml:space="preserve"> </w:t>
      </w:r>
      <w:r>
        <w:t xml:space="preserve">- ☐ 40–50 years</w:t>
      </w:r>
    </w:p>
    <w:p>
      <w:pPr>
        <w:pStyle w:val="BodyText"/>
      </w:pPr>
      <w:r>
        <w:rPr>
          <w:bCs/>
          <w:b/>
        </w:rPr>
        <w:t xml:space="preserve">A2. Current place of residence</w:t>
      </w:r>
      <w:r>
        <w:t xml:space="preserve"> </w:t>
      </w:r>
      <w:r>
        <w:t xml:space="preserve">- ☐ I currently live in Nigeria</w:t>
      </w:r>
      <w:r>
        <w:t xml:space="preserve"> </w:t>
      </w:r>
      <w:r>
        <w:t xml:space="preserve">- ☐ I currently live outside Nigeria (diaspora)</w:t>
      </w:r>
    </w:p>
    <w:p>
      <w:pPr>
        <w:pStyle w:val="BodyText"/>
      </w:pPr>
      <w:r>
        <w:rPr>
          <w:bCs/>
          <w:b/>
        </w:rPr>
        <w:t xml:space="preserve">A3. Nigerian identity</w:t>
      </w:r>
      <w:r>
        <w:t xml:space="preserve"> </w:t>
      </w:r>
      <w:r>
        <w:t xml:space="preserve">- ☐ I identify as Nigerian</w:t>
      </w:r>
    </w:p>
    <w:p>
      <w:pPr>
        <w:pStyle w:val="BodyText"/>
      </w:pPr>
      <w:r>
        <w:rPr>
          <w:iCs/>
          <w:i/>
        </w:rPr>
        <w:t xml:space="preserve">All 100 participants in the final sample were aged 30–50, identified as Nigerian, and comprised 60 diaspora residents and 40 residents of Nigeria.</w:t>
      </w:r>
    </w:p>
    <w:bookmarkEnd w:id="21"/>
    <w:bookmarkStart w:id="22" w:name="Xd48c52f7dab8561a46d8ea45c7b63759a41942f"/>
    <w:p>
      <w:pPr>
        <w:pStyle w:val="Heading1"/>
      </w:pPr>
      <w:r>
        <w:t xml:space="preserve">3 Section B — Pragmatic Questionnaire Items (Q1 to Q6)</w:t>
      </w:r>
    </w:p>
    <w:p>
      <w:pPr>
        <w:pStyle w:val="FirstParagraph"/>
      </w:pPr>
      <w:r>
        <w:rPr>
          <w:bCs/>
          <w:b/>
        </w:rPr>
        <w:t xml:space="preserve">Q1. How often do you use the greeting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Have you eaten?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as a greeting or conversation starter?</w:t>
      </w:r>
    </w:p>
    <w:p>
      <w:pPr>
        <w:numPr>
          <w:ilvl w:val="0"/>
          <w:numId w:val="1001"/>
        </w:numPr>
        <w:pStyle w:val="Compact"/>
      </w:pPr>
      <w:r>
        <w:t xml:space="preserve">☐ Always —</w:t>
      </w:r>
      <w:r>
        <w:t xml:space="preserve"> </w:t>
      </w:r>
      <w:r>
        <w:rPr>
          <w:iCs/>
          <w:i/>
        </w:rPr>
        <w:t xml:space="preserve">(10% of respondents)</w:t>
      </w:r>
    </w:p>
    <w:p>
      <w:pPr>
        <w:numPr>
          <w:ilvl w:val="0"/>
          <w:numId w:val="1001"/>
        </w:numPr>
        <w:pStyle w:val="Compact"/>
      </w:pPr>
      <w:r>
        <w:t xml:space="preserve">☐ Often —</w:t>
      </w:r>
      <w:r>
        <w:t xml:space="preserve"> </w:t>
      </w:r>
      <w:r>
        <w:rPr>
          <w:iCs/>
          <w:i/>
        </w:rPr>
        <w:t xml:space="preserve">(50%)</w:t>
      </w:r>
    </w:p>
    <w:p>
      <w:pPr>
        <w:numPr>
          <w:ilvl w:val="0"/>
          <w:numId w:val="1001"/>
        </w:numPr>
        <w:pStyle w:val="Compact"/>
      </w:pPr>
      <w:r>
        <w:t xml:space="preserve">☐ Sometimes —</w:t>
      </w:r>
      <w:r>
        <w:t xml:space="preserve"> </w:t>
      </w:r>
      <w:r>
        <w:rPr>
          <w:iCs/>
          <w:i/>
        </w:rPr>
        <w:t xml:space="preserve">(40%)</w:t>
      </w:r>
    </w:p>
    <w:p>
      <w:pPr>
        <w:numPr>
          <w:ilvl w:val="0"/>
          <w:numId w:val="1001"/>
        </w:numPr>
        <w:pStyle w:val="Compact"/>
      </w:pPr>
      <w:r>
        <w:t xml:space="preserve">☐ Rarely</w:t>
      </w:r>
    </w:p>
    <w:p>
      <w:pPr>
        <w:numPr>
          <w:ilvl w:val="0"/>
          <w:numId w:val="1001"/>
        </w:numPr>
        <w:pStyle w:val="Compact"/>
      </w:pPr>
      <w:r>
        <w:t xml:space="preserve">☐ Never</w:t>
      </w:r>
    </w:p>
    <w:p>
      <w:pPr>
        <w:pStyle w:val="FirstParagraph"/>
      </w:pPr>
      <w:r>
        <w:rPr>
          <w:bCs/>
          <w:b/>
        </w:rPr>
        <w:t xml:space="preserve">Q2. What do you consider the primary intention behind your use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Have you eaten?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☐ Genuinely showing care and concern —</w:t>
      </w:r>
      <w:r>
        <w:t xml:space="preserve"> </w:t>
      </w:r>
      <w:r>
        <w:rPr>
          <w:iCs/>
          <w:i/>
        </w:rPr>
        <w:t xml:space="preserve">(40%)</w:t>
      </w:r>
    </w:p>
    <w:p>
      <w:pPr>
        <w:numPr>
          <w:ilvl w:val="0"/>
          <w:numId w:val="1002"/>
        </w:numPr>
        <w:pStyle w:val="Compact"/>
      </w:pPr>
      <w:r>
        <w:t xml:space="preserve">☐ Initiating conversation or small talk —</w:t>
      </w:r>
      <w:r>
        <w:t xml:space="preserve"> </w:t>
      </w:r>
      <w:r>
        <w:rPr>
          <w:iCs/>
          <w:i/>
        </w:rPr>
        <w:t xml:space="preserve">(20%)</w:t>
      </w:r>
    </w:p>
    <w:p>
      <w:pPr>
        <w:numPr>
          <w:ilvl w:val="0"/>
          <w:numId w:val="1002"/>
        </w:numPr>
        <w:pStyle w:val="Compact"/>
      </w:pPr>
      <w:r>
        <w:t xml:space="preserve">☐ Social expectation or habit —</w:t>
      </w:r>
      <w:r>
        <w:t xml:space="preserve"> </w:t>
      </w:r>
      <w:r>
        <w:rPr>
          <w:iCs/>
          <w:i/>
        </w:rPr>
        <w:t xml:space="preserve">(30%)</w:t>
      </w:r>
    </w:p>
    <w:p>
      <w:pPr>
        <w:numPr>
          <w:ilvl w:val="0"/>
          <w:numId w:val="1002"/>
        </w:numPr>
        <w:pStyle w:val="Compact"/>
      </w:pPr>
      <w:r>
        <w:t xml:space="preserve">☐ Checking on the interlocutor’s well-being —</w:t>
      </w:r>
      <w:r>
        <w:t xml:space="preserve"> </w:t>
      </w:r>
      <w:r>
        <w:rPr>
          <w:iCs/>
          <w:i/>
        </w:rPr>
        <w:t xml:space="preserve">(10%)</w:t>
      </w:r>
    </w:p>
    <w:p>
      <w:pPr>
        <w:pStyle w:val="FirstParagraph"/>
      </w:pPr>
      <w:r>
        <w:rPr>
          <w:bCs/>
          <w:b/>
        </w:rPr>
        <w:t xml:space="preserve">Q3.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Have you eaten?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conveys affection comparable to other culturally recognized expressions of interpersonal care (such as saying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love you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☐ Strongly Agree —</w:t>
      </w:r>
      <w:r>
        <w:t xml:space="preserve"> </w:t>
      </w:r>
      <w:r>
        <w:rPr>
          <w:iCs/>
          <w:i/>
        </w:rPr>
        <w:t xml:space="preserve">(100%)</w:t>
      </w:r>
    </w:p>
    <w:p>
      <w:pPr>
        <w:numPr>
          <w:ilvl w:val="0"/>
          <w:numId w:val="1003"/>
        </w:numPr>
        <w:pStyle w:val="Compact"/>
      </w:pPr>
      <w:r>
        <w:t xml:space="preserve">☐ Agree</w:t>
      </w:r>
    </w:p>
    <w:p>
      <w:pPr>
        <w:numPr>
          <w:ilvl w:val="0"/>
          <w:numId w:val="1003"/>
        </w:numPr>
        <w:pStyle w:val="Compact"/>
      </w:pPr>
      <w:r>
        <w:t xml:space="preserve">☐ Neutral</w:t>
      </w:r>
    </w:p>
    <w:p>
      <w:pPr>
        <w:numPr>
          <w:ilvl w:val="0"/>
          <w:numId w:val="1003"/>
        </w:numPr>
        <w:pStyle w:val="Compact"/>
      </w:pPr>
      <w:r>
        <w:t xml:space="preserve">☐ Disagree</w:t>
      </w:r>
    </w:p>
    <w:p>
      <w:pPr>
        <w:numPr>
          <w:ilvl w:val="0"/>
          <w:numId w:val="1003"/>
        </w:numPr>
        <w:pStyle w:val="Compact"/>
      </w:pPr>
      <w:r>
        <w:t xml:space="preserve">☐ Strongly Disagree</w:t>
      </w:r>
    </w:p>
    <w:p>
      <w:pPr>
        <w:pStyle w:val="FirstParagraph"/>
      </w:pPr>
      <w:r>
        <w:rPr>
          <w:bCs/>
          <w:b/>
        </w:rPr>
        <w:t xml:space="preserve">Q4. If someone replies to your greeting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o, I’m seriously hungry,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what would your likely reaction(s) be?</w:t>
      </w:r>
      <w:r>
        <w:t xml:space="preserve"> </w:t>
      </w:r>
      <w:r>
        <w:rPr>
          <w:iCs/>
          <w:i/>
        </w:rPr>
        <w:t xml:space="preserve">(You may select more than one option.)</w:t>
      </w:r>
    </w:p>
    <w:p>
      <w:pPr>
        <w:numPr>
          <w:ilvl w:val="0"/>
          <w:numId w:val="1004"/>
        </w:numPr>
        <w:pStyle w:val="Compact"/>
      </w:pPr>
      <w:r>
        <w:t xml:space="preserve">☐ Surprise —</w:t>
      </w:r>
      <w:r>
        <w:t xml:space="preserve"> </w:t>
      </w:r>
      <w:r>
        <w:rPr>
          <w:iCs/>
          <w:i/>
        </w:rPr>
        <w:t xml:space="preserve">(50%)</w:t>
      </w:r>
    </w:p>
    <w:p>
      <w:pPr>
        <w:numPr>
          <w:ilvl w:val="0"/>
          <w:numId w:val="1004"/>
        </w:numPr>
        <w:pStyle w:val="Compact"/>
      </w:pPr>
      <w:r>
        <w:t xml:space="preserve">☐ Neutral / Amused —</w:t>
      </w:r>
      <w:r>
        <w:t xml:space="preserve"> </w:t>
      </w:r>
      <w:r>
        <w:rPr>
          <w:iCs/>
          <w:i/>
        </w:rPr>
        <w:t xml:space="preserve">(40%)</w:t>
      </w:r>
    </w:p>
    <w:p>
      <w:pPr>
        <w:numPr>
          <w:ilvl w:val="0"/>
          <w:numId w:val="1004"/>
        </w:numPr>
        <w:pStyle w:val="Compact"/>
      </w:pPr>
      <w:r>
        <w:t xml:space="preserve">☐ Empathetic / willing to help —</w:t>
      </w:r>
      <w:r>
        <w:t xml:space="preserve"> </w:t>
      </w:r>
      <w:r>
        <w:rPr>
          <w:iCs/>
          <w:i/>
        </w:rPr>
        <w:t xml:space="preserve">(20%)</w:t>
      </w:r>
    </w:p>
    <w:p>
      <w:pPr>
        <w:numPr>
          <w:ilvl w:val="0"/>
          <w:numId w:val="1004"/>
        </w:numPr>
        <w:pStyle w:val="Compact"/>
      </w:pPr>
      <w:r>
        <w:t xml:space="preserve">☐ Anxious about being</w:t>
      </w:r>
      <w:r>
        <w:t xml:space="preserve"> </w:t>
      </w:r>
      <w:r>
        <w:t xml:space="preserve">“</w:t>
      </w:r>
      <w:r>
        <w:t xml:space="preserve">billed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(10%)</w:t>
      </w:r>
    </w:p>
    <w:p>
      <w:pPr>
        <w:pStyle w:val="FirstParagraph"/>
      </w:pPr>
      <w:r>
        <w:rPr>
          <w:iCs/>
          <w:i/>
        </w:rPr>
        <w:t xml:space="preserve">Note: this is a multiple-response item; percentages sum to more than 100%.</w:t>
      </w:r>
    </w:p>
    <w:p>
      <w:pPr>
        <w:pStyle w:val="BodyText"/>
      </w:pPr>
      <w:r>
        <w:rPr>
          <w:bCs/>
          <w:b/>
        </w:rPr>
        <w:t xml:space="preserve">Q5. When someone tells you they are hungry, what do you typically do?</w:t>
      </w:r>
      <w:r>
        <w:t xml:space="preserve"> </w:t>
      </w:r>
      <w:r>
        <w:rPr>
          <w:iCs/>
          <w:i/>
        </w:rPr>
        <w:t xml:space="preserve">(Select one.)</w:t>
      </w:r>
    </w:p>
    <w:p>
      <w:pPr>
        <w:numPr>
          <w:ilvl w:val="0"/>
          <w:numId w:val="1005"/>
        </w:numPr>
        <w:pStyle w:val="Compact"/>
      </w:pPr>
      <w:r>
        <w:t xml:space="preserve">☐ Offer verbal comfort or religious reassurance —</w:t>
      </w:r>
      <w:r>
        <w:t xml:space="preserve"> </w:t>
      </w:r>
      <w:r>
        <w:rPr>
          <w:iCs/>
          <w:i/>
        </w:rPr>
        <w:t xml:space="preserve">(65%)</w:t>
      </w:r>
    </w:p>
    <w:p>
      <w:pPr>
        <w:numPr>
          <w:ilvl w:val="0"/>
          <w:numId w:val="1005"/>
        </w:numPr>
        <w:pStyle w:val="Compact"/>
      </w:pPr>
      <w:r>
        <w:t xml:space="preserve">☐ Change the topic —</w:t>
      </w:r>
      <w:r>
        <w:t xml:space="preserve"> </w:t>
      </w:r>
      <w:r>
        <w:rPr>
          <w:iCs/>
          <w:i/>
        </w:rPr>
        <w:t xml:space="preserve">(15%)</w:t>
      </w:r>
    </w:p>
    <w:p>
      <w:pPr>
        <w:numPr>
          <w:ilvl w:val="0"/>
          <w:numId w:val="1005"/>
        </w:numPr>
        <w:pStyle w:val="Compact"/>
      </w:pPr>
      <w:r>
        <w:t xml:space="preserve">☐ Offer food or money —</w:t>
      </w:r>
      <w:r>
        <w:t xml:space="preserve"> </w:t>
      </w:r>
      <w:r>
        <w:rPr>
          <w:iCs/>
          <w:i/>
        </w:rPr>
        <w:t xml:space="preserve">(10%)</w:t>
      </w:r>
    </w:p>
    <w:p>
      <w:pPr>
        <w:numPr>
          <w:ilvl w:val="0"/>
          <w:numId w:val="1005"/>
        </w:numPr>
        <w:pStyle w:val="Compact"/>
      </w:pPr>
      <w:r>
        <w:t xml:space="preserve">☐ Other —</w:t>
      </w:r>
      <w:r>
        <w:t xml:space="preserve"> </w:t>
      </w:r>
      <w:r>
        <w:rPr>
          <w:iCs/>
          <w:i/>
        </w:rPr>
        <w:t xml:space="preserve">(10%)</w:t>
      </w:r>
    </w:p>
    <w:p>
      <w:pPr>
        <w:pStyle w:val="FirstParagraph"/>
      </w:pPr>
      <w:r>
        <w:rPr>
          <w:bCs/>
          <w:b/>
        </w:rPr>
        <w:t xml:space="preserve">Q6. Has Nigeria’s current economic situation changed the way people use or interpret this greeting?</w:t>
      </w:r>
    </w:p>
    <w:p>
      <w:pPr>
        <w:numPr>
          <w:ilvl w:val="0"/>
          <w:numId w:val="1006"/>
        </w:numPr>
        <w:pStyle w:val="Compact"/>
      </w:pPr>
      <w:r>
        <w:t xml:space="preserve">☐ No, it is still used traditionally regardless of the economy —</w:t>
      </w:r>
      <w:r>
        <w:t xml:space="preserve"> </w:t>
      </w:r>
      <w:r>
        <w:rPr>
          <w:iCs/>
          <w:i/>
        </w:rPr>
        <w:t xml:space="preserve">(70%)</w:t>
      </w:r>
    </w:p>
    <w:p>
      <w:pPr>
        <w:numPr>
          <w:ilvl w:val="0"/>
          <w:numId w:val="1006"/>
        </w:numPr>
        <w:pStyle w:val="Compact"/>
      </w:pPr>
      <w:r>
        <w:t xml:space="preserve">☐ Yes, people are more cautious because they might be</w:t>
      </w:r>
      <w:r>
        <w:t xml:space="preserve"> </w:t>
      </w:r>
      <w:r>
        <w:t xml:space="preserve">“</w:t>
      </w:r>
      <w:r>
        <w:t xml:space="preserve">billed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(5%)</w:t>
      </w:r>
    </w:p>
    <w:p>
      <w:pPr>
        <w:numPr>
          <w:ilvl w:val="0"/>
          <w:numId w:val="1006"/>
        </w:numPr>
        <w:pStyle w:val="Compact"/>
      </w:pPr>
      <w:r>
        <w:t xml:space="preserve">☐ Not sure —</w:t>
      </w:r>
      <w:r>
        <w:t xml:space="preserve"> </w:t>
      </w:r>
      <w:r>
        <w:rPr>
          <w:iCs/>
          <w:i/>
        </w:rPr>
        <w:t xml:space="preserve">(25%)</w:t>
      </w:r>
    </w:p>
    <w:bookmarkEnd w:id="22"/>
    <w:bookmarkStart w:id="23" w:name="response-distribution-summary"/>
    <w:p>
      <w:pPr>
        <w:pStyle w:val="Heading1"/>
      </w:pPr>
      <w:r>
        <w:t xml:space="preserve">4 Response Distribution Summary</w:t>
      </w:r>
    </w:p>
    <w:p>
      <w:pPr>
        <w:pStyle w:val="FirstParagraph"/>
      </w:pPr>
      <w:r>
        <w:t xml:space="preserve">The table below summarizes the observed response distribution for each questionnaire item based on the processed survey data (N = 100).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greeting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10% · Often 50% · Sometimes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communicative 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care 40% · Small talk 20% · Social expectation/habit 30% · Checking well-being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Affective endorsement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Agree 100% (Wilson 95% CI: 96.3–100%)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Reactions to hunger disclosure (multiple 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 50% · Neutral/Amused 40% · Empathetic/help-oriented 20% ·</w:t>
            </w:r>
            <w:r>
              <w:t xml:space="preserve"> </w:t>
            </w:r>
            <w:r>
              <w:t xml:space="preserve">“</w:t>
            </w:r>
            <w:r>
              <w:t xml:space="preserve">Billing</w:t>
            </w:r>
            <w:r>
              <w:t xml:space="preserve">”</w:t>
            </w:r>
            <w:r>
              <w:t xml:space="preserve"> </w:t>
            </w:r>
            <w:r>
              <w:t xml:space="preserve">anxiety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response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Verbal/religious reassurance 65% (CI: 55.3–73.6%) · Topic change 15% · Offer food/money 10% · Other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 economic 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use unchanged 70% · More cautious 5% · Unsure 25%</w:t>
            </w:r>
          </w:p>
        </w:tc>
      </w:tr>
    </w:tbl>
    <w:p>
      <w:pPr>
        <w:pStyle w:val="BodyText"/>
      </w:pPr>
      <w:r>
        <w:t xml:space="preserve">Key inferential results reported in the study: the 65% verbal/religious reassurance rate differed significantly from an equal-probability reference distribution across the four Q5 categories (exact binomial test, p &lt; .001), and residence status was not significantly associated with Q5 response strategy, χ²(3) = 0.34, p = .952, Cramér’s V = .058 — indicating relative translocal continuity between diaspora and resident respondents.</w:t>
      </w:r>
    </w:p>
    <w:bookmarkEnd w:id="23"/>
    <w:bookmarkStart w:id="28" w:name="figures"/>
    <w:p>
      <w:pPr>
        <w:pStyle w:val="Heading1"/>
      </w:pPr>
      <w:r>
        <w:t xml:space="preserve">5 Figures</w:t>
      </w:r>
    </w:p>
    <w:p>
      <w:pPr>
        <w:pStyle w:val="FirstParagraph"/>
      </w:pPr>
      <w:r>
        <w:t xml:space="preserve">The following figures visualize the questionnaire response distributions and are reproduced from the analysis of the processed survey data.</w:t>
      </w:r>
    </w:p>
    <w:bookmarkStart w:id="24" w:name="Xe4b5d85f6bc5c3076849d377e306d58be0b9d33"/>
    <w:p>
      <w:pPr>
        <w:pStyle w:val="Heading2"/>
      </w:pPr>
      <w:r>
        <w:t xml:space="preserve">5.1 Figure 1 — General Use and Primary Communicative Intention (Q1 &amp; Q2)</w:t>
      </w:r>
    </w:p>
    <w:p>
      <w:pPr>
        <w:pStyle w:val="FirstParagraph"/>
      </w:pPr>
      <w:r>
        <w:t xml:space="preserve">Figure 1</w:t>
      </w:r>
    </w:p>
    <w:bookmarkEnd w:id="24"/>
    <w:bookmarkStart w:id="25" w:name="X3b55794fbdeabc2ea9a2c1faaf95e651d3043e6"/>
    <w:p>
      <w:pPr>
        <w:pStyle w:val="Heading2"/>
      </w:pPr>
      <w:r>
        <w:t xml:space="preserve">5.2 Figure 2 — The Affective–Material Gap (Q3 vs. Q5)</w:t>
      </w:r>
    </w:p>
    <w:p>
      <w:pPr>
        <w:pStyle w:val="FirstParagraph"/>
      </w:pPr>
      <w:r>
        <w:t xml:space="preserve">Figure 2</w:t>
      </w:r>
    </w:p>
    <w:bookmarkEnd w:id="25"/>
    <w:bookmarkStart w:id="26" w:name="Xd37d5c69a0ce43f4665ecd192342b2d70e66ba3"/>
    <w:p>
      <w:pPr>
        <w:pStyle w:val="Heading2"/>
      </w:pPr>
      <w:r>
        <w:t xml:space="preserve">5.3 Figure 3 — Reaction Profiles to Explicit Hunger Disclosure (Q4)</w:t>
      </w:r>
    </w:p>
    <w:p>
      <w:pPr>
        <w:pStyle w:val="FirstParagraph"/>
      </w:pPr>
      <w:r>
        <w:t xml:space="preserve">Figure 3</w:t>
      </w:r>
    </w:p>
    <w:bookmarkEnd w:id="26"/>
    <w:bookmarkStart w:id="27" w:name="X1cca00e90a2f3a60f0db8d5208a030b7b745e53"/>
    <w:p>
      <w:pPr>
        <w:pStyle w:val="Heading2"/>
      </w:pPr>
      <w:r>
        <w:t xml:space="preserve">5.4 Figure 4 — Response Strategies by Residence Status (Q5)</w:t>
      </w:r>
    </w:p>
    <w:p>
      <w:pPr>
        <w:pStyle w:val="FirstParagraph"/>
      </w:pPr>
      <w:r>
        <w:t xml:space="preserve">Figure 4</w:t>
      </w:r>
    </w:p>
    <w:bookmarkEnd w:id="27"/>
    <w:bookmarkEnd w:id="28"/>
    <w:sectPr>
      <w:headerReference w:type="default" r:id="rId9"/>
      <w:footerReference w:type="default" r:id="rId10"/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azirmatn">
    <w:family w:val="swiss"/>
    <w:pitch w:val="variable"/>
    <w:embedRegular r:id="rIdGapGPTVazirmatnRegular" w:fontKey="{A87ED5A0-4333-5524-8E0F-8F6D12030A04}"/>
    <w:embedBold r:id="rIdGapGPTVazirmatnBold" w:fontKey="{E6192C94-7E0A-5DFF-9A54-21492B366F4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Vazirmatn" w:hAnsi="Vazirmatn" w:eastAsia="Vazirmatn" w:cs="Vazirmatn"/>
        <w:color w:val="808080"/>
        <w:sz w:val="18"/>
        <w:szCs w:val="18"/>
      </w:rPr>
      <w:t>Pragmatics Survey Questionnaire: The Nigerian Greeting "Have You Eaten?"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  <w:embedTrueTypeFonts w:val="true"/>
  <w:saveSubsetFont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azirmatn" w:hAnsi="Vazirmatn" w:eastAsia="Vazirmatn" w:cs="Vazirmat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  <w:ind w:firstLine="0"/>
      <w:jc w:val="both"/>
    </w:pPr>
    <w:rPr>
      <w:rFonts w:ascii="Vazirmatn" w:hAnsi="Vazirmatn" w:eastAsia="Vazirmatn" w:cs="Vazirmatn"/>
      <w:sz w:val="22"/>
      <w:szCs w:val="22"/>
    </w:rPr>
  </w:style>
  <w:style w:styleId="BodyText" w:type="paragraph">
    <w:name w:val="Body Text"/>
    <w:basedOn w:val="Normal"/>
    <w:link w:val="BodyTextChar"/>
    <w:pPr>
      <w:spacing w:after="120" w:before="0" w:line="240" w:lineRule="auto"/>
      <w:ind w:firstLine="0"/>
      <w:jc w:val="both"/>
    </w:pPr>
    <w:qFormat/>
    <w:rPr>
      <w:rFonts w:ascii="Vazirmatn" w:hAnsi="Vazirmatn" w:eastAsia="Vazirmatn" w:cs="Vazirmatn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40" w:lineRule="auto"/>
      <w:ind w:firstLine="0"/>
      <w:jc w:val="both"/>
    </w:pPr>
    <w:rPr>
      <w:rFonts w:ascii="Vazirmatn" w:hAnsi="Vazirmatn" w:eastAsia="Vazirmatn" w:cs="Vazirmatn"/>
      <w:sz w:val="22"/>
      <w:szCs w:val="22"/>
    </w:rPr>
  </w:style>
  <w:style w:customStyle="1" w:styleId="Compact" w:type="paragraph">
    <w:name w:val="Compact"/>
    <w:basedOn w:val="BodyText"/>
    <w:qFormat/>
    <w:pPr>
      <w:spacing w:after="120" w:before="0" w:line="240" w:lineRule="auto"/>
      <w:ind w:firstLine="0"/>
      <w:jc w:val="both"/>
    </w:pPr>
    <w:rPr>
      <w:rFonts w:ascii="Vazirmatn" w:hAnsi="Vazirmatn" w:eastAsia="Vazirmatn" w:cs="Vazirmatn"/>
      <w:sz w:val="22"/>
      <w:szCs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Vazirmatn" w:hAnsi="Vazirmatn" w:eastAsia="Vazirmatn" w:cs="Vazirmatn"/>
      <w:b/>
      <w:bCs w:val="1"/>
      <w:color w:val="4338CA"/>
      <w:sz w:val="31"/>
      <w:szCs w:val="31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spacing w:before="0" w:after="240"/>
      <w:jc w:val="center"/>
      <w:pBdr>
        <w:bottom w:val="single" w:sz="6" w:space="8" w:color="C7D2FE"/>
      </w:pBdr>
    </w:pPr>
    <w:rPr>
      <w:rFonts w:ascii="Vazirmatn" w:hAnsi="Vazirmatn" w:eastAsia="Vazirmatn" w:cs="Vazirmatn"/>
      <w:b w:val="0"/>
      <w:color w:val="6B7280"/>
      <w:sz w:val="22"/>
      <w:szCs w:val="22"/>
      <w:bCs w:val="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jc w:val="left"/>
      <w:outlineLvl w:val="0"/>
    </w:pPr>
    <w:rPr>
      <w:rFonts w:ascii="Vazirmatn" w:hAnsi="Vazirmatn" w:eastAsia="Vazirmatn" w:cs="Vazirmatn"/>
      <w:b/>
      <w:bCs w:val="1"/>
      <w:color w:val="4338CA"/>
      <w:sz w:val="29"/>
      <w:szCs w:val="29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1"/>
    </w:pPr>
    <w:rPr>
      <w:rFonts w:ascii="Vazirmatn" w:hAnsi="Vazirmatn" w:eastAsia="Vazirmatn" w:cs="Vazirmatn"/>
      <w:b/>
      <w:bCs w:val="1"/>
      <w:color w:val="4338CA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jc w:val="left"/>
      <w:outlineLvl w:val="2"/>
    </w:pPr>
    <w:rPr>
      <w:rFonts w:ascii="Vazirmatn" w:hAnsi="Vazirmatn" w:eastAsia="Vazirmatn" w:cs="Vazirmatn"/>
      <w:b/>
      <w:bCs w:val="1"/>
      <w:color w:val="4338CA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Vazirmatn" w:hAnsi="Vazirmatn" w:eastAsia="Vazirmatn" w:cs="Vazirmat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Vazirmatn" w:hAnsi="Vazirmatn" w:eastAsia="Vazirmatn" w:cs="Vazirmat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Vazirmatn" w:hAnsi="Vazirmatn" w:eastAsia="Vazirmatn" w:cs="Vazirmat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before="200" w:line="259" w:lineRule="auto" w:after="120"/>
      <w:jc w:val="left"/>
      <w:outlineLvl w:val="9"/>
    </w:pPr>
    <w:rPr>
      <w:rFonts w:asciiTheme="majorHAnsi" w:cstheme="majorBidi" w:eastAsiaTheme="majorEastAsia" w:hAnsiTheme="majorHAnsi" w:ascii="Vazirmatn" w:hAnsi="Vazirmatn" w:eastAsia="Vazirmatn" w:cs="Vazirmatn"/>
      <w:b/>
      <w:bCs w:val="1"/>
      <w:color w:val="4338CA"/>
      <w:sz w:val="29"/>
      <w:szCs w:val="2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ns0:Relationships xmlns:ns0="http://schemas.openxmlformats.org/package/2006/relationships"><ns0:Relationship Id="rIdGapGPTVazirmatnRegular" Type="http://schemas.openxmlformats.org/officeDocument/2006/relationships/font" Target="fonts/Vazirmatn-Regular.odttf"/><ns0:Relationship Id="rIdGapGPTVazirmatnBold" Type="http://schemas.openxmlformats.org/officeDocument/2006/relationships/font" Target="fonts/Vazirmatn-Bold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Pragmatics Survey Questionnaire: The Nigerian Greeting "Have You Eaten?"</dc:title>
  <dc:creator/>
  <cp:keywords/>
  <dcterms:created xsi:type="dcterms:W3CDTF">2026-09-23T19:40:01Z</dcterms:created>
  <dcterms:modified xsi:type="dcterms:W3CDTF">2026-09-23T19:40:01Z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toc-title">
    <vt:lpwstr>Table of Contents</vt:lpwstr>
  </property>
</Properties>
</file>