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95F6"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Supplementary Materials</w:t>
      </w:r>
    </w:p>
    <w:p w14:paraId="448EF847"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Manuscript</w:t>
      </w:r>
    </w:p>
    <w:p w14:paraId="3BD783A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Title:</w:t>
      </w:r>
      <w:r w:rsidRPr="00492FCC">
        <w:rPr>
          <w:rFonts w:asciiTheme="majorBidi" w:hAnsiTheme="majorBidi" w:cstheme="majorBidi"/>
          <w:sz w:val="26"/>
          <w:szCs w:val="26"/>
        </w:rPr>
        <w:t xml:space="preserve"> </w:t>
      </w:r>
      <w:r w:rsidRPr="00492FCC">
        <w:rPr>
          <w:rFonts w:asciiTheme="majorBidi" w:hAnsiTheme="majorBidi" w:cstheme="majorBidi"/>
          <w:i/>
          <w:iCs/>
          <w:sz w:val="26"/>
          <w:szCs w:val="26"/>
        </w:rPr>
        <w:t>Between Care and “Billing”: Decoding Linguistic Masking and Transnational Identity in the Nigerian Greeting “Have You Eaten?”</w:t>
      </w:r>
    </w:p>
    <w:p w14:paraId="55E25890"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Author:</w:t>
      </w:r>
      <w:r w:rsidRPr="00492FCC">
        <w:rPr>
          <w:rFonts w:asciiTheme="majorBidi" w:hAnsiTheme="majorBidi" w:cstheme="majorBidi"/>
          <w:sz w:val="26"/>
          <w:szCs w:val="26"/>
        </w:rPr>
        <w:t xml:space="preserve"> Pegah Merrikhi, Ph.D.</w:t>
      </w:r>
      <w:r w:rsidRPr="00492FCC">
        <w:rPr>
          <w:rFonts w:asciiTheme="majorBidi" w:hAnsiTheme="majorBidi" w:cstheme="majorBidi"/>
          <w:sz w:val="26"/>
          <w:szCs w:val="26"/>
        </w:rPr>
        <w:br/>
        <w:t>Independent Researcher in Applied Linguistics &amp; TESOL</w:t>
      </w:r>
    </w:p>
    <w:p w14:paraId="676C5D4F"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515521DA">
          <v:rect id="_x0000_i1121" style="width:0;height:1.5pt" o:hralign="center" o:hrstd="t" o:hr="t" fillcolor="#a0a0a0" stroked="f"/>
        </w:pict>
      </w:r>
    </w:p>
    <w:p w14:paraId="4344871A"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Supplementary Material 1. Survey Instrument</w:t>
      </w:r>
    </w:p>
    <w:p w14:paraId="36FFBD6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The questionnaire was administered as an anonymous online survey to adult Nigerian participants.</w:t>
      </w:r>
    </w:p>
    <w:p w14:paraId="0C11BA70"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Q1. Frequency of use</w:t>
      </w:r>
    </w:p>
    <w:p w14:paraId="1F2A2000"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How often do you use “Have you eaten?” as a greeting or routine social expression?</w:t>
      </w:r>
    </w:p>
    <w:p w14:paraId="2E1A5427" w14:textId="77777777" w:rsidR="00F17FFD" w:rsidRPr="00492FCC" w:rsidRDefault="00F17FFD" w:rsidP="00F17FFD">
      <w:pPr>
        <w:numPr>
          <w:ilvl w:val="0"/>
          <w:numId w:val="1"/>
        </w:numPr>
        <w:jc w:val="right"/>
        <w:rPr>
          <w:rFonts w:asciiTheme="majorBidi" w:hAnsiTheme="majorBidi" w:cstheme="majorBidi"/>
          <w:sz w:val="26"/>
          <w:szCs w:val="26"/>
        </w:rPr>
      </w:pPr>
      <w:r w:rsidRPr="00492FCC">
        <w:rPr>
          <w:rFonts w:asciiTheme="majorBidi" w:hAnsiTheme="majorBidi" w:cstheme="majorBidi"/>
          <w:sz w:val="26"/>
          <w:szCs w:val="26"/>
        </w:rPr>
        <w:t>Always</w:t>
      </w:r>
    </w:p>
    <w:p w14:paraId="431B1FD4" w14:textId="77777777" w:rsidR="00F17FFD" w:rsidRPr="00492FCC" w:rsidRDefault="00F17FFD" w:rsidP="00F17FFD">
      <w:pPr>
        <w:numPr>
          <w:ilvl w:val="0"/>
          <w:numId w:val="1"/>
        </w:numPr>
        <w:jc w:val="right"/>
        <w:rPr>
          <w:rFonts w:asciiTheme="majorBidi" w:hAnsiTheme="majorBidi" w:cstheme="majorBidi"/>
          <w:sz w:val="26"/>
          <w:szCs w:val="26"/>
        </w:rPr>
      </w:pPr>
      <w:r w:rsidRPr="00492FCC">
        <w:rPr>
          <w:rFonts w:asciiTheme="majorBidi" w:hAnsiTheme="majorBidi" w:cstheme="majorBidi"/>
          <w:sz w:val="26"/>
          <w:szCs w:val="26"/>
        </w:rPr>
        <w:t>Often</w:t>
      </w:r>
    </w:p>
    <w:p w14:paraId="02A0E2AF" w14:textId="77777777" w:rsidR="00F17FFD" w:rsidRPr="00492FCC" w:rsidRDefault="00F17FFD" w:rsidP="00F17FFD">
      <w:pPr>
        <w:numPr>
          <w:ilvl w:val="0"/>
          <w:numId w:val="1"/>
        </w:numPr>
        <w:jc w:val="right"/>
        <w:rPr>
          <w:rFonts w:asciiTheme="majorBidi" w:hAnsiTheme="majorBidi" w:cstheme="majorBidi"/>
          <w:sz w:val="26"/>
          <w:szCs w:val="26"/>
        </w:rPr>
      </w:pPr>
      <w:r w:rsidRPr="00492FCC">
        <w:rPr>
          <w:rFonts w:asciiTheme="majorBidi" w:hAnsiTheme="majorBidi" w:cstheme="majorBidi"/>
          <w:sz w:val="26"/>
          <w:szCs w:val="26"/>
        </w:rPr>
        <w:t>Sometimes</w:t>
      </w:r>
    </w:p>
    <w:p w14:paraId="7124FECE" w14:textId="77777777" w:rsidR="00F17FFD" w:rsidRPr="00492FCC" w:rsidRDefault="00F17FFD" w:rsidP="00F17FFD">
      <w:pPr>
        <w:numPr>
          <w:ilvl w:val="0"/>
          <w:numId w:val="1"/>
        </w:numPr>
        <w:jc w:val="right"/>
        <w:rPr>
          <w:rFonts w:asciiTheme="majorBidi" w:hAnsiTheme="majorBidi" w:cstheme="majorBidi"/>
          <w:sz w:val="26"/>
          <w:szCs w:val="26"/>
        </w:rPr>
      </w:pPr>
      <w:r w:rsidRPr="00492FCC">
        <w:rPr>
          <w:rFonts w:asciiTheme="majorBidi" w:hAnsiTheme="majorBidi" w:cstheme="majorBidi"/>
          <w:sz w:val="26"/>
          <w:szCs w:val="26"/>
        </w:rPr>
        <w:t>Rarely/Never</w:t>
      </w:r>
    </w:p>
    <w:p w14:paraId="33501DA0"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Observed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20"/>
        <w:gridCol w:w="552"/>
      </w:tblGrid>
      <w:tr w:rsidR="00F17FFD" w:rsidRPr="00492FCC" w14:paraId="4186C6DC" w14:textId="77777777">
        <w:trPr>
          <w:tblHeader/>
          <w:tblCellSpacing w:w="15" w:type="dxa"/>
        </w:trPr>
        <w:tc>
          <w:tcPr>
            <w:tcW w:w="0" w:type="auto"/>
            <w:vAlign w:val="center"/>
            <w:hideMark/>
          </w:tcPr>
          <w:p w14:paraId="238D4630"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Response</w:t>
            </w:r>
          </w:p>
        </w:tc>
        <w:tc>
          <w:tcPr>
            <w:tcW w:w="0" w:type="auto"/>
            <w:vAlign w:val="center"/>
            <w:hideMark/>
          </w:tcPr>
          <w:p w14:paraId="7DCA68B7"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n</w:t>
            </w:r>
          </w:p>
        </w:tc>
        <w:tc>
          <w:tcPr>
            <w:tcW w:w="0" w:type="auto"/>
            <w:vAlign w:val="center"/>
            <w:hideMark/>
          </w:tcPr>
          <w:p w14:paraId="5920270B"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w:t>
            </w:r>
          </w:p>
        </w:tc>
      </w:tr>
      <w:tr w:rsidR="00F17FFD" w:rsidRPr="00492FCC" w14:paraId="52BC8590" w14:textId="77777777">
        <w:trPr>
          <w:tblCellSpacing w:w="15" w:type="dxa"/>
        </w:trPr>
        <w:tc>
          <w:tcPr>
            <w:tcW w:w="0" w:type="auto"/>
            <w:vAlign w:val="center"/>
            <w:hideMark/>
          </w:tcPr>
          <w:p w14:paraId="6A87B50B"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Always</w:t>
            </w:r>
          </w:p>
        </w:tc>
        <w:tc>
          <w:tcPr>
            <w:tcW w:w="0" w:type="auto"/>
            <w:vAlign w:val="center"/>
            <w:hideMark/>
          </w:tcPr>
          <w:p w14:paraId="73396001"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10</w:t>
            </w:r>
          </w:p>
        </w:tc>
        <w:tc>
          <w:tcPr>
            <w:tcW w:w="0" w:type="auto"/>
            <w:vAlign w:val="center"/>
            <w:hideMark/>
          </w:tcPr>
          <w:p w14:paraId="7B24ED9C"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10%</w:t>
            </w:r>
          </w:p>
        </w:tc>
      </w:tr>
      <w:tr w:rsidR="00F17FFD" w:rsidRPr="00492FCC" w14:paraId="3A8C7C6A" w14:textId="77777777">
        <w:trPr>
          <w:tblCellSpacing w:w="15" w:type="dxa"/>
        </w:trPr>
        <w:tc>
          <w:tcPr>
            <w:tcW w:w="0" w:type="auto"/>
            <w:vAlign w:val="center"/>
            <w:hideMark/>
          </w:tcPr>
          <w:p w14:paraId="255CC3F3"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Often</w:t>
            </w:r>
          </w:p>
        </w:tc>
        <w:tc>
          <w:tcPr>
            <w:tcW w:w="0" w:type="auto"/>
            <w:vAlign w:val="center"/>
            <w:hideMark/>
          </w:tcPr>
          <w:p w14:paraId="72D6048F"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50</w:t>
            </w:r>
          </w:p>
        </w:tc>
        <w:tc>
          <w:tcPr>
            <w:tcW w:w="0" w:type="auto"/>
            <w:vAlign w:val="center"/>
            <w:hideMark/>
          </w:tcPr>
          <w:p w14:paraId="1779E680"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50%</w:t>
            </w:r>
          </w:p>
        </w:tc>
      </w:tr>
      <w:tr w:rsidR="00F17FFD" w:rsidRPr="00492FCC" w14:paraId="2694F734" w14:textId="77777777">
        <w:trPr>
          <w:tblCellSpacing w:w="15" w:type="dxa"/>
        </w:trPr>
        <w:tc>
          <w:tcPr>
            <w:tcW w:w="0" w:type="auto"/>
            <w:vAlign w:val="center"/>
            <w:hideMark/>
          </w:tcPr>
          <w:p w14:paraId="3A8DC60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Sometimes</w:t>
            </w:r>
          </w:p>
        </w:tc>
        <w:tc>
          <w:tcPr>
            <w:tcW w:w="0" w:type="auto"/>
            <w:vAlign w:val="center"/>
            <w:hideMark/>
          </w:tcPr>
          <w:p w14:paraId="6BF2B403"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40</w:t>
            </w:r>
          </w:p>
        </w:tc>
        <w:tc>
          <w:tcPr>
            <w:tcW w:w="0" w:type="auto"/>
            <w:vAlign w:val="center"/>
            <w:hideMark/>
          </w:tcPr>
          <w:p w14:paraId="58F0BD24"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40%</w:t>
            </w:r>
          </w:p>
        </w:tc>
      </w:tr>
      <w:tr w:rsidR="00F17FFD" w:rsidRPr="00492FCC" w14:paraId="4C40D1D4" w14:textId="77777777">
        <w:trPr>
          <w:tblCellSpacing w:w="15" w:type="dxa"/>
        </w:trPr>
        <w:tc>
          <w:tcPr>
            <w:tcW w:w="0" w:type="auto"/>
            <w:vAlign w:val="center"/>
            <w:hideMark/>
          </w:tcPr>
          <w:p w14:paraId="3BDC59A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Rarely/Never</w:t>
            </w:r>
          </w:p>
        </w:tc>
        <w:tc>
          <w:tcPr>
            <w:tcW w:w="0" w:type="auto"/>
            <w:vAlign w:val="center"/>
            <w:hideMark/>
          </w:tcPr>
          <w:p w14:paraId="0F68851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0</w:t>
            </w:r>
          </w:p>
        </w:tc>
        <w:tc>
          <w:tcPr>
            <w:tcW w:w="0" w:type="auto"/>
            <w:vAlign w:val="center"/>
            <w:hideMark/>
          </w:tcPr>
          <w:p w14:paraId="37C6448E"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0%</w:t>
            </w:r>
          </w:p>
        </w:tc>
      </w:tr>
    </w:tbl>
    <w:p w14:paraId="6DBE8E7A"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4A007944">
          <v:rect id="_x0000_i1122" style="width:0;height:1.5pt" o:hralign="center" o:hrstd="t" o:hr="t" fillcolor="#a0a0a0" stroked="f"/>
        </w:pict>
      </w:r>
    </w:p>
    <w:p w14:paraId="426CBDB4"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Q2. Primary communicative intention</w:t>
      </w:r>
    </w:p>
    <w:p w14:paraId="60B68512"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When you say “Have you eaten?” as a greeting, what is usually your primary intention?</w:t>
      </w:r>
    </w:p>
    <w:p w14:paraId="551BE5D8" w14:textId="77777777" w:rsidR="00F17FFD" w:rsidRPr="00492FCC" w:rsidRDefault="00F17FFD" w:rsidP="00F17FFD">
      <w:pPr>
        <w:numPr>
          <w:ilvl w:val="0"/>
          <w:numId w:val="2"/>
        </w:numPr>
        <w:jc w:val="right"/>
        <w:rPr>
          <w:rFonts w:asciiTheme="majorBidi" w:hAnsiTheme="majorBidi" w:cstheme="majorBidi"/>
          <w:sz w:val="26"/>
          <w:szCs w:val="26"/>
        </w:rPr>
      </w:pPr>
      <w:r w:rsidRPr="00492FCC">
        <w:rPr>
          <w:rFonts w:asciiTheme="majorBidi" w:hAnsiTheme="majorBidi" w:cstheme="majorBidi"/>
          <w:sz w:val="26"/>
          <w:szCs w:val="26"/>
        </w:rPr>
        <w:t>To express genuine care or concern</w:t>
      </w:r>
    </w:p>
    <w:p w14:paraId="2A4D754C" w14:textId="77777777" w:rsidR="00F17FFD" w:rsidRPr="00492FCC" w:rsidRDefault="00F17FFD" w:rsidP="00F17FFD">
      <w:pPr>
        <w:numPr>
          <w:ilvl w:val="0"/>
          <w:numId w:val="2"/>
        </w:numPr>
        <w:jc w:val="right"/>
        <w:rPr>
          <w:rFonts w:asciiTheme="majorBidi" w:hAnsiTheme="majorBidi" w:cstheme="majorBidi"/>
          <w:sz w:val="26"/>
          <w:szCs w:val="26"/>
        </w:rPr>
      </w:pPr>
      <w:r w:rsidRPr="00492FCC">
        <w:rPr>
          <w:rFonts w:asciiTheme="majorBidi" w:hAnsiTheme="majorBidi" w:cstheme="majorBidi"/>
          <w:sz w:val="26"/>
          <w:szCs w:val="26"/>
        </w:rPr>
        <w:lastRenderedPageBreak/>
        <w:t>To start a conversation or make small talk</w:t>
      </w:r>
    </w:p>
    <w:p w14:paraId="7899B8AD" w14:textId="77777777" w:rsidR="00F17FFD" w:rsidRPr="00492FCC" w:rsidRDefault="00F17FFD" w:rsidP="00F17FFD">
      <w:pPr>
        <w:numPr>
          <w:ilvl w:val="0"/>
          <w:numId w:val="2"/>
        </w:numPr>
        <w:jc w:val="right"/>
        <w:rPr>
          <w:rFonts w:asciiTheme="majorBidi" w:hAnsiTheme="majorBidi" w:cstheme="majorBidi"/>
          <w:sz w:val="26"/>
          <w:szCs w:val="26"/>
        </w:rPr>
      </w:pPr>
      <w:r w:rsidRPr="00492FCC">
        <w:rPr>
          <w:rFonts w:asciiTheme="majorBidi" w:hAnsiTheme="majorBidi" w:cstheme="majorBidi"/>
          <w:sz w:val="26"/>
          <w:szCs w:val="26"/>
        </w:rPr>
        <w:t>Because it is a social expectation or habitual greeting</w:t>
      </w:r>
    </w:p>
    <w:p w14:paraId="3C4EBD68" w14:textId="77777777" w:rsidR="00F17FFD" w:rsidRPr="00492FCC" w:rsidRDefault="00F17FFD" w:rsidP="00F17FFD">
      <w:pPr>
        <w:numPr>
          <w:ilvl w:val="0"/>
          <w:numId w:val="2"/>
        </w:numPr>
        <w:jc w:val="right"/>
        <w:rPr>
          <w:rFonts w:asciiTheme="majorBidi" w:hAnsiTheme="majorBidi" w:cstheme="majorBidi"/>
          <w:sz w:val="26"/>
          <w:szCs w:val="26"/>
        </w:rPr>
      </w:pPr>
      <w:r w:rsidRPr="00492FCC">
        <w:rPr>
          <w:rFonts w:asciiTheme="majorBidi" w:hAnsiTheme="majorBidi" w:cstheme="majorBidi"/>
          <w:sz w:val="26"/>
          <w:szCs w:val="26"/>
        </w:rPr>
        <w:t>To check the person's general well-being</w:t>
      </w:r>
    </w:p>
    <w:p w14:paraId="33C522A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Observed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450"/>
        <w:gridCol w:w="725"/>
      </w:tblGrid>
      <w:tr w:rsidR="00F17FFD" w:rsidRPr="00492FCC" w14:paraId="74B61CF3" w14:textId="77777777">
        <w:trPr>
          <w:tblHeader/>
          <w:tblCellSpacing w:w="15" w:type="dxa"/>
        </w:trPr>
        <w:tc>
          <w:tcPr>
            <w:tcW w:w="0" w:type="auto"/>
            <w:vAlign w:val="center"/>
            <w:hideMark/>
          </w:tcPr>
          <w:p w14:paraId="2CCF8C1B"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Response</w:t>
            </w:r>
          </w:p>
        </w:tc>
        <w:tc>
          <w:tcPr>
            <w:tcW w:w="0" w:type="auto"/>
            <w:vAlign w:val="center"/>
            <w:hideMark/>
          </w:tcPr>
          <w:p w14:paraId="313EB210"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n</w:t>
            </w:r>
          </w:p>
        </w:tc>
        <w:tc>
          <w:tcPr>
            <w:tcW w:w="0" w:type="auto"/>
            <w:vAlign w:val="center"/>
            <w:hideMark/>
          </w:tcPr>
          <w:p w14:paraId="4D41E9E0"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w:t>
            </w:r>
          </w:p>
        </w:tc>
      </w:tr>
      <w:tr w:rsidR="00F17FFD" w:rsidRPr="00492FCC" w14:paraId="5AACB154" w14:textId="77777777">
        <w:trPr>
          <w:tblCellSpacing w:w="15" w:type="dxa"/>
        </w:trPr>
        <w:tc>
          <w:tcPr>
            <w:tcW w:w="0" w:type="auto"/>
            <w:vAlign w:val="center"/>
            <w:hideMark/>
          </w:tcPr>
          <w:p w14:paraId="098189AC"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Genuine care/concern</w:t>
            </w:r>
          </w:p>
        </w:tc>
        <w:tc>
          <w:tcPr>
            <w:tcW w:w="0" w:type="auto"/>
            <w:vAlign w:val="center"/>
            <w:hideMark/>
          </w:tcPr>
          <w:p w14:paraId="498B3478"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40</w:t>
            </w:r>
          </w:p>
        </w:tc>
        <w:tc>
          <w:tcPr>
            <w:tcW w:w="0" w:type="auto"/>
            <w:vAlign w:val="center"/>
            <w:hideMark/>
          </w:tcPr>
          <w:p w14:paraId="7C68C724"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40%</w:t>
            </w:r>
          </w:p>
        </w:tc>
      </w:tr>
      <w:tr w:rsidR="00F17FFD" w:rsidRPr="00492FCC" w14:paraId="6F5548EC" w14:textId="77777777">
        <w:trPr>
          <w:tblCellSpacing w:w="15" w:type="dxa"/>
        </w:trPr>
        <w:tc>
          <w:tcPr>
            <w:tcW w:w="0" w:type="auto"/>
            <w:vAlign w:val="center"/>
            <w:hideMark/>
          </w:tcPr>
          <w:p w14:paraId="2E1BCA18"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Conversation/small talk</w:t>
            </w:r>
          </w:p>
        </w:tc>
        <w:tc>
          <w:tcPr>
            <w:tcW w:w="0" w:type="auto"/>
            <w:vAlign w:val="center"/>
            <w:hideMark/>
          </w:tcPr>
          <w:p w14:paraId="7B24C7BE"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20</w:t>
            </w:r>
          </w:p>
        </w:tc>
        <w:tc>
          <w:tcPr>
            <w:tcW w:w="0" w:type="auto"/>
            <w:vAlign w:val="center"/>
            <w:hideMark/>
          </w:tcPr>
          <w:p w14:paraId="4D0FB9BC"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20%</w:t>
            </w:r>
          </w:p>
        </w:tc>
      </w:tr>
      <w:tr w:rsidR="00F17FFD" w:rsidRPr="00492FCC" w14:paraId="2DBC4AF3" w14:textId="77777777">
        <w:trPr>
          <w:tblCellSpacing w:w="15" w:type="dxa"/>
        </w:trPr>
        <w:tc>
          <w:tcPr>
            <w:tcW w:w="0" w:type="auto"/>
            <w:vAlign w:val="center"/>
            <w:hideMark/>
          </w:tcPr>
          <w:p w14:paraId="35DB6797"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Social expectation/habit</w:t>
            </w:r>
          </w:p>
        </w:tc>
        <w:tc>
          <w:tcPr>
            <w:tcW w:w="0" w:type="auto"/>
            <w:vAlign w:val="center"/>
            <w:hideMark/>
          </w:tcPr>
          <w:p w14:paraId="3D21EE63"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30</w:t>
            </w:r>
          </w:p>
        </w:tc>
        <w:tc>
          <w:tcPr>
            <w:tcW w:w="0" w:type="auto"/>
            <w:vAlign w:val="center"/>
            <w:hideMark/>
          </w:tcPr>
          <w:p w14:paraId="59C32055"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30%</w:t>
            </w:r>
          </w:p>
        </w:tc>
      </w:tr>
      <w:tr w:rsidR="00F17FFD" w:rsidRPr="00492FCC" w14:paraId="21A428B3" w14:textId="77777777">
        <w:trPr>
          <w:tblCellSpacing w:w="15" w:type="dxa"/>
        </w:trPr>
        <w:tc>
          <w:tcPr>
            <w:tcW w:w="0" w:type="auto"/>
            <w:vAlign w:val="center"/>
            <w:hideMark/>
          </w:tcPr>
          <w:p w14:paraId="2B941F9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Check general well-being</w:t>
            </w:r>
          </w:p>
        </w:tc>
        <w:tc>
          <w:tcPr>
            <w:tcW w:w="0" w:type="auto"/>
            <w:vAlign w:val="center"/>
            <w:hideMark/>
          </w:tcPr>
          <w:p w14:paraId="6C8D09D2"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10</w:t>
            </w:r>
          </w:p>
        </w:tc>
        <w:tc>
          <w:tcPr>
            <w:tcW w:w="0" w:type="auto"/>
            <w:vAlign w:val="center"/>
            <w:hideMark/>
          </w:tcPr>
          <w:p w14:paraId="79BEA3F0"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10%</w:t>
            </w:r>
          </w:p>
        </w:tc>
      </w:tr>
      <w:tr w:rsidR="00F17FFD" w:rsidRPr="00492FCC" w14:paraId="1014CA80" w14:textId="77777777">
        <w:trPr>
          <w:tblCellSpacing w:w="15" w:type="dxa"/>
        </w:trPr>
        <w:tc>
          <w:tcPr>
            <w:tcW w:w="0" w:type="auto"/>
            <w:vAlign w:val="center"/>
            <w:hideMark/>
          </w:tcPr>
          <w:p w14:paraId="31BA0DE8"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Total</w:t>
            </w:r>
          </w:p>
        </w:tc>
        <w:tc>
          <w:tcPr>
            <w:tcW w:w="0" w:type="auto"/>
            <w:vAlign w:val="center"/>
            <w:hideMark/>
          </w:tcPr>
          <w:p w14:paraId="49B43D92"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100</w:t>
            </w:r>
          </w:p>
        </w:tc>
        <w:tc>
          <w:tcPr>
            <w:tcW w:w="0" w:type="auto"/>
            <w:vAlign w:val="center"/>
            <w:hideMark/>
          </w:tcPr>
          <w:p w14:paraId="22AADE0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100%</w:t>
            </w:r>
          </w:p>
        </w:tc>
      </w:tr>
    </w:tbl>
    <w:p w14:paraId="08A95211"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0F391413">
          <v:rect id="_x0000_i1123" style="width:0;height:1.5pt" o:hralign="center" o:hrstd="t" o:hr="t" fillcolor="#a0a0a0" stroked="f"/>
        </w:pict>
      </w:r>
    </w:p>
    <w:p w14:paraId="62BE072D"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Q3. Affective meaning</w:t>
      </w:r>
    </w:p>
    <w:p w14:paraId="2F26419C"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To what extent do you agree that “Have you eaten?” can communicate affection comparable to saying “I love you” in Nigerian interaction?</w:t>
      </w:r>
    </w:p>
    <w:p w14:paraId="69AFC59A" w14:textId="77777777" w:rsidR="00F17FFD" w:rsidRPr="00492FCC" w:rsidRDefault="00F17FFD" w:rsidP="00F17FFD">
      <w:pPr>
        <w:numPr>
          <w:ilvl w:val="0"/>
          <w:numId w:val="3"/>
        </w:numPr>
        <w:jc w:val="right"/>
        <w:rPr>
          <w:rFonts w:asciiTheme="majorBidi" w:hAnsiTheme="majorBidi" w:cstheme="majorBidi"/>
          <w:sz w:val="26"/>
          <w:szCs w:val="26"/>
        </w:rPr>
      </w:pPr>
      <w:r w:rsidRPr="00492FCC">
        <w:rPr>
          <w:rFonts w:asciiTheme="majorBidi" w:hAnsiTheme="majorBidi" w:cstheme="majorBidi"/>
          <w:sz w:val="26"/>
          <w:szCs w:val="26"/>
        </w:rPr>
        <w:t>Strongly agree</w:t>
      </w:r>
    </w:p>
    <w:p w14:paraId="173C8D2C" w14:textId="77777777" w:rsidR="00F17FFD" w:rsidRPr="00492FCC" w:rsidRDefault="00F17FFD" w:rsidP="00F17FFD">
      <w:pPr>
        <w:numPr>
          <w:ilvl w:val="0"/>
          <w:numId w:val="3"/>
        </w:numPr>
        <w:jc w:val="right"/>
        <w:rPr>
          <w:rFonts w:asciiTheme="majorBidi" w:hAnsiTheme="majorBidi" w:cstheme="majorBidi"/>
          <w:sz w:val="26"/>
          <w:szCs w:val="26"/>
        </w:rPr>
      </w:pPr>
      <w:r w:rsidRPr="00492FCC">
        <w:rPr>
          <w:rFonts w:asciiTheme="majorBidi" w:hAnsiTheme="majorBidi" w:cstheme="majorBidi"/>
          <w:sz w:val="26"/>
          <w:szCs w:val="26"/>
        </w:rPr>
        <w:t>Agree</w:t>
      </w:r>
    </w:p>
    <w:p w14:paraId="09009DDD" w14:textId="77777777" w:rsidR="00F17FFD" w:rsidRPr="00492FCC" w:rsidRDefault="00F17FFD" w:rsidP="00F17FFD">
      <w:pPr>
        <w:numPr>
          <w:ilvl w:val="0"/>
          <w:numId w:val="3"/>
        </w:numPr>
        <w:jc w:val="right"/>
        <w:rPr>
          <w:rFonts w:asciiTheme="majorBidi" w:hAnsiTheme="majorBidi" w:cstheme="majorBidi"/>
          <w:sz w:val="26"/>
          <w:szCs w:val="26"/>
        </w:rPr>
      </w:pPr>
      <w:r w:rsidRPr="00492FCC">
        <w:rPr>
          <w:rFonts w:asciiTheme="majorBidi" w:hAnsiTheme="majorBidi" w:cstheme="majorBidi"/>
          <w:sz w:val="26"/>
          <w:szCs w:val="26"/>
        </w:rPr>
        <w:t>Neither agree nor disagree</w:t>
      </w:r>
    </w:p>
    <w:p w14:paraId="77B4E8B2" w14:textId="77777777" w:rsidR="00F17FFD" w:rsidRPr="00492FCC" w:rsidRDefault="00F17FFD" w:rsidP="00F17FFD">
      <w:pPr>
        <w:numPr>
          <w:ilvl w:val="0"/>
          <w:numId w:val="3"/>
        </w:numPr>
        <w:jc w:val="right"/>
        <w:rPr>
          <w:rFonts w:asciiTheme="majorBidi" w:hAnsiTheme="majorBidi" w:cstheme="majorBidi"/>
          <w:sz w:val="26"/>
          <w:szCs w:val="26"/>
        </w:rPr>
      </w:pPr>
      <w:r w:rsidRPr="00492FCC">
        <w:rPr>
          <w:rFonts w:asciiTheme="majorBidi" w:hAnsiTheme="majorBidi" w:cstheme="majorBidi"/>
          <w:sz w:val="26"/>
          <w:szCs w:val="26"/>
        </w:rPr>
        <w:t>Disagree</w:t>
      </w:r>
    </w:p>
    <w:p w14:paraId="724FE474" w14:textId="77777777" w:rsidR="00F17FFD" w:rsidRPr="00492FCC" w:rsidRDefault="00F17FFD" w:rsidP="00F17FFD">
      <w:pPr>
        <w:numPr>
          <w:ilvl w:val="0"/>
          <w:numId w:val="3"/>
        </w:numPr>
        <w:jc w:val="right"/>
        <w:rPr>
          <w:rFonts w:asciiTheme="majorBidi" w:hAnsiTheme="majorBidi" w:cstheme="majorBidi"/>
          <w:sz w:val="26"/>
          <w:szCs w:val="26"/>
        </w:rPr>
      </w:pPr>
      <w:r w:rsidRPr="00492FCC">
        <w:rPr>
          <w:rFonts w:asciiTheme="majorBidi" w:hAnsiTheme="majorBidi" w:cstheme="majorBidi"/>
          <w:sz w:val="26"/>
          <w:szCs w:val="26"/>
        </w:rPr>
        <w:t>Strongly disagree</w:t>
      </w:r>
    </w:p>
    <w:p w14:paraId="7DFC36A4"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Observed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450"/>
        <w:gridCol w:w="682"/>
      </w:tblGrid>
      <w:tr w:rsidR="00F17FFD" w:rsidRPr="00492FCC" w14:paraId="38302C43" w14:textId="77777777">
        <w:trPr>
          <w:tblHeader/>
          <w:tblCellSpacing w:w="15" w:type="dxa"/>
        </w:trPr>
        <w:tc>
          <w:tcPr>
            <w:tcW w:w="0" w:type="auto"/>
            <w:vAlign w:val="center"/>
            <w:hideMark/>
          </w:tcPr>
          <w:p w14:paraId="4FC91F33"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Response</w:t>
            </w:r>
          </w:p>
        </w:tc>
        <w:tc>
          <w:tcPr>
            <w:tcW w:w="0" w:type="auto"/>
            <w:vAlign w:val="center"/>
            <w:hideMark/>
          </w:tcPr>
          <w:p w14:paraId="71BEB779"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n</w:t>
            </w:r>
          </w:p>
        </w:tc>
        <w:tc>
          <w:tcPr>
            <w:tcW w:w="0" w:type="auto"/>
            <w:vAlign w:val="center"/>
            <w:hideMark/>
          </w:tcPr>
          <w:p w14:paraId="3C9195E4"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w:t>
            </w:r>
          </w:p>
        </w:tc>
      </w:tr>
      <w:tr w:rsidR="00F17FFD" w:rsidRPr="00492FCC" w14:paraId="38F4E4C7" w14:textId="77777777">
        <w:trPr>
          <w:tblCellSpacing w:w="15" w:type="dxa"/>
        </w:trPr>
        <w:tc>
          <w:tcPr>
            <w:tcW w:w="0" w:type="auto"/>
            <w:vAlign w:val="center"/>
            <w:hideMark/>
          </w:tcPr>
          <w:p w14:paraId="2B1ED76A"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Strongly agree</w:t>
            </w:r>
          </w:p>
        </w:tc>
        <w:tc>
          <w:tcPr>
            <w:tcW w:w="0" w:type="auto"/>
            <w:vAlign w:val="center"/>
            <w:hideMark/>
          </w:tcPr>
          <w:p w14:paraId="593AC583"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100</w:t>
            </w:r>
          </w:p>
        </w:tc>
        <w:tc>
          <w:tcPr>
            <w:tcW w:w="0" w:type="auto"/>
            <w:vAlign w:val="center"/>
            <w:hideMark/>
          </w:tcPr>
          <w:p w14:paraId="3EB821C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100%</w:t>
            </w:r>
          </w:p>
        </w:tc>
      </w:tr>
      <w:tr w:rsidR="00F17FFD" w:rsidRPr="00492FCC" w14:paraId="117CBB2E" w14:textId="77777777">
        <w:trPr>
          <w:tblCellSpacing w:w="15" w:type="dxa"/>
        </w:trPr>
        <w:tc>
          <w:tcPr>
            <w:tcW w:w="0" w:type="auto"/>
            <w:vAlign w:val="center"/>
            <w:hideMark/>
          </w:tcPr>
          <w:p w14:paraId="25F96815"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Other responses</w:t>
            </w:r>
          </w:p>
        </w:tc>
        <w:tc>
          <w:tcPr>
            <w:tcW w:w="0" w:type="auto"/>
            <w:vAlign w:val="center"/>
            <w:hideMark/>
          </w:tcPr>
          <w:p w14:paraId="6C1AB38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0</w:t>
            </w:r>
          </w:p>
        </w:tc>
        <w:tc>
          <w:tcPr>
            <w:tcW w:w="0" w:type="auto"/>
            <w:vAlign w:val="center"/>
            <w:hideMark/>
          </w:tcPr>
          <w:p w14:paraId="57667AAA"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0%</w:t>
            </w:r>
          </w:p>
        </w:tc>
      </w:tr>
    </w:tbl>
    <w:p w14:paraId="79258B01"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 xml:space="preserve">Wilson 95% confidence interval for the observed proportion strongly agreeing: </w:t>
      </w:r>
      <w:r w:rsidRPr="00492FCC">
        <w:rPr>
          <w:rFonts w:asciiTheme="majorBidi" w:hAnsiTheme="majorBidi" w:cstheme="majorBidi"/>
          <w:b/>
          <w:bCs/>
          <w:sz w:val="26"/>
          <w:szCs w:val="26"/>
        </w:rPr>
        <w:t>96.3%–100%</w:t>
      </w:r>
      <w:r w:rsidRPr="00492FCC">
        <w:rPr>
          <w:rFonts w:asciiTheme="majorBidi" w:hAnsiTheme="majorBidi" w:cstheme="majorBidi"/>
          <w:sz w:val="26"/>
          <w:szCs w:val="26"/>
        </w:rPr>
        <w:t>.</w:t>
      </w:r>
    </w:p>
    <w:p w14:paraId="3052A784"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1BC3E5BC">
          <v:rect id="_x0000_i1124" style="width:0;height:1.5pt" o:hralign="center" o:hrstd="t" o:hr="t" fillcolor="#a0a0a0" stroked="f"/>
        </w:pict>
      </w:r>
    </w:p>
    <w:p w14:paraId="6DF13A0F"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Q4. Explicit hunger scenario</w:t>
      </w:r>
    </w:p>
    <w:p w14:paraId="5A4D39C0"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lastRenderedPageBreak/>
        <w:t>Participants were presented with the following scenario:</w:t>
      </w:r>
    </w:p>
    <w:p w14:paraId="5FAD4E98"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Imagine you greet someone with “Have you eaten?” and they unexpectedly reply: “No o, I’m seriously hungry and I have no food/money.” What would your immediate reaction be?</w:t>
      </w:r>
    </w:p>
    <w:p w14:paraId="16AD00E0"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 xml:space="preserve">Participants could select </w:t>
      </w:r>
      <w:r w:rsidRPr="00492FCC">
        <w:rPr>
          <w:rFonts w:asciiTheme="majorBidi" w:hAnsiTheme="majorBidi" w:cstheme="majorBidi"/>
          <w:b/>
          <w:bCs/>
          <w:sz w:val="26"/>
          <w:szCs w:val="26"/>
        </w:rPr>
        <w:t>more than one response</w:t>
      </w:r>
      <w:r w:rsidRPr="00492FCC">
        <w:rPr>
          <w:rFonts w:asciiTheme="majorBidi" w:hAnsiTheme="majorBidi" w:cstheme="majorBidi"/>
          <w:sz w:val="26"/>
          <w:szCs w:val="26"/>
        </w:rPr>
        <w:t>.</w:t>
      </w:r>
    </w:p>
    <w:p w14:paraId="06075B2F" w14:textId="77777777" w:rsidR="00F17FFD" w:rsidRPr="00492FCC" w:rsidRDefault="00F17FFD" w:rsidP="00F17FFD">
      <w:pPr>
        <w:numPr>
          <w:ilvl w:val="0"/>
          <w:numId w:val="4"/>
        </w:numPr>
        <w:jc w:val="right"/>
        <w:rPr>
          <w:rFonts w:asciiTheme="majorBidi" w:hAnsiTheme="majorBidi" w:cstheme="majorBidi"/>
          <w:sz w:val="26"/>
          <w:szCs w:val="26"/>
        </w:rPr>
      </w:pPr>
      <w:r w:rsidRPr="00492FCC">
        <w:rPr>
          <w:rFonts w:asciiTheme="majorBidi" w:hAnsiTheme="majorBidi" w:cstheme="majorBidi"/>
          <w:sz w:val="26"/>
          <w:szCs w:val="26"/>
        </w:rPr>
        <w:t>I would be surprised because I did not intend to offer food.</w:t>
      </w:r>
    </w:p>
    <w:p w14:paraId="6341CA54" w14:textId="77777777" w:rsidR="00F17FFD" w:rsidRPr="00492FCC" w:rsidRDefault="00F17FFD" w:rsidP="00F17FFD">
      <w:pPr>
        <w:numPr>
          <w:ilvl w:val="0"/>
          <w:numId w:val="4"/>
        </w:numPr>
        <w:jc w:val="right"/>
        <w:rPr>
          <w:rFonts w:asciiTheme="majorBidi" w:hAnsiTheme="majorBidi" w:cstheme="majorBidi"/>
          <w:sz w:val="26"/>
          <w:szCs w:val="26"/>
        </w:rPr>
      </w:pPr>
      <w:r w:rsidRPr="00492FCC">
        <w:rPr>
          <w:rFonts w:asciiTheme="majorBidi" w:hAnsiTheme="majorBidi" w:cstheme="majorBidi"/>
          <w:sz w:val="26"/>
          <w:szCs w:val="26"/>
        </w:rPr>
        <w:t>I would remain neutral/amused because I understand the greeting as routine.</w:t>
      </w:r>
    </w:p>
    <w:p w14:paraId="6DFBD174" w14:textId="77777777" w:rsidR="00F17FFD" w:rsidRPr="00492FCC" w:rsidRDefault="00F17FFD" w:rsidP="00F17FFD">
      <w:pPr>
        <w:numPr>
          <w:ilvl w:val="0"/>
          <w:numId w:val="4"/>
        </w:numPr>
        <w:jc w:val="right"/>
        <w:rPr>
          <w:rFonts w:asciiTheme="majorBidi" w:hAnsiTheme="majorBidi" w:cstheme="majorBidi"/>
          <w:sz w:val="26"/>
          <w:szCs w:val="26"/>
        </w:rPr>
      </w:pPr>
      <w:r w:rsidRPr="00492FCC">
        <w:rPr>
          <w:rFonts w:asciiTheme="majorBidi" w:hAnsiTheme="majorBidi" w:cstheme="majorBidi"/>
          <w:sz w:val="26"/>
          <w:szCs w:val="26"/>
        </w:rPr>
        <w:t>I would feel empathetic and be willing to help.</w:t>
      </w:r>
    </w:p>
    <w:p w14:paraId="709F4048" w14:textId="77777777" w:rsidR="00F17FFD" w:rsidRPr="00492FCC" w:rsidRDefault="00F17FFD" w:rsidP="00F17FFD">
      <w:pPr>
        <w:numPr>
          <w:ilvl w:val="0"/>
          <w:numId w:val="4"/>
        </w:numPr>
        <w:jc w:val="right"/>
        <w:rPr>
          <w:rFonts w:asciiTheme="majorBidi" w:hAnsiTheme="majorBidi" w:cstheme="majorBidi"/>
          <w:sz w:val="26"/>
          <w:szCs w:val="26"/>
        </w:rPr>
      </w:pPr>
      <w:r w:rsidRPr="00492FCC">
        <w:rPr>
          <w:rFonts w:asciiTheme="majorBidi" w:hAnsiTheme="majorBidi" w:cstheme="majorBidi"/>
          <w:sz w:val="26"/>
          <w:szCs w:val="26"/>
        </w:rPr>
        <w:t>I would feel anxious because the response might lead to “billing” or an expectation of material assistance.</w:t>
      </w:r>
    </w:p>
    <w:p w14:paraId="2871EEC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Observed selections: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8"/>
        <w:gridCol w:w="320"/>
        <w:gridCol w:w="2025"/>
      </w:tblGrid>
      <w:tr w:rsidR="00F17FFD" w:rsidRPr="00492FCC" w14:paraId="1D308039" w14:textId="77777777">
        <w:trPr>
          <w:tblHeader/>
          <w:tblCellSpacing w:w="15" w:type="dxa"/>
        </w:trPr>
        <w:tc>
          <w:tcPr>
            <w:tcW w:w="0" w:type="auto"/>
            <w:vAlign w:val="center"/>
            <w:hideMark/>
          </w:tcPr>
          <w:p w14:paraId="35E26CC3"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Response</w:t>
            </w:r>
          </w:p>
        </w:tc>
        <w:tc>
          <w:tcPr>
            <w:tcW w:w="0" w:type="auto"/>
            <w:vAlign w:val="center"/>
            <w:hideMark/>
          </w:tcPr>
          <w:p w14:paraId="4A734337"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n</w:t>
            </w:r>
          </w:p>
        </w:tc>
        <w:tc>
          <w:tcPr>
            <w:tcW w:w="0" w:type="auto"/>
            <w:vAlign w:val="center"/>
            <w:hideMark/>
          </w:tcPr>
          <w:p w14:paraId="42E66EAB"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 of participants</w:t>
            </w:r>
          </w:p>
        </w:tc>
      </w:tr>
      <w:tr w:rsidR="00F17FFD" w:rsidRPr="00492FCC" w14:paraId="1A023F9C" w14:textId="77777777">
        <w:trPr>
          <w:tblCellSpacing w:w="15" w:type="dxa"/>
        </w:trPr>
        <w:tc>
          <w:tcPr>
            <w:tcW w:w="0" w:type="auto"/>
            <w:vAlign w:val="center"/>
            <w:hideMark/>
          </w:tcPr>
          <w:p w14:paraId="68B3C5F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Surprised/no intention to offer food</w:t>
            </w:r>
          </w:p>
        </w:tc>
        <w:tc>
          <w:tcPr>
            <w:tcW w:w="0" w:type="auto"/>
            <w:vAlign w:val="center"/>
            <w:hideMark/>
          </w:tcPr>
          <w:p w14:paraId="53BED54C"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50</w:t>
            </w:r>
          </w:p>
        </w:tc>
        <w:tc>
          <w:tcPr>
            <w:tcW w:w="0" w:type="auto"/>
            <w:vAlign w:val="center"/>
            <w:hideMark/>
          </w:tcPr>
          <w:p w14:paraId="5B099767"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50%</w:t>
            </w:r>
          </w:p>
        </w:tc>
      </w:tr>
      <w:tr w:rsidR="00F17FFD" w:rsidRPr="00492FCC" w14:paraId="053D8845" w14:textId="77777777">
        <w:trPr>
          <w:tblCellSpacing w:w="15" w:type="dxa"/>
        </w:trPr>
        <w:tc>
          <w:tcPr>
            <w:tcW w:w="0" w:type="auto"/>
            <w:vAlign w:val="center"/>
            <w:hideMark/>
          </w:tcPr>
          <w:p w14:paraId="634EFA71"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Neutral/amused</w:t>
            </w:r>
          </w:p>
        </w:tc>
        <w:tc>
          <w:tcPr>
            <w:tcW w:w="0" w:type="auto"/>
            <w:vAlign w:val="center"/>
            <w:hideMark/>
          </w:tcPr>
          <w:p w14:paraId="67EAB8C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40</w:t>
            </w:r>
          </w:p>
        </w:tc>
        <w:tc>
          <w:tcPr>
            <w:tcW w:w="0" w:type="auto"/>
            <w:vAlign w:val="center"/>
            <w:hideMark/>
          </w:tcPr>
          <w:p w14:paraId="32BFDAE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40%</w:t>
            </w:r>
          </w:p>
        </w:tc>
      </w:tr>
      <w:tr w:rsidR="00F17FFD" w:rsidRPr="00492FCC" w14:paraId="6D60E623" w14:textId="77777777">
        <w:trPr>
          <w:tblCellSpacing w:w="15" w:type="dxa"/>
        </w:trPr>
        <w:tc>
          <w:tcPr>
            <w:tcW w:w="0" w:type="auto"/>
            <w:vAlign w:val="center"/>
            <w:hideMark/>
          </w:tcPr>
          <w:p w14:paraId="24A162F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Empathetic/willing to help</w:t>
            </w:r>
          </w:p>
        </w:tc>
        <w:tc>
          <w:tcPr>
            <w:tcW w:w="0" w:type="auto"/>
            <w:vAlign w:val="center"/>
            <w:hideMark/>
          </w:tcPr>
          <w:p w14:paraId="5E5E2B11"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20</w:t>
            </w:r>
          </w:p>
        </w:tc>
        <w:tc>
          <w:tcPr>
            <w:tcW w:w="0" w:type="auto"/>
            <w:vAlign w:val="center"/>
            <w:hideMark/>
          </w:tcPr>
          <w:p w14:paraId="5DA711C0"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20%</w:t>
            </w:r>
          </w:p>
        </w:tc>
      </w:tr>
      <w:tr w:rsidR="00F17FFD" w:rsidRPr="00492FCC" w14:paraId="279161B2" w14:textId="77777777">
        <w:trPr>
          <w:tblCellSpacing w:w="15" w:type="dxa"/>
        </w:trPr>
        <w:tc>
          <w:tcPr>
            <w:tcW w:w="0" w:type="auto"/>
            <w:vAlign w:val="center"/>
            <w:hideMark/>
          </w:tcPr>
          <w:p w14:paraId="3969C26E"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Anxious about possible “billing”</w:t>
            </w:r>
          </w:p>
        </w:tc>
        <w:tc>
          <w:tcPr>
            <w:tcW w:w="0" w:type="auto"/>
            <w:vAlign w:val="center"/>
            <w:hideMark/>
          </w:tcPr>
          <w:p w14:paraId="2954B73A"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10</w:t>
            </w:r>
          </w:p>
        </w:tc>
        <w:tc>
          <w:tcPr>
            <w:tcW w:w="0" w:type="auto"/>
            <w:vAlign w:val="center"/>
            <w:hideMark/>
          </w:tcPr>
          <w:p w14:paraId="3205E791"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10%</w:t>
            </w:r>
          </w:p>
        </w:tc>
      </w:tr>
    </w:tbl>
    <w:p w14:paraId="0F5DB01A"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Note:</w:t>
      </w:r>
      <w:r w:rsidRPr="00492FCC">
        <w:rPr>
          <w:rFonts w:asciiTheme="majorBidi" w:hAnsiTheme="majorBidi" w:cstheme="majorBidi"/>
          <w:sz w:val="26"/>
          <w:szCs w:val="26"/>
        </w:rPr>
        <w:t xml:space="preserve"> Because Q4 permitted multiple selections, percentages are not expected to sum to 100%.</w:t>
      </w:r>
    </w:p>
    <w:p w14:paraId="18397F0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4551260D">
          <v:rect id="_x0000_i1125" style="width:0;height:1.5pt" o:hralign="center" o:hrstd="t" o:hr="t" fillcolor="#a0a0a0" stroked="f"/>
        </w:pict>
      </w:r>
    </w:p>
    <w:p w14:paraId="70CB2879"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Q5. Subsequent response strategy</w:t>
      </w:r>
    </w:p>
    <w:p w14:paraId="3CDCB09B"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If the person explicitly says that they are hungry and have no food or money, what would you most likely do?</w:t>
      </w:r>
    </w:p>
    <w:p w14:paraId="796FED84"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Participants selected one primary response.</w:t>
      </w:r>
    </w:p>
    <w:p w14:paraId="55F7DE88" w14:textId="77777777" w:rsidR="00F17FFD" w:rsidRPr="00492FCC" w:rsidRDefault="00F17FFD" w:rsidP="00F17FFD">
      <w:pPr>
        <w:numPr>
          <w:ilvl w:val="0"/>
          <w:numId w:val="5"/>
        </w:numPr>
        <w:jc w:val="right"/>
        <w:rPr>
          <w:rFonts w:asciiTheme="majorBidi" w:hAnsiTheme="majorBidi" w:cstheme="majorBidi"/>
          <w:sz w:val="26"/>
          <w:szCs w:val="26"/>
        </w:rPr>
      </w:pPr>
      <w:r w:rsidRPr="00492FCC">
        <w:rPr>
          <w:rFonts w:asciiTheme="majorBidi" w:hAnsiTheme="majorBidi" w:cstheme="majorBidi"/>
          <w:sz w:val="26"/>
          <w:szCs w:val="26"/>
        </w:rPr>
        <w:t>Provide verbal or religious reassurance</w:t>
      </w:r>
    </w:p>
    <w:p w14:paraId="2120F1BB" w14:textId="77777777" w:rsidR="00F17FFD" w:rsidRPr="00492FCC" w:rsidRDefault="00F17FFD" w:rsidP="00F17FFD">
      <w:pPr>
        <w:numPr>
          <w:ilvl w:val="0"/>
          <w:numId w:val="5"/>
        </w:numPr>
        <w:jc w:val="right"/>
        <w:rPr>
          <w:rFonts w:asciiTheme="majorBidi" w:hAnsiTheme="majorBidi" w:cstheme="majorBidi"/>
          <w:sz w:val="26"/>
          <w:szCs w:val="26"/>
        </w:rPr>
      </w:pPr>
      <w:r w:rsidRPr="00492FCC">
        <w:rPr>
          <w:rFonts w:asciiTheme="majorBidi" w:hAnsiTheme="majorBidi" w:cstheme="majorBidi"/>
          <w:sz w:val="26"/>
          <w:szCs w:val="26"/>
        </w:rPr>
        <w:t>Change the topic or redirect the conversation</w:t>
      </w:r>
    </w:p>
    <w:p w14:paraId="07E6631C" w14:textId="77777777" w:rsidR="00F17FFD" w:rsidRPr="00492FCC" w:rsidRDefault="00F17FFD" w:rsidP="00F17FFD">
      <w:pPr>
        <w:numPr>
          <w:ilvl w:val="0"/>
          <w:numId w:val="5"/>
        </w:numPr>
        <w:jc w:val="right"/>
        <w:rPr>
          <w:rFonts w:asciiTheme="majorBidi" w:hAnsiTheme="majorBidi" w:cstheme="majorBidi"/>
          <w:sz w:val="26"/>
          <w:szCs w:val="26"/>
        </w:rPr>
      </w:pPr>
      <w:r w:rsidRPr="00492FCC">
        <w:rPr>
          <w:rFonts w:asciiTheme="majorBidi" w:hAnsiTheme="majorBidi" w:cstheme="majorBidi"/>
          <w:sz w:val="26"/>
          <w:szCs w:val="26"/>
        </w:rPr>
        <w:t>Offer food or financial/material assistance</w:t>
      </w:r>
    </w:p>
    <w:p w14:paraId="2C74EA49" w14:textId="77777777" w:rsidR="00F17FFD" w:rsidRPr="00492FCC" w:rsidRDefault="00F17FFD" w:rsidP="00F17FFD">
      <w:pPr>
        <w:numPr>
          <w:ilvl w:val="0"/>
          <w:numId w:val="5"/>
        </w:numPr>
        <w:jc w:val="right"/>
        <w:rPr>
          <w:rFonts w:asciiTheme="majorBidi" w:hAnsiTheme="majorBidi" w:cstheme="majorBidi"/>
          <w:sz w:val="26"/>
          <w:szCs w:val="26"/>
        </w:rPr>
      </w:pPr>
      <w:r w:rsidRPr="00492FCC">
        <w:rPr>
          <w:rFonts w:asciiTheme="majorBidi" w:hAnsiTheme="majorBidi" w:cstheme="majorBidi"/>
          <w:sz w:val="26"/>
          <w:szCs w:val="26"/>
        </w:rPr>
        <w:t>Other response</w:t>
      </w:r>
    </w:p>
    <w:p w14:paraId="1C4CC671"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Observed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450"/>
        <w:gridCol w:w="725"/>
      </w:tblGrid>
      <w:tr w:rsidR="00F17FFD" w:rsidRPr="00492FCC" w14:paraId="6F1DB3BB" w14:textId="77777777">
        <w:trPr>
          <w:tblHeader/>
          <w:tblCellSpacing w:w="15" w:type="dxa"/>
        </w:trPr>
        <w:tc>
          <w:tcPr>
            <w:tcW w:w="0" w:type="auto"/>
            <w:vAlign w:val="center"/>
            <w:hideMark/>
          </w:tcPr>
          <w:p w14:paraId="4865A14F"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lastRenderedPageBreak/>
              <w:t>Response</w:t>
            </w:r>
          </w:p>
        </w:tc>
        <w:tc>
          <w:tcPr>
            <w:tcW w:w="0" w:type="auto"/>
            <w:vAlign w:val="center"/>
            <w:hideMark/>
          </w:tcPr>
          <w:p w14:paraId="7DEA3FBE"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n</w:t>
            </w:r>
          </w:p>
        </w:tc>
        <w:tc>
          <w:tcPr>
            <w:tcW w:w="0" w:type="auto"/>
            <w:vAlign w:val="center"/>
            <w:hideMark/>
          </w:tcPr>
          <w:p w14:paraId="1E9C5961"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w:t>
            </w:r>
          </w:p>
        </w:tc>
      </w:tr>
      <w:tr w:rsidR="00F17FFD" w:rsidRPr="00492FCC" w14:paraId="38B6D7A0" w14:textId="77777777">
        <w:trPr>
          <w:tblCellSpacing w:w="15" w:type="dxa"/>
        </w:trPr>
        <w:tc>
          <w:tcPr>
            <w:tcW w:w="0" w:type="auto"/>
            <w:vAlign w:val="center"/>
            <w:hideMark/>
          </w:tcPr>
          <w:p w14:paraId="6184F070"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Verbal/religious reassurance</w:t>
            </w:r>
          </w:p>
        </w:tc>
        <w:tc>
          <w:tcPr>
            <w:tcW w:w="0" w:type="auto"/>
            <w:vAlign w:val="center"/>
            <w:hideMark/>
          </w:tcPr>
          <w:p w14:paraId="4408DAEB"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65</w:t>
            </w:r>
          </w:p>
        </w:tc>
        <w:tc>
          <w:tcPr>
            <w:tcW w:w="0" w:type="auto"/>
            <w:vAlign w:val="center"/>
            <w:hideMark/>
          </w:tcPr>
          <w:p w14:paraId="22C3483B"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65%</w:t>
            </w:r>
          </w:p>
        </w:tc>
      </w:tr>
      <w:tr w:rsidR="00F17FFD" w:rsidRPr="00492FCC" w14:paraId="48F458BA" w14:textId="77777777">
        <w:trPr>
          <w:tblCellSpacing w:w="15" w:type="dxa"/>
        </w:trPr>
        <w:tc>
          <w:tcPr>
            <w:tcW w:w="0" w:type="auto"/>
            <w:vAlign w:val="center"/>
            <w:hideMark/>
          </w:tcPr>
          <w:p w14:paraId="597AE6F2"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Change topic</w:t>
            </w:r>
          </w:p>
        </w:tc>
        <w:tc>
          <w:tcPr>
            <w:tcW w:w="0" w:type="auto"/>
            <w:vAlign w:val="center"/>
            <w:hideMark/>
          </w:tcPr>
          <w:p w14:paraId="5AFAB93D"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15</w:t>
            </w:r>
          </w:p>
        </w:tc>
        <w:tc>
          <w:tcPr>
            <w:tcW w:w="0" w:type="auto"/>
            <w:vAlign w:val="center"/>
            <w:hideMark/>
          </w:tcPr>
          <w:p w14:paraId="5FA14581"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15%</w:t>
            </w:r>
          </w:p>
        </w:tc>
      </w:tr>
      <w:tr w:rsidR="00F17FFD" w:rsidRPr="00492FCC" w14:paraId="4BB6B9E5" w14:textId="77777777">
        <w:trPr>
          <w:tblCellSpacing w:w="15" w:type="dxa"/>
        </w:trPr>
        <w:tc>
          <w:tcPr>
            <w:tcW w:w="0" w:type="auto"/>
            <w:vAlign w:val="center"/>
            <w:hideMark/>
          </w:tcPr>
          <w:p w14:paraId="60FCC2DE"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Offer food/money</w:t>
            </w:r>
          </w:p>
        </w:tc>
        <w:tc>
          <w:tcPr>
            <w:tcW w:w="0" w:type="auto"/>
            <w:vAlign w:val="center"/>
            <w:hideMark/>
          </w:tcPr>
          <w:p w14:paraId="5BCC9CAF"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10</w:t>
            </w:r>
          </w:p>
        </w:tc>
        <w:tc>
          <w:tcPr>
            <w:tcW w:w="0" w:type="auto"/>
            <w:vAlign w:val="center"/>
            <w:hideMark/>
          </w:tcPr>
          <w:p w14:paraId="53A3BDD7"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10%</w:t>
            </w:r>
          </w:p>
        </w:tc>
      </w:tr>
      <w:tr w:rsidR="00F17FFD" w:rsidRPr="00492FCC" w14:paraId="202E851B" w14:textId="77777777">
        <w:trPr>
          <w:tblCellSpacing w:w="15" w:type="dxa"/>
        </w:trPr>
        <w:tc>
          <w:tcPr>
            <w:tcW w:w="0" w:type="auto"/>
            <w:vAlign w:val="center"/>
            <w:hideMark/>
          </w:tcPr>
          <w:p w14:paraId="3C06696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Other</w:t>
            </w:r>
          </w:p>
        </w:tc>
        <w:tc>
          <w:tcPr>
            <w:tcW w:w="0" w:type="auto"/>
            <w:vAlign w:val="center"/>
            <w:hideMark/>
          </w:tcPr>
          <w:p w14:paraId="5D06346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10</w:t>
            </w:r>
          </w:p>
        </w:tc>
        <w:tc>
          <w:tcPr>
            <w:tcW w:w="0" w:type="auto"/>
            <w:vAlign w:val="center"/>
            <w:hideMark/>
          </w:tcPr>
          <w:p w14:paraId="52158F7D"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10%</w:t>
            </w:r>
          </w:p>
        </w:tc>
      </w:tr>
      <w:tr w:rsidR="00F17FFD" w:rsidRPr="00492FCC" w14:paraId="30BFF574" w14:textId="77777777">
        <w:trPr>
          <w:tblCellSpacing w:w="15" w:type="dxa"/>
        </w:trPr>
        <w:tc>
          <w:tcPr>
            <w:tcW w:w="0" w:type="auto"/>
            <w:vAlign w:val="center"/>
            <w:hideMark/>
          </w:tcPr>
          <w:p w14:paraId="33B5165B"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Total</w:t>
            </w:r>
          </w:p>
        </w:tc>
        <w:tc>
          <w:tcPr>
            <w:tcW w:w="0" w:type="auto"/>
            <w:vAlign w:val="center"/>
            <w:hideMark/>
          </w:tcPr>
          <w:p w14:paraId="452767B7"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100</w:t>
            </w:r>
          </w:p>
        </w:tc>
        <w:tc>
          <w:tcPr>
            <w:tcW w:w="0" w:type="auto"/>
            <w:vAlign w:val="center"/>
            <w:hideMark/>
          </w:tcPr>
          <w:p w14:paraId="13C2BC5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100%</w:t>
            </w:r>
          </w:p>
        </w:tc>
      </w:tr>
    </w:tbl>
    <w:p w14:paraId="4F381E2F"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552DA8DF">
          <v:rect id="_x0000_i1126" style="width:0;height:1.5pt" o:hralign="center" o:hrstd="t" o:hr="t" fillcolor="#a0a0a0" stroked="f"/>
        </w:pict>
      </w:r>
    </w:p>
    <w:p w14:paraId="36EAD002"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Q6. Perceived economic influence</w:t>
      </w:r>
    </w:p>
    <w:p w14:paraId="693ABBE2"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Do you think economic conditions have changed how people use or interpret “Have you eaten?” as a greeting?</w:t>
      </w:r>
    </w:p>
    <w:p w14:paraId="0D46C12B" w14:textId="77777777" w:rsidR="00F17FFD" w:rsidRPr="00492FCC" w:rsidRDefault="00F17FFD" w:rsidP="00F17FFD">
      <w:pPr>
        <w:numPr>
          <w:ilvl w:val="0"/>
          <w:numId w:val="6"/>
        </w:numPr>
        <w:jc w:val="right"/>
        <w:rPr>
          <w:rFonts w:asciiTheme="majorBidi" w:hAnsiTheme="majorBidi" w:cstheme="majorBidi"/>
          <w:sz w:val="26"/>
          <w:szCs w:val="26"/>
        </w:rPr>
      </w:pPr>
      <w:r w:rsidRPr="00492FCC">
        <w:rPr>
          <w:rFonts w:asciiTheme="majorBidi" w:hAnsiTheme="majorBidi" w:cstheme="majorBidi"/>
          <w:sz w:val="26"/>
          <w:szCs w:val="26"/>
        </w:rPr>
        <w:t>No. It remains a traditional greeting regardless of economic conditions.</w:t>
      </w:r>
    </w:p>
    <w:p w14:paraId="6E6D4FF5" w14:textId="77777777" w:rsidR="00F17FFD" w:rsidRPr="00492FCC" w:rsidRDefault="00F17FFD" w:rsidP="00F17FFD">
      <w:pPr>
        <w:numPr>
          <w:ilvl w:val="0"/>
          <w:numId w:val="6"/>
        </w:numPr>
        <w:jc w:val="right"/>
        <w:rPr>
          <w:rFonts w:asciiTheme="majorBidi" w:hAnsiTheme="majorBidi" w:cstheme="majorBidi"/>
          <w:sz w:val="26"/>
          <w:szCs w:val="26"/>
        </w:rPr>
      </w:pPr>
      <w:r w:rsidRPr="00492FCC">
        <w:rPr>
          <w:rFonts w:asciiTheme="majorBidi" w:hAnsiTheme="majorBidi" w:cstheme="majorBidi"/>
          <w:sz w:val="26"/>
          <w:szCs w:val="26"/>
        </w:rPr>
        <w:t>Yes. People are more cautious because of economic pressures.</w:t>
      </w:r>
    </w:p>
    <w:p w14:paraId="72A152D3" w14:textId="77777777" w:rsidR="00F17FFD" w:rsidRPr="00492FCC" w:rsidRDefault="00F17FFD" w:rsidP="00F17FFD">
      <w:pPr>
        <w:numPr>
          <w:ilvl w:val="0"/>
          <w:numId w:val="6"/>
        </w:numPr>
        <w:jc w:val="right"/>
        <w:rPr>
          <w:rFonts w:asciiTheme="majorBidi" w:hAnsiTheme="majorBidi" w:cstheme="majorBidi"/>
          <w:sz w:val="26"/>
          <w:szCs w:val="26"/>
        </w:rPr>
      </w:pPr>
      <w:r w:rsidRPr="00492FCC">
        <w:rPr>
          <w:rFonts w:asciiTheme="majorBidi" w:hAnsiTheme="majorBidi" w:cstheme="majorBidi"/>
          <w:sz w:val="26"/>
          <w:szCs w:val="26"/>
        </w:rPr>
        <w:t>Not sure.</w:t>
      </w:r>
    </w:p>
    <w:p w14:paraId="31F36D5A"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Observed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4"/>
        <w:gridCol w:w="450"/>
        <w:gridCol w:w="725"/>
      </w:tblGrid>
      <w:tr w:rsidR="00F17FFD" w:rsidRPr="00492FCC" w14:paraId="791BD0D5" w14:textId="77777777">
        <w:trPr>
          <w:tblHeader/>
          <w:tblCellSpacing w:w="15" w:type="dxa"/>
        </w:trPr>
        <w:tc>
          <w:tcPr>
            <w:tcW w:w="0" w:type="auto"/>
            <w:vAlign w:val="center"/>
            <w:hideMark/>
          </w:tcPr>
          <w:p w14:paraId="62B6E38B"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Response</w:t>
            </w:r>
          </w:p>
        </w:tc>
        <w:tc>
          <w:tcPr>
            <w:tcW w:w="0" w:type="auto"/>
            <w:vAlign w:val="center"/>
            <w:hideMark/>
          </w:tcPr>
          <w:p w14:paraId="1D444123"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n</w:t>
            </w:r>
          </w:p>
        </w:tc>
        <w:tc>
          <w:tcPr>
            <w:tcW w:w="0" w:type="auto"/>
            <w:vAlign w:val="center"/>
            <w:hideMark/>
          </w:tcPr>
          <w:p w14:paraId="5E8395EF"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w:t>
            </w:r>
          </w:p>
        </w:tc>
      </w:tr>
      <w:tr w:rsidR="00F17FFD" w:rsidRPr="00492FCC" w14:paraId="20D770FE" w14:textId="77777777">
        <w:trPr>
          <w:tblCellSpacing w:w="15" w:type="dxa"/>
        </w:trPr>
        <w:tc>
          <w:tcPr>
            <w:tcW w:w="0" w:type="auto"/>
            <w:vAlign w:val="center"/>
            <w:hideMark/>
          </w:tcPr>
          <w:p w14:paraId="3B276182"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Remains traditional</w:t>
            </w:r>
          </w:p>
        </w:tc>
        <w:tc>
          <w:tcPr>
            <w:tcW w:w="0" w:type="auto"/>
            <w:vAlign w:val="center"/>
            <w:hideMark/>
          </w:tcPr>
          <w:p w14:paraId="70D481E1"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70</w:t>
            </w:r>
          </w:p>
        </w:tc>
        <w:tc>
          <w:tcPr>
            <w:tcW w:w="0" w:type="auto"/>
            <w:vAlign w:val="center"/>
            <w:hideMark/>
          </w:tcPr>
          <w:p w14:paraId="238783C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70%</w:t>
            </w:r>
          </w:p>
        </w:tc>
      </w:tr>
      <w:tr w:rsidR="00F17FFD" w:rsidRPr="00492FCC" w14:paraId="09D7A949" w14:textId="77777777">
        <w:trPr>
          <w:tblCellSpacing w:w="15" w:type="dxa"/>
        </w:trPr>
        <w:tc>
          <w:tcPr>
            <w:tcW w:w="0" w:type="auto"/>
            <w:vAlign w:val="center"/>
            <w:hideMark/>
          </w:tcPr>
          <w:p w14:paraId="041671E1"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More cautious under economic pressure</w:t>
            </w:r>
          </w:p>
        </w:tc>
        <w:tc>
          <w:tcPr>
            <w:tcW w:w="0" w:type="auto"/>
            <w:vAlign w:val="center"/>
            <w:hideMark/>
          </w:tcPr>
          <w:p w14:paraId="6C1B81A7"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5</w:t>
            </w:r>
          </w:p>
        </w:tc>
        <w:tc>
          <w:tcPr>
            <w:tcW w:w="0" w:type="auto"/>
            <w:vAlign w:val="center"/>
            <w:hideMark/>
          </w:tcPr>
          <w:p w14:paraId="7649D75B"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5%</w:t>
            </w:r>
          </w:p>
        </w:tc>
      </w:tr>
      <w:tr w:rsidR="00F17FFD" w:rsidRPr="00492FCC" w14:paraId="6C44595B" w14:textId="77777777">
        <w:trPr>
          <w:tblCellSpacing w:w="15" w:type="dxa"/>
        </w:trPr>
        <w:tc>
          <w:tcPr>
            <w:tcW w:w="0" w:type="auto"/>
            <w:vAlign w:val="center"/>
            <w:hideMark/>
          </w:tcPr>
          <w:p w14:paraId="3186064D"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Not sure</w:t>
            </w:r>
          </w:p>
        </w:tc>
        <w:tc>
          <w:tcPr>
            <w:tcW w:w="0" w:type="auto"/>
            <w:vAlign w:val="center"/>
            <w:hideMark/>
          </w:tcPr>
          <w:p w14:paraId="7DAC74F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25</w:t>
            </w:r>
          </w:p>
        </w:tc>
        <w:tc>
          <w:tcPr>
            <w:tcW w:w="0" w:type="auto"/>
            <w:vAlign w:val="center"/>
            <w:hideMark/>
          </w:tcPr>
          <w:p w14:paraId="5C0FFC0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25%</w:t>
            </w:r>
          </w:p>
        </w:tc>
      </w:tr>
      <w:tr w:rsidR="00F17FFD" w:rsidRPr="00492FCC" w14:paraId="15A22177" w14:textId="77777777">
        <w:trPr>
          <w:tblCellSpacing w:w="15" w:type="dxa"/>
        </w:trPr>
        <w:tc>
          <w:tcPr>
            <w:tcW w:w="0" w:type="auto"/>
            <w:vAlign w:val="center"/>
            <w:hideMark/>
          </w:tcPr>
          <w:p w14:paraId="1524D67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Total</w:t>
            </w:r>
          </w:p>
        </w:tc>
        <w:tc>
          <w:tcPr>
            <w:tcW w:w="0" w:type="auto"/>
            <w:vAlign w:val="center"/>
            <w:hideMark/>
          </w:tcPr>
          <w:p w14:paraId="41448E57"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100</w:t>
            </w:r>
          </w:p>
        </w:tc>
        <w:tc>
          <w:tcPr>
            <w:tcW w:w="0" w:type="auto"/>
            <w:vAlign w:val="center"/>
            <w:hideMark/>
          </w:tcPr>
          <w:p w14:paraId="7E1563C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100%</w:t>
            </w:r>
          </w:p>
        </w:tc>
      </w:tr>
    </w:tbl>
    <w:p w14:paraId="07EA870F"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53B45F48">
          <v:rect id="_x0000_i1127" style="width:0;height:1.5pt" o:hralign="center" o:hrstd="t" o:hr="t" fillcolor="#a0a0a0" stroked="f"/>
        </w:pict>
      </w:r>
    </w:p>
    <w:p w14:paraId="4B4C0019"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Supplementary Material 2. Participant Characteristics</w:t>
      </w:r>
    </w:p>
    <w:p w14:paraId="3DAC9B05"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 xml:space="preserve">The final analytic sample consisted of </w:t>
      </w:r>
      <w:r w:rsidRPr="00492FCC">
        <w:rPr>
          <w:rFonts w:asciiTheme="majorBidi" w:hAnsiTheme="majorBidi" w:cstheme="majorBidi"/>
          <w:b/>
          <w:bCs/>
          <w:sz w:val="26"/>
          <w:szCs w:val="26"/>
        </w:rPr>
        <w:t>100 adult Nigerian participants</w:t>
      </w:r>
      <w:r w:rsidRPr="00492FCC">
        <w:rPr>
          <w:rFonts w:asciiTheme="majorBidi" w:hAnsiTheme="majorBidi" w:cstheme="majorBidi"/>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450"/>
        <w:gridCol w:w="725"/>
      </w:tblGrid>
      <w:tr w:rsidR="00F17FFD" w:rsidRPr="00492FCC" w14:paraId="58DBA9B3" w14:textId="77777777">
        <w:trPr>
          <w:tblHeader/>
          <w:tblCellSpacing w:w="15" w:type="dxa"/>
        </w:trPr>
        <w:tc>
          <w:tcPr>
            <w:tcW w:w="0" w:type="auto"/>
            <w:vAlign w:val="center"/>
            <w:hideMark/>
          </w:tcPr>
          <w:p w14:paraId="21C3E3CA"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Characteristic</w:t>
            </w:r>
          </w:p>
        </w:tc>
        <w:tc>
          <w:tcPr>
            <w:tcW w:w="0" w:type="auto"/>
            <w:vAlign w:val="center"/>
            <w:hideMark/>
          </w:tcPr>
          <w:p w14:paraId="73066F1B"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n</w:t>
            </w:r>
          </w:p>
        </w:tc>
        <w:tc>
          <w:tcPr>
            <w:tcW w:w="0" w:type="auto"/>
            <w:vAlign w:val="center"/>
            <w:hideMark/>
          </w:tcPr>
          <w:p w14:paraId="58E15DE3"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w:t>
            </w:r>
          </w:p>
        </w:tc>
      </w:tr>
      <w:tr w:rsidR="00F17FFD" w:rsidRPr="00492FCC" w14:paraId="40D6130E" w14:textId="77777777">
        <w:trPr>
          <w:tblCellSpacing w:w="15" w:type="dxa"/>
        </w:trPr>
        <w:tc>
          <w:tcPr>
            <w:tcW w:w="0" w:type="auto"/>
            <w:vAlign w:val="center"/>
            <w:hideMark/>
          </w:tcPr>
          <w:p w14:paraId="7E0A28DE"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Nigeria-based</w:t>
            </w:r>
          </w:p>
        </w:tc>
        <w:tc>
          <w:tcPr>
            <w:tcW w:w="0" w:type="auto"/>
            <w:vAlign w:val="center"/>
            <w:hideMark/>
          </w:tcPr>
          <w:p w14:paraId="66CEBB9D"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40</w:t>
            </w:r>
          </w:p>
        </w:tc>
        <w:tc>
          <w:tcPr>
            <w:tcW w:w="0" w:type="auto"/>
            <w:vAlign w:val="center"/>
            <w:hideMark/>
          </w:tcPr>
          <w:p w14:paraId="240076B0"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40%</w:t>
            </w:r>
          </w:p>
        </w:tc>
      </w:tr>
      <w:tr w:rsidR="00F17FFD" w:rsidRPr="00492FCC" w14:paraId="157F88A9" w14:textId="77777777">
        <w:trPr>
          <w:tblCellSpacing w:w="15" w:type="dxa"/>
        </w:trPr>
        <w:tc>
          <w:tcPr>
            <w:tcW w:w="0" w:type="auto"/>
            <w:vAlign w:val="center"/>
            <w:hideMark/>
          </w:tcPr>
          <w:p w14:paraId="6FA5E71C"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Nigerian diaspora</w:t>
            </w:r>
          </w:p>
        </w:tc>
        <w:tc>
          <w:tcPr>
            <w:tcW w:w="0" w:type="auto"/>
            <w:vAlign w:val="center"/>
            <w:hideMark/>
          </w:tcPr>
          <w:p w14:paraId="4AA01402"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60</w:t>
            </w:r>
          </w:p>
        </w:tc>
        <w:tc>
          <w:tcPr>
            <w:tcW w:w="0" w:type="auto"/>
            <w:vAlign w:val="center"/>
            <w:hideMark/>
          </w:tcPr>
          <w:p w14:paraId="7A2C6DDC"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60%</w:t>
            </w:r>
          </w:p>
        </w:tc>
      </w:tr>
      <w:tr w:rsidR="00F17FFD" w:rsidRPr="00492FCC" w14:paraId="4E773988" w14:textId="77777777">
        <w:trPr>
          <w:tblCellSpacing w:w="15" w:type="dxa"/>
        </w:trPr>
        <w:tc>
          <w:tcPr>
            <w:tcW w:w="0" w:type="auto"/>
            <w:vAlign w:val="center"/>
            <w:hideMark/>
          </w:tcPr>
          <w:p w14:paraId="58AA790F"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lastRenderedPageBreak/>
              <w:t>Total</w:t>
            </w:r>
          </w:p>
        </w:tc>
        <w:tc>
          <w:tcPr>
            <w:tcW w:w="0" w:type="auto"/>
            <w:vAlign w:val="center"/>
            <w:hideMark/>
          </w:tcPr>
          <w:p w14:paraId="1EF3211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100</w:t>
            </w:r>
          </w:p>
        </w:tc>
        <w:tc>
          <w:tcPr>
            <w:tcW w:w="0" w:type="auto"/>
            <w:vAlign w:val="center"/>
            <w:hideMark/>
          </w:tcPr>
          <w:p w14:paraId="70497E17"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100%</w:t>
            </w:r>
          </w:p>
        </w:tc>
      </w:tr>
    </w:tbl>
    <w:p w14:paraId="4EE6F5F0"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Participants were adults aged approximately 30–50 years.</w:t>
      </w:r>
    </w:p>
    <w:p w14:paraId="0D75E8BC"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 xml:space="preserve">Participants were recruited through the author's existing Nigerian contacts and voluntary peer-to-peer distribution of an anonymous online questionnaire. The resulting sample therefore represents a </w:t>
      </w:r>
      <w:r w:rsidRPr="00492FCC">
        <w:rPr>
          <w:rFonts w:asciiTheme="majorBidi" w:hAnsiTheme="majorBidi" w:cstheme="majorBidi"/>
          <w:b/>
          <w:bCs/>
          <w:sz w:val="26"/>
          <w:szCs w:val="26"/>
        </w:rPr>
        <w:t>non-probability convenience/purposive sample with a snowball component</w:t>
      </w:r>
      <w:r w:rsidRPr="00492FCC">
        <w:rPr>
          <w:rFonts w:asciiTheme="majorBidi" w:hAnsiTheme="majorBidi" w:cstheme="majorBidi"/>
          <w:sz w:val="26"/>
          <w:szCs w:val="26"/>
        </w:rPr>
        <w:t>, rather than a nationally representative Nigerian population sample.</w:t>
      </w:r>
    </w:p>
    <w:p w14:paraId="7F6E2107"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49B8390D">
          <v:rect id="_x0000_i1128" style="width:0;height:1.5pt" o:hralign="center" o:hrstd="t" o:hr="t" fillcolor="#a0a0a0" stroked="f"/>
        </w:pict>
      </w:r>
    </w:p>
    <w:p w14:paraId="3EF5F43E"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Supplementary Material 3. Residence × Response Strategy</w:t>
      </w:r>
    </w:p>
    <w:p w14:paraId="7CA7BB2C"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For Q5, response strategy was cross-tabulated by participant residence.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3058"/>
        <w:gridCol w:w="1459"/>
        <w:gridCol w:w="1953"/>
        <w:gridCol w:w="725"/>
        <w:gridCol w:w="644"/>
      </w:tblGrid>
      <w:tr w:rsidR="00F17FFD" w:rsidRPr="00492FCC" w14:paraId="640DF361" w14:textId="77777777">
        <w:trPr>
          <w:tblHeader/>
          <w:tblCellSpacing w:w="15" w:type="dxa"/>
        </w:trPr>
        <w:tc>
          <w:tcPr>
            <w:tcW w:w="0" w:type="auto"/>
            <w:vAlign w:val="center"/>
            <w:hideMark/>
          </w:tcPr>
          <w:p w14:paraId="49C48038"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Residence</w:t>
            </w:r>
          </w:p>
        </w:tc>
        <w:tc>
          <w:tcPr>
            <w:tcW w:w="0" w:type="auto"/>
            <w:vAlign w:val="center"/>
            <w:hideMark/>
          </w:tcPr>
          <w:p w14:paraId="1277BA4A"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Verbal/religious reassurance</w:t>
            </w:r>
          </w:p>
        </w:tc>
        <w:tc>
          <w:tcPr>
            <w:tcW w:w="0" w:type="auto"/>
            <w:vAlign w:val="center"/>
            <w:hideMark/>
          </w:tcPr>
          <w:p w14:paraId="16326979"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Change topic</w:t>
            </w:r>
          </w:p>
        </w:tc>
        <w:tc>
          <w:tcPr>
            <w:tcW w:w="0" w:type="auto"/>
            <w:vAlign w:val="center"/>
            <w:hideMark/>
          </w:tcPr>
          <w:p w14:paraId="27051077"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Offer food/money</w:t>
            </w:r>
          </w:p>
        </w:tc>
        <w:tc>
          <w:tcPr>
            <w:tcW w:w="0" w:type="auto"/>
            <w:vAlign w:val="center"/>
            <w:hideMark/>
          </w:tcPr>
          <w:p w14:paraId="08555FFA"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Other</w:t>
            </w:r>
          </w:p>
        </w:tc>
        <w:tc>
          <w:tcPr>
            <w:tcW w:w="0" w:type="auto"/>
            <w:vAlign w:val="center"/>
            <w:hideMark/>
          </w:tcPr>
          <w:p w14:paraId="4E4FBCE1"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Total</w:t>
            </w:r>
          </w:p>
        </w:tc>
      </w:tr>
      <w:tr w:rsidR="00F17FFD" w:rsidRPr="00492FCC" w14:paraId="03D26AF4" w14:textId="77777777">
        <w:trPr>
          <w:tblCellSpacing w:w="15" w:type="dxa"/>
        </w:trPr>
        <w:tc>
          <w:tcPr>
            <w:tcW w:w="0" w:type="auto"/>
            <w:vAlign w:val="center"/>
            <w:hideMark/>
          </w:tcPr>
          <w:p w14:paraId="063EC2CF"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Nigeria</w:t>
            </w:r>
          </w:p>
        </w:tc>
        <w:tc>
          <w:tcPr>
            <w:tcW w:w="0" w:type="auto"/>
            <w:vAlign w:val="center"/>
            <w:hideMark/>
          </w:tcPr>
          <w:p w14:paraId="30C42843"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27</w:t>
            </w:r>
          </w:p>
        </w:tc>
        <w:tc>
          <w:tcPr>
            <w:tcW w:w="0" w:type="auto"/>
            <w:vAlign w:val="center"/>
            <w:hideMark/>
          </w:tcPr>
          <w:p w14:paraId="70495A7E"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5</w:t>
            </w:r>
          </w:p>
        </w:tc>
        <w:tc>
          <w:tcPr>
            <w:tcW w:w="0" w:type="auto"/>
            <w:vAlign w:val="center"/>
            <w:hideMark/>
          </w:tcPr>
          <w:p w14:paraId="492190E7"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4</w:t>
            </w:r>
          </w:p>
        </w:tc>
        <w:tc>
          <w:tcPr>
            <w:tcW w:w="0" w:type="auto"/>
            <w:vAlign w:val="center"/>
            <w:hideMark/>
          </w:tcPr>
          <w:p w14:paraId="27C0D4F2"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4</w:t>
            </w:r>
          </w:p>
        </w:tc>
        <w:tc>
          <w:tcPr>
            <w:tcW w:w="0" w:type="auto"/>
            <w:vAlign w:val="center"/>
            <w:hideMark/>
          </w:tcPr>
          <w:p w14:paraId="2BB61863"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40</w:t>
            </w:r>
          </w:p>
        </w:tc>
      </w:tr>
      <w:tr w:rsidR="00F17FFD" w:rsidRPr="00492FCC" w14:paraId="4DCDA213" w14:textId="77777777">
        <w:trPr>
          <w:tblCellSpacing w:w="15" w:type="dxa"/>
        </w:trPr>
        <w:tc>
          <w:tcPr>
            <w:tcW w:w="0" w:type="auto"/>
            <w:vAlign w:val="center"/>
            <w:hideMark/>
          </w:tcPr>
          <w:p w14:paraId="3A5DD614"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Diaspora</w:t>
            </w:r>
          </w:p>
        </w:tc>
        <w:tc>
          <w:tcPr>
            <w:tcW w:w="0" w:type="auto"/>
            <w:vAlign w:val="center"/>
            <w:hideMark/>
          </w:tcPr>
          <w:p w14:paraId="3CEA830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38</w:t>
            </w:r>
          </w:p>
        </w:tc>
        <w:tc>
          <w:tcPr>
            <w:tcW w:w="0" w:type="auto"/>
            <w:vAlign w:val="center"/>
            <w:hideMark/>
          </w:tcPr>
          <w:p w14:paraId="0BB15B25"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10</w:t>
            </w:r>
          </w:p>
        </w:tc>
        <w:tc>
          <w:tcPr>
            <w:tcW w:w="0" w:type="auto"/>
            <w:vAlign w:val="center"/>
            <w:hideMark/>
          </w:tcPr>
          <w:p w14:paraId="2E024560"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6</w:t>
            </w:r>
          </w:p>
        </w:tc>
        <w:tc>
          <w:tcPr>
            <w:tcW w:w="0" w:type="auto"/>
            <w:vAlign w:val="center"/>
            <w:hideMark/>
          </w:tcPr>
          <w:p w14:paraId="282C50CA"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6</w:t>
            </w:r>
          </w:p>
        </w:tc>
        <w:tc>
          <w:tcPr>
            <w:tcW w:w="0" w:type="auto"/>
            <w:vAlign w:val="center"/>
            <w:hideMark/>
          </w:tcPr>
          <w:p w14:paraId="472411DA"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60</w:t>
            </w:r>
          </w:p>
        </w:tc>
      </w:tr>
      <w:tr w:rsidR="00F17FFD" w:rsidRPr="00492FCC" w14:paraId="13C2994E" w14:textId="77777777">
        <w:trPr>
          <w:tblCellSpacing w:w="15" w:type="dxa"/>
        </w:trPr>
        <w:tc>
          <w:tcPr>
            <w:tcW w:w="0" w:type="auto"/>
            <w:vAlign w:val="center"/>
            <w:hideMark/>
          </w:tcPr>
          <w:p w14:paraId="64CF907C"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Total</w:t>
            </w:r>
          </w:p>
        </w:tc>
        <w:tc>
          <w:tcPr>
            <w:tcW w:w="0" w:type="auto"/>
            <w:vAlign w:val="center"/>
            <w:hideMark/>
          </w:tcPr>
          <w:p w14:paraId="09E6E03C"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65</w:t>
            </w:r>
          </w:p>
        </w:tc>
        <w:tc>
          <w:tcPr>
            <w:tcW w:w="0" w:type="auto"/>
            <w:vAlign w:val="center"/>
            <w:hideMark/>
          </w:tcPr>
          <w:p w14:paraId="79350295"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15</w:t>
            </w:r>
          </w:p>
        </w:tc>
        <w:tc>
          <w:tcPr>
            <w:tcW w:w="0" w:type="auto"/>
            <w:vAlign w:val="center"/>
            <w:hideMark/>
          </w:tcPr>
          <w:p w14:paraId="01B11574"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10</w:t>
            </w:r>
          </w:p>
        </w:tc>
        <w:tc>
          <w:tcPr>
            <w:tcW w:w="0" w:type="auto"/>
            <w:vAlign w:val="center"/>
            <w:hideMark/>
          </w:tcPr>
          <w:p w14:paraId="0190B86B"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10</w:t>
            </w:r>
          </w:p>
        </w:tc>
        <w:tc>
          <w:tcPr>
            <w:tcW w:w="0" w:type="auto"/>
            <w:vAlign w:val="center"/>
            <w:hideMark/>
          </w:tcPr>
          <w:p w14:paraId="27FF99F8"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100</w:t>
            </w:r>
          </w:p>
        </w:tc>
      </w:tr>
    </w:tbl>
    <w:p w14:paraId="2B800058"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Pearson's chi-square test indicated no statistically significant association between residence and response strategy:</w:t>
      </w:r>
    </w:p>
    <w:p w14:paraId="6899F83C"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χ</w:t>
      </w:r>
      <w:proofErr w:type="gramStart"/>
      <w:r w:rsidRPr="00492FCC">
        <w:rPr>
          <w:rFonts w:asciiTheme="majorBidi" w:hAnsiTheme="majorBidi" w:cstheme="majorBidi"/>
          <w:b/>
          <w:bCs/>
          <w:sz w:val="26"/>
          <w:szCs w:val="26"/>
        </w:rPr>
        <w:t>²(</w:t>
      </w:r>
      <w:proofErr w:type="gramEnd"/>
      <w:r w:rsidRPr="00492FCC">
        <w:rPr>
          <w:rFonts w:asciiTheme="majorBidi" w:hAnsiTheme="majorBidi" w:cstheme="majorBidi"/>
          <w:b/>
          <w:bCs/>
          <w:sz w:val="26"/>
          <w:szCs w:val="26"/>
        </w:rPr>
        <w:t>3) = 0.34, p = .952, Cramér's V = .058.</w:t>
      </w:r>
    </w:p>
    <w:p w14:paraId="75D50A32"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The very small Cramér's V indicates that the observed association between residence and response strategy was negligible in magnitude within this sample.</w:t>
      </w:r>
    </w:p>
    <w:p w14:paraId="08F51402"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3B719724">
          <v:rect id="_x0000_i1129" style="width:0;height:1.5pt" o:hralign="center" o:hrstd="t" o:hr="t" fillcolor="#a0a0a0" stroked="f"/>
        </w:pict>
      </w:r>
    </w:p>
    <w:p w14:paraId="3D0D3D4F"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Supplementary Material 4. Inferential Statistical Procedures</w:t>
      </w:r>
    </w:p>
    <w:p w14:paraId="3FF5DC7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All statistical analyses were conducted using standard procedures implemented in Python.</w:t>
      </w:r>
    </w:p>
    <w:p w14:paraId="56176FC3"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4.1 Wilson confidence intervals</w:t>
      </w:r>
    </w:p>
    <w:p w14:paraId="5C275DF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Wilson score intervals were calculated for key proportions rather than relying on normal-approximation intervals.</w:t>
      </w:r>
    </w:p>
    <w:p w14:paraId="6D4C8333"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For Q3, 100% of participants strongly endorsed the affective interpretation of the greeting:</w:t>
      </w:r>
    </w:p>
    <w:p w14:paraId="2B523DC1"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lastRenderedPageBreak/>
        <w:t>100%, 95% CI [96.3%, 100%].</w:t>
      </w:r>
    </w:p>
    <w:p w14:paraId="0D17E344"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For the principal Q5 response:</w:t>
      </w:r>
    </w:p>
    <w:p w14:paraId="68766C7C"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65%, 95% CI [55.3%, 73.6%].</w:t>
      </w:r>
    </w:p>
    <w:p w14:paraId="222CC783"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0FC01DBE">
          <v:rect id="_x0000_i1130" style="width:0;height:1.5pt" o:hralign="center" o:hrstd="t" o:hr="t" fillcolor="#a0a0a0" stroked="f"/>
        </w:pict>
      </w:r>
    </w:p>
    <w:p w14:paraId="2AEEA6BC"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4.2 Exact binomial test</w:t>
      </w:r>
    </w:p>
    <w:p w14:paraId="207F5257"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An exact binomial test was applied to the 65% prevalence of verbal/religious reassurance in Q5.</w:t>
      </w:r>
    </w:p>
    <w:p w14:paraId="4F86977D"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 xml:space="preserve">The null reference proportion was set at </w:t>
      </w:r>
      <w:r w:rsidRPr="00492FCC">
        <w:rPr>
          <w:rFonts w:asciiTheme="majorBidi" w:hAnsiTheme="majorBidi" w:cstheme="majorBidi"/>
          <w:b/>
          <w:bCs/>
          <w:sz w:val="26"/>
          <w:szCs w:val="26"/>
        </w:rPr>
        <w:t>p₀ = .25</w:t>
      </w:r>
      <w:r w:rsidRPr="00492FCC">
        <w:rPr>
          <w:rFonts w:asciiTheme="majorBidi" w:hAnsiTheme="majorBidi" w:cstheme="majorBidi"/>
          <w:sz w:val="26"/>
          <w:szCs w:val="26"/>
        </w:rPr>
        <w:t>, corresponding to an equal-probability reference distribution across the four mutually exclusive Q5 response categories.</w:t>
      </w:r>
    </w:p>
    <w:p w14:paraId="796E85FA"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The observed proportion of 65% was significantly greater than this reference value (</w:t>
      </w:r>
      <w:r w:rsidRPr="00492FCC">
        <w:rPr>
          <w:rFonts w:asciiTheme="majorBidi" w:hAnsiTheme="majorBidi" w:cstheme="majorBidi"/>
          <w:b/>
          <w:bCs/>
          <w:sz w:val="26"/>
          <w:szCs w:val="26"/>
        </w:rPr>
        <w:t>p &lt; .001</w:t>
      </w:r>
      <w:r w:rsidRPr="00492FCC">
        <w:rPr>
          <w:rFonts w:asciiTheme="majorBidi" w:hAnsiTheme="majorBidi" w:cstheme="majorBidi"/>
          <w:sz w:val="26"/>
          <w:szCs w:val="26"/>
        </w:rPr>
        <w:t>).</w:t>
      </w:r>
    </w:p>
    <w:p w14:paraId="2016B36B"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This test is interpreted as a comparison against the specified statistical reference distribution rather than as evidence that verbal/religious reassurance is inherently more appropriate or culturally preferable.</w:t>
      </w:r>
    </w:p>
    <w:p w14:paraId="21EDE36B"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5841B772">
          <v:rect id="_x0000_i1131" style="width:0;height:1.5pt" o:hralign="center" o:hrstd="t" o:hr="t" fillcolor="#a0a0a0" stroked="f"/>
        </w:pict>
      </w:r>
    </w:p>
    <w:p w14:paraId="3E3A47A7"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4.3 Residence and response strategy</w:t>
      </w:r>
    </w:p>
    <w:p w14:paraId="5CDBABF5"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A Pearson chi-square test examined whether Q5 response strategy varied according to residence.</w:t>
      </w:r>
    </w:p>
    <w:p w14:paraId="7260AB1F"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The result was:</w:t>
      </w:r>
    </w:p>
    <w:p w14:paraId="0191AB4B"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b/>
          <w:bCs/>
          <w:sz w:val="26"/>
          <w:szCs w:val="26"/>
        </w:rPr>
        <w:t>χ</w:t>
      </w:r>
      <w:proofErr w:type="gramStart"/>
      <w:r w:rsidRPr="00492FCC">
        <w:rPr>
          <w:rFonts w:asciiTheme="majorBidi" w:hAnsiTheme="majorBidi" w:cstheme="majorBidi"/>
          <w:b/>
          <w:bCs/>
          <w:sz w:val="26"/>
          <w:szCs w:val="26"/>
        </w:rPr>
        <w:t>²(</w:t>
      </w:r>
      <w:proofErr w:type="gramEnd"/>
      <w:r w:rsidRPr="00492FCC">
        <w:rPr>
          <w:rFonts w:asciiTheme="majorBidi" w:hAnsiTheme="majorBidi" w:cstheme="majorBidi"/>
          <w:b/>
          <w:bCs/>
          <w:sz w:val="26"/>
          <w:szCs w:val="26"/>
        </w:rPr>
        <w:t>3) = 0.34, p = .952, Cramér's V = .058.</w:t>
      </w:r>
    </w:p>
    <w:p w14:paraId="4C65066E"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The analysis therefore did not identify a statistically significant relationship between residence and reported response strategy.</w:t>
      </w:r>
    </w:p>
    <w:p w14:paraId="5AB48DEA"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6C277DCF">
          <v:rect id="_x0000_i1132" style="width:0;height:1.5pt" o:hralign="center" o:hrstd="t" o:hr="t" fillcolor="#a0a0a0" stroked="f"/>
        </w:pict>
      </w:r>
    </w:p>
    <w:p w14:paraId="5BB53B26"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4.4 Treatment of the multiple-response item</w:t>
      </w:r>
    </w:p>
    <w:p w14:paraId="52AB0548"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 xml:space="preserve">Q4 was explicitly coded as a </w:t>
      </w:r>
      <w:r w:rsidRPr="00492FCC">
        <w:rPr>
          <w:rFonts w:asciiTheme="majorBidi" w:hAnsiTheme="majorBidi" w:cstheme="majorBidi"/>
          <w:b/>
          <w:bCs/>
          <w:sz w:val="26"/>
          <w:szCs w:val="26"/>
        </w:rPr>
        <w:t>multiple-response item</w:t>
      </w:r>
      <w:r w:rsidRPr="00492FCC">
        <w:rPr>
          <w:rFonts w:asciiTheme="majorBidi" w:hAnsiTheme="majorBidi" w:cstheme="majorBidi"/>
          <w:sz w:val="26"/>
          <w:szCs w:val="26"/>
        </w:rPr>
        <w:t>.</w:t>
      </w:r>
    </w:p>
    <w:p w14:paraId="05F68B41"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Consequently, each response option was treated as an independent binary indicator (selected/not selected). The aggregate frequencies were reported descriptively.</w:t>
      </w:r>
    </w:p>
    <w:p w14:paraId="5E48E5E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No conventional four-category Pearson chi-square test was applied to Q4 because the response categories were not mutually exclusive.</w:t>
      </w:r>
    </w:p>
    <w:p w14:paraId="2DA8859E"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42124F88">
          <v:rect id="_x0000_i1133" style="width:0;height:1.5pt" o:hralign="center" o:hrstd="t" o:hr="t" fillcolor="#a0a0a0" stroked="f"/>
        </w:pict>
      </w:r>
    </w:p>
    <w:p w14:paraId="351AC8CE"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lastRenderedPageBreak/>
        <w:t>Supplementary Material 5. Operationalization of Linguistic Masking</w:t>
      </w:r>
    </w:p>
    <w:p w14:paraId="5F96487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 xml:space="preserve">For this study, </w:t>
      </w:r>
      <w:r w:rsidRPr="00492FCC">
        <w:rPr>
          <w:rFonts w:asciiTheme="majorBidi" w:hAnsiTheme="majorBidi" w:cstheme="majorBidi"/>
          <w:b/>
          <w:bCs/>
          <w:sz w:val="26"/>
          <w:szCs w:val="26"/>
        </w:rPr>
        <w:t>Linguistic Masking</w:t>
      </w:r>
      <w:r w:rsidRPr="00492FCC">
        <w:rPr>
          <w:rFonts w:asciiTheme="majorBidi" w:hAnsiTheme="majorBidi" w:cstheme="majorBidi"/>
          <w:sz w:val="26"/>
          <w:szCs w:val="26"/>
        </w:rPr>
        <w:t xml:space="preserve"> is defined as:</w:t>
      </w:r>
    </w:p>
    <w:p w14:paraId="2367284B"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the interactional decoupling between the relational/affective meaning conventionally conveyed by an expression and the material commitment that may be inferred when the interaction becomes explicitly need-oriented.</w:t>
      </w:r>
    </w:p>
    <w:p w14:paraId="47819306"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 xml:space="preserve">The concept does </w:t>
      </w:r>
      <w:r w:rsidRPr="00492FCC">
        <w:rPr>
          <w:rFonts w:asciiTheme="majorBidi" w:hAnsiTheme="majorBidi" w:cstheme="majorBidi"/>
          <w:b/>
          <w:bCs/>
          <w:sz w:val="26"/>
          <w:szCs w:val="26"/>
        </w:rPr>
        <w:t>not</w:t>
      </w:r>
      <w:r w:rsidRPr="00492FCC">
        <w:rPr>
          <w:rFonts w:asciiTheme="majorBidi" w:hAnsiTheme="majorBidi" w:cstheme="majorBidi"/>
          <w:sz w:val="26"/>
          <w:szCs w:val="26"/>
        </w:rPr>
        <w:t xml:space="preserve"> imply deception, concealment, or intentional manipulation by speakers.</w:t>
      </w:r>
    </w:p>
    <w:p w14:paraId="50F2157C"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In the present study, the concept is operationalized through the contrast between:</w:t>
      </w:r>
    </w:p>
    <w:p w14:paraId="722F1ABF" w14:textId="77777777" w:rsidR="00F17FFD" w:rsidRPr="00492FCC" w:rsidRDefault="00F17FFD" w:rsidP="00F17FFD">
      <w:pPr>
        <w:numPr>
          <w:ilvl w:val="0"/>
          <w:numId w:val="7"/>
        </w:numPr>
        <w:jc w:val="right"/>
        <w:rPr>
          <w:rFonts w:asciiTheme="majorBidi" w:hAnsiTheme="majorBidi" w:cstheme="majorBidi"/>
          <w:sz w:val="26"/>
          <w:szCs w:val="26"/>
        </w:rPr>
      </w:pPr>
      <w:r w:rsidRPr="00492FCC">
        <w:rPr>
          <w:rFonts w:asciiTheme="majorBidi" w:hAnsiTheme="majorBidi" w:cstheme="majorBidi"/>
          <w:sz w:val="26"/>
          <w:szCs w:val="26"/>
        </w:rPr>
        <w:t>the affective interpretation of “Have you eaten?”;</w:t>
      </w:r>
    </w:p>
    <w:p w14:paraId="14221663" w14:textId="77777777" w:rsidR="00F17FFD" w:rsidRPr="00492FCC" w:rsidRDefault="00F17FFD" w:rsidP="00F17FFD">
      <w:pPr>
        <w:numPr>
          <w:ilvl w:val="0"/>
          <w:numId w:val="7"/>
        </w:numPr>
        <w:jc w:val="right"/>
        <w:rPr>
          <w:rFonts w:asciiTheme="majorBidi" w:hAnsiTheme="majorBidi" w:cstheme="majorBidi"/>
          <w:sz w:val="26"/>
          <w:szCs w:val="26"/>
        </w:rPr>
      </w:pPr>
      <w:r w:rsidRPr="00492FCC">
        <w:rPr>
          <w:rFonts w:asciiTheme="majorBidi" w:hAnsiTheme="majorBidi" w:cstheme="majorBidi"/>
          <w:sz w:val="26"/>
          <w:szCs w:val="26"/>
        </w:rPr>
        <w:t>participants' reactions when literal hunger is disclosed;</w:t>
      </w:r>
    </w:p>
    <w:p w14:paraId="7AC19752" w14:textId="77777777" w:rsidR="00F17FFD" w:rsidRPr="00492FCC" w:rsidRDefault="00F17FFD" w:rsidP="00F17FFD">
      <w:pPr>
        <w:numPr>
          <w:ilvl w:val="0"/>
          <w:numId w:val="7"/>
        </w:numPr>
        <w:jc w:val="right"/>
        <w:rPr>
          <w:rFonts w:asciiTheme="majorBidi" w:hAnsiTheme="majorBidi" w:cstheme="majorBidi"/>
          <w:sz w:val="26"/>
          <w:szCs w:val="26"/>
        </w:rPr>
      </w:pPr>
      <w:r w:rsidRPr="00492FCC">
        <w:rPr>
          <w:rFonts w:asciiTheme="majorBidi" w:hAnsiTheme="majorBidi" w:cstheme="majorBidi"/>
          <w:sz w:val="26"/>
          <w:szCs w:val="26"/>
        </w:rPr>
        <w:t>reported strategies following explicit disclosure of material need; and</w:t>
      </w:r>
    </w:p>
    <w:p w14:paraId="6FD7304E" w14:textId="77777777" w:rsidR="00F17FFD" w:rsidRPr="00492FCC" w:rsidRDefault="00F17FFD" w:rsidP="00F17FFD">
      <w:pPr>
        <w:numPr>
          <w:ilvl w:val="0"/>
          <w:numId w:val="7"/>
        </w:numPr>
        <w:jc w:val="right"/>
        <w:rPr>
          <w:rFonts w:asciiTheme="majorBidi" w:hAnsiTheme="majorBidi" w:cstheme="majorBidi"/>
          <w:sz w:val="26"/>
          <w:szCs w:val="26"/>
        </w:rPr>
      </w:pPr>
      <w:r w:rsidRPr="00492FCC">
        <w:rPr>
          <w:rFonts w:asciiTheme="majorBidi" w:hAnsiTheme="majorBidi" w:cstheme="majorBidi"/>
          <w:sz w:val="26"/>
          <w:szCs w:val="26"/>
        </w:rPr>
        <w:t>the proportion reporting willingness to provide food or financial assistance.</w:t>
      </w:r>
    </w:p>
    <w:p w14:paraId="2D650292"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The principal descriptive contrast was between:</w:t>
      </w:r>
    </w:p>
    <w:p w14:paraId="1720539D" w14:textId="77777777" w:rsidR="00F17FFD" w:rsidRPr="00492FCC" w:rsidRDefault="00F17FFD" w:rsidP="00F17FFD">
      <w:pPr>
        <w:numPr>
          <w:ilvl w:val="0"/>
          <w:numId w:val="8"/>
        </w:numPr>
        <w:jc w:val="right"/>
        <w:rPr>
          <w:rFonts w:asciiTheme="majorBidi" w:hAnsiTheme="majorBidi" w:cstheme="majorBidi"/>
          <w:sz w:val="26"/>
          <w:szCs w:val="26"/>
        </w:rPr>
      </w:pPr>
      <w:r w:rsidRPr="00492FCC">
        <w:rPr>
          <w:rFonts w:asciiTheme="majorBidi" w:hAnsiTheme="majorBidi" w:cstheme="majorBidi"/>
          <w:b/>
          <w:bCs/>
          <w:sz w:val="26"/>
          <w:szCs w:val="26"/>
        </w:rPr>
        <w:t>100%</w:t>
      </w:r>
      <w:r w:rsidRPr="00492FCC">
        <w:rPr>
          <w:rFonts w:asciiTheme="majorBidi" w:hAnsiTheme="majorBidi" w:cstheme="majorBidi"/>
          <w:sz w:val="26"/>
          <w:szCs w:val="26"/>
        </w:rPr>
        <w:t xml:space="preserve"> strongly associating the greeting with affection comparable to “I love you”; and</w:t>
      </w:r>
    </w:p>
    <w:p w14:paraId="4E3466D5" w14:textId="77777777" w:rsidR="00F17FFD" w:rsidRPr="00492FCC" w:rsidRDefault="00F17FFD" w:rsidP="00F17FFD">
      <w:pPr>
        <w:numPr>
          <w:ilvl w:val="0"/>
          <w:numId w:val="8"/>
        </w:numPr>
        <w:jc w:val="right"/>
        <w:rPr>
          <w:rFonts w:asciiTheme="majorBidi" w:hAnsiTheme="majorBidi" w:cstheme="majorBidi"/>
          <w:sz w:val="26"/>
          <w:szCs w:val="26"/>
        </w:rPr>
      </w:pPr>
      <w:r w:rsidRPr="00492FCC">
        <w:rPr>
          <w:rFonts w:asciiTheme="majorBidi" w:hAnsiTheme="majorBidi" w:cstheme="majorBidi"/>
          <w:b/>
          <w:bCs/>
          <w:sz w:val="26"/>
          <w:szCs w:val="26"/>
        </w:rPr>
        <w:t>10%</w:t>
      </w:r>
      <w:r w:rsidRPr="00492FCC">
        <w:rPr>
          <w:rFonts w:asciiTheme="majorBidi" w:hAnsiTheme="majorBidi" w:cstheme="majorBidi"/>
          <w:sz w:val="26"/>
          <w:szCs w:val="26"/>
        </w:rPr>
        <w:t xml:space="preserve"> reporting food or financial/material assistance as their primary subsequent response.</w:t>
      </w:r>
    </w:p>
    <w:p w14:paraId="4B59C714"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 xml:space="preserve">This contrast is interpreted as evidence of a separation between </w:t>
      </w:r>
      <w:r w:rsidRPr="00492FCC">
        <w:rPr>
          <w:rFonts w:asciiTheme="majorBidi" w:hAnsiTheme="majorBidi" w:cstheme="majorBidi"/>
          <w:b/>
          <w:bCs/>
          <w:sz w:val="26"/>
          <w:szCs w:val="26"/>
        </w:rPr>
        <w:t>relational solidarity</w:t>
      </w:r>
      <w:r w:rsidRPr="00492FCC">
        <w:rPr>
          <w:rFonts w:asciiTheme="majorBidi" w:hAnsiTheme="majorBidi" w:cstheme="majorBidi"/>
          <w:sz w:val="26"/>
          <w:szCs w:val="26"/>
        </w:rPr>
        <w:t xml:space="preserve"> and </w:t>
      </w:r>
      <w:r w:rsidRPr="00492FCC">
        <w:rPr>
          <w:rFonts w:asciiTheme="majorBidi" w:hAnsiTheme="majorBidi" w:cstheme="majorBidi"/>
          <w:b/>
          <w:bCs/>
          <w:sz w:val="26"/>
          <w:szCs w:val="26"/>
        </w:rPr>
        <w:t>material commitment</w:t>
      </w:r>
      <w:r w:rsidRPr="00492FCC">
        <w:rPr>
          <w:rFonts w:asciiTheme="majorBidi" w:hAnsiTheme="majorBidi" w:cstheme="majorBidi"/>
          <w:sz w:val="26"/>
          <w:szCs w:val="26"/>
        </w:rPr>
        <w:t>, rather than as evidence of insincerity.</w:t>
      </w:r>
    </w:p>
    <w:p w14:paraId="4E3731F7"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5381EC72">
          <v:rect id="_x0000_i1134" style="width:0;height:1.5pt" o:hralign="center" o:hrstd="t" o:hr="t" fillcolor="#a0a0a0" stroked="f"/>
        </w:pict>
      </w:r>
    </w:p>
    <w:p w14:paraId="3684B98E"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Supplementary Material 6. Ethics and Data Protection</w:t>
      </w:r>
    </w:p>
    <w:p w14:paraId="1CCF5AD9"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The study was conducted through an anonymous online questionnaire.</w:t>
      </w:r>
    </w:p>
    <w:p w14:paraId="59DCFDA3"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Participation was voluntary, and participants were informed about the general purpose of the study and the voluntary nature of participation. No payment or financial incentive was provided.</w:t>
      </w:r>
    </w:p>
    <w:p w14:paraId="0DFB4902"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No names, email addresses, telephone numbers, or other directly identifying information were collected as part of the analytic dataset.</w:t>
      </w:r>
    </w:p>
    <w:p w14:paraId="7C2C8FB0"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The study did not receive formal institutional ethics approval, and consequently no institutional ethics approval number is reported.</w:t>
      </w:r>
    </w:p>
    <w:p w14:paraId="54915B75"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 xml:space="preserve">The dataset used for analysis was treated as anonymized research data. Any publicly shared research materials should exclude personally identifying information and </w:t>
      </w:r>
      <w:r w:rsidRPr="00492FCC">
        <w:rPr>
          <w:rFonts w:asciiTheme="majorBidi" w:hAnsiTheme="majorBidi" w:cstheme="majorBidi"/>
          <w:sz w:val="26"/>
          <w:szCs w:val="26"/>
        </w:rPr>
        <w:lastRenderedPageBreak/>
        <w:t>should be consistent with the consent and privacy conditions under which the survey responses were collected.</w:t>
      </w:r>
    </w:p>
    <w:p w14:paraId="676E6F8B"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3A58BBAA">
          <v:rect id="_x0000_i1135" style="width:0;height:1.5pt" o:hralign="center" o:hrstd="t" o:hr="t" fillcolor="#a0a0a0" stroked="f"/>
        </w:pict>
      </w:r>
    </w:p>
    <w:p w14:paraId="12BA11BF"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Supplementary Material 7. Interpretation Notes</w:t>
      </w:r>
    </w:p>
    <w:p w14:paraId="07479598"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The results should be interpreted within the limits of the study design.</w:t>
      </w:r>
    </w:p>
    <w:p w14:paraId="6042AD73"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The sample was non-probabilistic and relatively small, and therefore the findings should not be interpreted as population estimates for all Nigerians. The survey also relied on self-reported responses to a hypothetical interactional scenario rather than naturally occurring conversational data.</w:t>
      </w:r>
    </w:p>
    <w:p w14:paraId="79050EAF"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The study is descriptive and exploratory in its treatment of the proposed concept of Linguistic Masking. The findings do not establish that economic pressure causes changes in greeting behavior, nor do they establish a causal relationship between “billing” and material assistance.</w:t>
      </w:r>
    </w:p>
    <w:p w14:paraId="52113DB8"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The absence of a significant residence effect should likewise be understood as an observation within this sample rather than proof that Nigerian residents and diaspora populations are identical in all pragmatic practices.</w:t>
      </w:r>
    </w:p>
    <w:p w14:paraId="7A799647"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pict w14:anchorId="792431F6">
          <v:rect id="_x0000_i1136" style="width:0;height:1.5pt" o:hralign="center" o:hrstd="t" o:hr="t" fillcolor="#a0a0a0" stroked="f"/>
        </w:pict>
      </w:r>
    </w:p>
    <w:p w14:paraId="25872B37" w14:textId="77777777" w:rsidR="00F17FFD" w:rsidRPr="00492FCC" w:rsidRDefault="00F17FFD" w:rsidP="00F17FFD">
      <w:pPr>
        <w:jc w:val="right"/>
        <w:rPr>
          <w:rFonts w:asciiTheme="majorBidi" w:hAnsiTheme="majorBidi" w:cstheme="majorBidi"/>
          <w:b/>
          <w:bCs/>
          <w:sz w:val="26"/>
          <w:szCs w:val="26"/>
        </w:rPr>
      </w:pPr>
      <w:r w:rsidRPr="00492FCC">
        <w:rPr>
          <w:rFonts w:asciiTheme="majorBidi" w:hAnsiTheme="majorBidi" w:cstheme="majorBidi"/>
          <w:b/>
          <w:bCs/>
          <w:sz w:val="26"/>
          <w:szCs w:val="26"/>
        </w:rPr>
        <w:t>Supplementary Material 8. Reproducibility Statement</w:t>
      </w:r>
    </w:p>
    <w:p w14:paraId="4D91958D" w14:textId="77777777" w:rsidR="00F17FFD" w:rsidRPr="00492FCC" w:rsidRDefault="00F17FFD" w:rsidP="00F17FFD">
      <w:pPr>
        <w:jc w:val="right"/>
        <w:rPr>
          <w:rFonts w:asciiTheme="majorBidi" w:hAnsiTheme="majorBidi" w:cstheme="majorBidi"/>
          <w:sz w:val="26"/>
          <w:szCs w:val="26"/>
        </w:rPr>
      </w:pPr>
      <w:r w:rsidRPr="00492FCC">
        <w:rPr>
          <w:rFonts w:asciiTheme="majorBidi" w:hAnsiTheme="majorBidi" w:cstheme="majorBidi"/>
          <w:sz w:val="26"/>
          <w:szCs w:val="26"/>
        </w:rPr>
        <w:t>The supplementary materials provide the questionnaire, operational definitions, descriptive distributions, residence-by-response cross-tabulation, and statistical procedures necessary to understand and reproduce the reported analyses.</w:t>
      </w:r>
    </w:p>
    <w:p w14:paraId="65232161" w14:textId="77777777" w:rsidR="00F17FFD" w:rsidRPr="00492FCC" w:rsidRDefault="00F17FFD" w:rsidP="00F17FFD">
      <w:pPr>
        <w:pBdr>
          <w:bottom w:val="thinThickThinMediumGap" w:sz="18" w:space="1" w:color="auto"/>
        </w:pBdr>
        <w:jc w:val="right"/>
        <w:rPr>
          <w:rFonts w:asciiTheme="majorBidi" w:hAnsiTheme="majorBidi" w:cstheme="majorBidi"/>
          <w:sz w:val="26"/>
          <w:szCs w:val="26"/>
        </w:rPr>
      </w:pPr>
      <w:r w:rsidRPr="00492FCC">
        <w:rPr>
          <w:rFonts w:asciiTheme="majorBidi" w:hAnsiTheme="majorBidi" w:cstheme="majorBidi"/>
          <w:sz w:val="26"/>
          <w:szCs w:val="26"/>
        </w:rPr>
        <w:t>Where research data are made publicly available, only appropriately anonymized data should be released, taking into account participant privacy and the conditions under which the original online survey was administered.</w:t>
      </w:r>
    </w:p>
    <w:p w14:paraId="3C570A31" w14:textId="77777777" w:rsidR="00492FCC" w:rsidRPr="00492FCC" w:rsidRDefault="00492FCC" w:rsidP="00492FCC">
      <w:pPr>
        <w:jc w:val="right"/>
        <w:rPr>
          <w:rFonts w:asciiTheme="majorBidi" w:hAnsiTheme="majorBidi" w:cstheme="majorBidi"/>
          <w:sz w:val="26"/>
          <w:szCs w:val="26"/>
        </w:rPr>
      </w:pPr>
    </w:p>
    <w:p w14:paraId="4B8E244F" w14:textId="77777777" w:rsidR="00492FCC" w:rsidRPr="00492FCC" w:rsidRDefault="00492FCC" w:rsidP="00492FCC">
      <w:pPr>
        <w:jc w:val="right"/>
        <w:rPr>
          <w:rFonts w:asciiTheme="majorBidi" w:hAnsiTheme="majorBidi" w:cstheme="majorBidi"/>
          <w:b/>
          <w:bCs/>
          <w:sz w:val="26"/>
          <w:szCs w:val="26"/>
        </w:rPr>
      </w:pPr>
      <w:r w:rsidRPr="00492FCC">
        <w:rPr>
          <w:rFonts w:asciiTheme="majorBidi" w:hAnsiTheme="majorBidi" w:cstheme="majorBidi"/>
          <w:b/>
          <w:bCs/>
          <w:sz w:val="26"/>
          <w:szCs w:val="26"/>
        </w:rPr>
        <w:t>Supplementary File Validation Statement</w:t>
      </w:r>
    </w:p>
    <w:p w14:paraId="2713C7C3" w14:textId="77777777" w:rsidR="00492FCC" w:rsidRPr="00492FCC" w:rsidRDefault="00492FCC" w:rsidP="00492FCC">
      <w:pPr>
        <w:jc w:val="right"/>
        <w:rPr>
          <w:rFonts w:asciiTheme="majorBidi" w:hAnsiTheme="majorBidi" w:cstheme="majorBidi"/>
          <w:sz w:val="26"/>
          <w:szCs w:val="26"/>
        </w:rPr>
      </w:pPr>
      <w:r w:rsidRPr="00492FCC">
        <w:rPr>
          <w:rFonts w:asciiTheme="majorBidi" w:hAnsiTheme="majorBidi" w:cstheme="majorBidi"/>
          <w:b/>
          <w:bCs/>
          <w:sz w:val="26"/>
          <w:szCs w:val="26"/>
        </w:rPr>
        <w:t>Manuscript Title:</w:t>
      </w:r>
      <w:r w:rsidRPr="00492FCC">
        <w:rPr>
          <w:rFonts w:asciiTheme="majorBidi" w:hAnsiTheme="majorBidi" w:cstheme="majorBidi"/>
          <w:sz w:val="26"/>
          <w:szCs w:val="26"/>
        </w:rPr>
        <w:br/>
      </w:r>
      <w:r w:rsidRPr="00492FCC">
        <w:rPr>
          <w:rFonts w:asciiTheme="majorBidi" w:hAnsiTheme="majorBidi" w:cstheme="majorBidi"/>
          <w:i/>
          <w:iCs/>
          <w:sz w:val="26"/>
          <w:szCs w:val="26"/>
        </w:rPr>
        <w:t>Between Care and “Billing”: Decoding Linguistic Masking and Transnational Identity in the Nigerian Greeting “Have You Eaten?”</w:t>
      </w:r>
    </w:p>
    <w:p w14:paraId="3CE34E3F" w14:textId="77777777" w:rsidR="00492FCC" w:rsidRPr="00492FCC" w:rsidRDefault="00492FCC" w:rsidP="00492FCC">
      <w:pPr>
        <w:jc w:val="right"/>
        <w:rPr>
          <w:rFonts w:asciiTheme="majorBidi" w:hAnsiTheme="majorBidi" w:cstheme="majorBidi"/>
          <w:sz w:val="26"/>
          <w:szCs w:val="26"/>
        </w:rPr>
      </w:pPr>
      <w:r w:rsidRPr="00492FCC">
        <w:rPr>
          <w:rFonts w:asciiTheme="majorBidi" w:hAnsiTheme="majorBidi" w:cstheme="majorBidi"/>
          <w:b/>
          <w:bCs/>
          <w:sz w:val="26"/>
          <w:szCs w:val="26"/>
        </w:rPr>
        <w:t>Author:</w:t>
      </w:r>
      <w:r w:rsidRPr="00492FCC">
        <w:rPr>
          <w:rFonts w:asciiTheme="majorBidi" w:hAnsiTheme="majorBidi" w:cstheme="majorBidi"/>
          <w:sz w:val="26"/>
          <w:szCs w:val="26"/>
        </w:rPr>
        <w:br/>
        <w:t>Pegah Merrikhi, Ph.D.</w:t>
      </w:r>
      <w:r w:rsidRPr="00492FCC">
        <w:rPr>
          <w:rFonts w:asciiTheme="majorBidi" w:hAnsiTheme="majorBidi" w:cstheme="majorBidi"/>
          <w:sz w:val="26"/>
          <w:szCs w:val="26"/>
        </w:rPr>
        <w:br/>
        <w:t>Independent Researcher in Applied Linguistics &amp; TESOL</w:t>
      </w:r>
    </w:p>
    <w:p w14:paraId="773D8885" w14:textId="77777777" w:rsidR="00492FCC" w:rsidRPr="00492FCC" w:rsidRDefault="00492FCC" w:rsidP="00492FCC">
      <w:pPr>
        <w:jc w:val="right"/>
        <w:rPr>
          <w:rFonts w:asciiTheme="majorBidi" w:hAnsiTheme="majorBidi" w:cstheme="majorBidi"/>
          <w:b/>
          <w:bCs/>
          <w:sz w:val="26"/>
          <w:szCs w:val="26"/>
        </w:rPr>
      </w:pPr>
      <w:r w:rsidRPr="00492FCC">
        <w:rPr>
          <w:rFonts w:asciiTheme="majorBidi" w:hAnsiTheme="majorBidi" w:cstheme="majorBidi"/>
          <w:b/>
          <w:bCs/>
          <w:sz w:val="26"/>
          <w:szCs w:val="26"/>
        </w:rPr>
        <w:t>File Validation Statement</w:t>
      </w:r>
    </w:p>
    <w:p w14:paraId="0EAB5B05" w14:textId="77777777" w:rsidR="00492FCC" w:rsidRPr="00492FCC" w:rsidRDefault="00492FCC" w:rsidP="00492FCC">
      <w:pPr>
        <w:jc w:val="right"/>
        <w:rPr>
          <w:rFonts w:asciiTheme="majorBidi" w:hAnsiTheme="majorBidi" w:cstheme="majorBidi"/>
          <w:sz w:val="26"/>
          <w:szCs w:val="26"/>
        </w:rPr>
      </w:pPr>
      <w:r w:rsidRPr="00492FCC">
        <w:rPr>
          <w:rFonts w:asciiTheme="majorBidi" w:hAnsiTheme="majorBidi" w:cstheme="majorBidi"/>
          <w:sz w:val="26"/>
          <w:szCs w:val="26"/>
        </w:rPr>
        <w:lastRenderedPageBreak/>
        <w:t>I confirm that the supplementary materials accompanying this manuscript have been checked for internal consistency with the submitted manuscript.</w:t>
      </w:r>
    </w:p>
    <w:p w14:paraId="5ECF764D" w14:textId="77777777" w:rsidR="00492FCC" w:rsidRPr="00492FCC" w:rsidRDefault="00492FCC" w:rsidP="00492FCC">
      <w:pPr>
        <w:jc w:val="right"/>
        <w:rPr>
          <w:rFonts w:asciiTheme="majorBidi" w:hAnsiTheme="majorBidi" w:cstheme="majorBidi"/>
          <w:sz w:val="26"/>
          <w:szCs w:val="26"/>
        </w:rPr>
      </w:pPr>
      <w:r w:rsidRPr="00492FCC">
        <w:rPr>
          <w:rFonts w:asciiTheme="majorBidi" w:hAnsiTheme="majorBidi" w:cstheme="majorBidi"/>
          <w:sz w:val="26"/>
          <w:szCs w:val="26"/>
        </w:rPr>
        <w:t>The supplementary file contains:</w:t>
      </w:r>
    </w:p>
    <w:p w14:paraId="57FA5D9C" w14:textId="77777777" w:rsidR="00492FCC" w:rsidRPr="00492FCC" w:rsidRDefault="00492FCC" w:rsidP="00492FCC">
      <w:pPr>
        <w:numPr>
          <w:ilvl w:val="0"/>
          <w:numId w:val="9"/>
        </w:numPr>
        <w:jc w:val="right"/>
        <w:rPr>
          <w:rFonts w:asciiTheme="majorBidi" w:hAnsiTheme="majorBidi" w:cstheme="majorBidi"/>
          <w:sz w:val="26"/>
          <w:szCs w:val="26"/>
        </w:rPr>
      </w:pPr>
      <w:r w:rsidRPr="00492FCC">
        <w:rPr>
          <w:rFonts w:asciiTheme="majorBidi" w:hAnsiTheme="majorBidi" w:cstheme="majorBidi"/>
          <w:sz w:val="26"/>
          <w:szCs w:val="26"/>
        </w:rPr>
        <w:t>the complete questionnaire used for the study;</w:t>
      </w:r>
    </w:p>
    <w:p w14:paraId="3AE60A41" w14:textId="77777777" w:rsidR="00492FCC" w:rsidRPr="00492FCC" w:rsidRDefault="00492FCC" w:rsidP="00492FCC">
      <w:pPr>
        <w:numPr>
          <w:ilvl w:val="0"/>
          <w:numId w:val="9"/>
        </w:numPr>
        <w:jc w:val="right"/>
        <w:rPr>
          <w:rFonts w:asciiTheme="majorBidi" w:hAnsiTheme="majorBidi" w:cstheme="majorBidi"/>
          <w:sz w:val="26"/>
          <w:szCs w:val="26"/>
        </w:rPr>
      </w:pPr>
      <w:r w:rsidRPr="00492FCC">
        <w:rPr>
          <w:rFonts w:asciiTheme="majorBidi" w:hAnsiTheme="majorBidi" w:cstheme="majorBidi"/>
          <w:sz w:val="26"/>
          <w:szCs w:val="26"/>
        </w:rPr>
        <w:t>participant and sampling information;</w:t>
      </w:r>
    </w:p>
    <w:p w14:paraId="26243EA0" w14:textId="77777777" w:rsidR="00492FCC" w:rsidRPr="00492FCC" w:rsidRDefault="00492FCC" w:rsidP="00492FCC">
      <w:pPr>
        <w:numPr>
          <w:ilvl w:val="0"/>
          <w:numId w:val="9"/>
        </w:numPr>
        <w:jc w:val="right"/>
        <w:rPr>
          <w:rFonts w:asciiTheme="majorBidi" w:hAnsiTheme="majorBidi" w:cstheme="majorBidi"/>
          <w:sz w:val="26"/>
          <w:szCs w:val="26"/>
        </w:rPr>
      </w:pPr>
      <w:r w:rsidRPr="00492FCC">
        <w:rPr>
          <w:rFonts w:asciiTheme="majorBidi" w:hAnsiTheme="majorBidi" w:cstheme="majorBidi"/>
          <w:sz w:val="26"/>
          <w:szCs w:val="26"/>
        </w:rPr>
        <w:t>operational definitions and coding procedures;</w:t>
      </w:r>
    </w:p>
    <w:p w14:paraId="57833FE3" w14:textId="77777777" w:rsidR="00492FCC" w:rsidRPr="00492FCC" w:rsidRDefault="00492FCC" w:rsidP="00492FCC">
      <w:pPr>
        <w:numPr>
          <w:ilvl w:val="0"/>
          <w:numId w:val="9"/>
        </w:numPr>
        <w:jc w:val="right"/>
        <w:rPr>
          <w:rFonts w:asciiTheme="majorBidi" w:hAnsiTheme="majorBidi" w:cstheme="majorBidi"/>
          <w:sz w:val="26"/>
          <w:szCs w:val="26"/>
        </w:rPr>
      </w:pPr>
      <w:r w:rsidRPr="00492FCC">
        <w:rPr>
          <w:rFonts w:asciiTheme="majorBidi" w:hAnsiTheme="majorBidi" w:cstheme="majorBidi"/>
          <w:sz w:val="26"/>
          <w:szCs w:val="26"/>
        </w:rPr>
        <w:t>descriptive distributions for Questions 1–6;</w:t>
      </w:r>
    </w:p>
    <w:p w14:paraId="6136D768" w14:textId="77777777" w:rsidR="00492FCC" w:rsidRPr="00492FCC" w:rsidRDefault="00492FCC" w:rsidP="00492FCC">
      <w:pPr>
        <w:numPr>
          <w:ilvl w:val="0"/>
          <w:numId w:val="9"/>
        </w:numPr>
        <w:jc w:val="right"/>
        <w:rPr>
          <w:rFonts w:asciiTheme="majorBidi" w:hAnsiTheme="majorBidi" w:cstheme="majorBidi"/>
          <w:sz w:val="26"/>
          <w:szCs w:val="26"/>
        </w:rPr>
      </w:pPr>
      <w:r w:rsidRPr="00492FCC">
        <w:rPr>
          <w:rFonts w:asciiTheme="majorBidi" w:hAnsiTheme="majorBidi" w:cstheme="majorBidi"/>
          <w:sz w:val="26"/>
          <w:szCs w:val="26"/>
        </w:rPr>
        <w:t>the residence-by-response-strategy cross-tabulation;</w:t>
      </w:r>
    </w:p>
    <w:p w14:paraId="0FF298DC" w14:textId="77777777" w:rsidR="00492FCC" w:rsidRPr="00492FCC" w:rsidRDefault="00492FCC" w:rsidP="00492FCC">
      <w:pPr>
        <w:numPr>
          <w:ilvl w:val="0"/>
          <w:numId w:val="9"/>
        </w:numPr>
        <w:jc w:val="right"/>
        <w:rPr>
          <w:rFonts w:asciiTheme="majorBidi" w:hAnsiTheme="majorBidi" w:cstheme="majorBidi"/>
          <w:sz w:val="26"/>
          <w:szCs w:val="26"/>
        </w:rPr>
      </w:pPr>
      <w:r w:rsidRPr="00492FCC">
        <w:rPr>
          <w:rFonts w:asciiTheme="majorBidi" w:hAnsiTheme="majorBidi" w:cstheme="majorBidi"/>
          <w:sz w:val="26"/>
          <w:szCs w:val="26"/>
        </w:rPr>
        <w:t>the reported inferential statistics;</w:t>
      </w:r>
    </w:p>
    <w:p w14:paraId="68DEEEDC" w14:textId="77777777" w:rsidR="00492FCC" w:rsidRPr="00492FCC" w:rsidRDefault="00492FCC" w:rsidP="00492FCC">
      <w:pPr>
        <w:numPr>
          <w:ilvl w:val="0"/>
          <w:numId w:val="9"/>
        </w:numPr>
        <w:jc w:val="right"/>
        <w:rPr>
          <w:rFonts w:asciiTheme="majorBidi" w:hAnsiTheme="majorBidi" w:cstheme="majorBidi"/>
          <w:sz w:val="26"/>
          <w:szCs w:val="26"/>
        </w:rPr>
      </w:pPr>
      <w:r w:rsidRPr="00492FCC">
        <w:rPr>
          <w:rFonts w:asciiTheme="majorBidi" w:hAnsiTheme="majorBidi" w:cstheme="majorBidi"/>
          <w:sz w:val="26"/>
          <w:szCs w:val="26"/>
        </w:rPr>
        <w:t>confidence-interval procedures;</w:t>
      </w:r>
    </w:p>
    <w:p w14:paraId="4B7E5DF0" w14:textId="77777777" w:rsidR="00492FCC" w:rsidRPr="00492FCC" w:rsidRDefault="00492FCC" w:rsidP="00492FCC">
      <w:pPr>
        <w:numPr>
          <w:ilvl w:val="0"/>
          <w:numId w:val="9"/>
        </w:numPr>
        <w:jc w:val="right"/>
        <w:rPr>
          <w:rFonts w:asciiTheme="majorBidi" w:hAnsiTheme="majorBidi" w:cstheme="majorBidi"/>
          <w:sz w:val="26"/>
          <w:szCs w:val="26"/>
        </w:rPr>
      </w:pPr>
      <w:r w:rsidRPr="00492FCC">
        <w:rPr>
          <w:rFonts w:asciiTheme="majorBidi" w:hAnsiTheme="majorBidi" w:cstheme="majorBidi"/>
          <w:sz w:val="26"/>
          <w:szCs w:val="26"/>
        </w:rPr>
        <w:t>the treatment of the multiple-response item;</w:t>
      </w:r>
    </w:p>
    <w:p w14:paraId="49E6AF3B" w14:textId="77777777" w:rsidR="00492FCC" w:rsidRPr="00492FCC" w:rsidRDefault="00492FCC" w:rsidP="00492FCC">
      <w:pPr>
        <w:numPr>
          <w:ilvl w:val="0"/>
          <w:numId w:val="9"/>
        </w:numPr>
        <w:jc w:val="right"/>
        <w:rPr>
          <w:rFonts w:asciiTheme="majorBidi" w:hAnsiTheme="majorBidi" w:cstheme="majorBidi"/>
          <w:sz w:val="26"/>
          <w:szCs w:val="26"/>
        </w:rPr>
      </w:pPr>
      <w:r w:rsidRPr="00492FCC">
        <w:rPr>
          <w:rFonts w:asciiTheme="majorBidi" w:hAnsiTheme="majorBidi" w:cstheme="majorBidi"/>
          <w:sz w:val="26"/>
          <w:szCs w:val="26"/>
        </w:rPr>
        <w:t xml:space="preserve">the operational definition of </w:t>
      </w:r>
      <w:r w:rsidRPr="00492FCC">
        <w:rPr>
          <w:rFonts w:asciiTheme="majorBidi" w:hAnsiTheme="majorBidi" w:cstheme="majorBidi"/>
          <w:b/>
          <w:bCs/>
          <w:sz w:val="26"/>
          <w:szCs w:val="26"/>
        </w:rPr>
        <w:t>Linguistic Masking</w:t>
      </w:r>
      <w:r w:rsidRPr="00492FCC">
        <w:rPr>
          <w:rFonts w:asciiTheme="majorBidi" w:hAnsiTheme="majorBidi" w:cstheme="majorBidi"/>
          <w:sz w:val="26"/>
          <w:szCs w:val="26"/>
        </w:rPr>
        <w:t>;</w:t>
      </w:r>
    </w:p>
    <w:p w14:paraId="31DD4B9E" w14:textId="77777777" w:rsidR="00492FCC" w:rsidRPr="00492FCC" w:rsidRDefault="00492FCC" w:rsidP="00492FCC">
      <w:pPr>
        <w:numPr>
          <w:ilvl w:val="0"/>
          <w:numId w:val="9"/>
        </w:numPr>
        <w:jc w:val="right"/>
        <w:rPr>
          <w:rFonts w:asciiTheme="majorBidi" w:hAnsiTheme="majorBidi" w:cstheme="majorBidi"/>
          <w:sz w:val="26"/>
          <w:szCs w:val="26"/>
        </w:rPr>
      </w:pPr>
      <w:r w:rsidRPr="00492FCC">
        <w:rPr>
          <w:rFonts w:asciiTheme="majorBidi" w:hAnsiTheme="majorBidi" w:cstheme="majorBidi"/>
          <w:sz w:val="26"/>
          <w:szCs w:val="26"/>
        </w:rPr>
        <w:t>the study's ethics and data-protection statement; and</w:t>
      </w:r>
    </w:p>
    <w:p w14:paraId="11AAB66E" w14:textId="77777777" w:rsidR="00492FCC" w:rsidRPr="00492FCC" w:rsidRDefault="00492FCC" w:rsidP="00492FCC">
      <w:pPr>
        <w:numPr>
          <w:ilvl w:val="0"/>
          <w:numId w:val="9"/>
        </w:numPr>
        <w:jc w:val="right"/>
        <w:rPr>
          <w:rFonts w:asciiTheme="majorBidi" w:hAnsiTheme="majorBidi" w:cstheme="majorBidi"/>
          <w:sz w:val="26"/>
          <w:szCs w:val="26"/>
        </w:rPr>
      </w:pPr>
      <w:r w:rsidRPr="00492FCC">
        <w:rPr>
          <w:rFonts w:asciiTheme="majorBidi" w:hAnsiTheme="majorBidi" w:cstheme="majorBidi"/>
          <w:sz w:val="26"/>
          <w:szCs w:val="26"/>
        </w:rPr>
        <w:t>methodological and interpretation notes relevant to reproducibility.</w:t>
      </w:r>
    </w:p>
    <w:p w14:paraId="5D255F1E" w14:textId="77777777" w:rsidR="00492FCC" w:rsidRPr="00492FCC" w:rsidRDefault="00492FCC" w:rsidP="00492FCC">
      <w:pPr>
        <w:jc w:val="right"/>
        <w:rPr>
          <w:rFonts w:asciiTheme="majorBidi" w:hAnsiTheme="majorBidi" w:cstheme="majorBidi"/>
          <w:sz w:val="26"/>
          <w:szCs w:val="26"/>
        </w:rPr>
      </w:pPr>
      <w:r w:rsidRPr="00492FCC">
        <w:rPr>
          <w:rFonts w:asciiTheme="majorBidi" w:hAnsiTheme="majorBidi" w:cstheme="majorBidi"/>
          <w:sz w:val="26"/>
          <w:szCs w:val="26"/>
        </w:rPr>
        <w:t>The numerical values reported in the supplementary materials correspond to the values reported in the manuscript, including:</w:t>
      </w:r>
    </w:p>
    <w:p w14:paraId="7DBEF4D6" w14:textId="77777777" w:rsidR="00492FCC" w:rsidRPr="00492FCC" w:rsidRDefault="00492FCC" w:rsidP="00492FCC">
      <w:pPr>
        <w:numPr>
          <w:ilvl w:val="0"/>
          <w:numId w:val="10"/>
        </w:numPr>
        <w:jc w:val="right"/>
        <w:rPr>
          <w:rFonts w:asciiTheme="majorBidi" w:hAnsiTheme="majorBidi" w:cstheme="majorBidi"/>
          <w:sz w:val="26"/>
          <w:szCs w:val="26"/>
        </w:rPr>
      </w:pPr>
      <w:r w:rsidRPr="00492FCC">
        <w:rPr>
          <w:rFonts w:asciiTheme="majorBidi" w:hAnsiTheme="majorBidi" w:cstheme="majorBidi"/>
          <w:b/>
          <w:bCs/>
          <w:sz w:val="26"/>
          <w:szCs w:val="26"/>
        </w:rPr>
        <w:t>N = 100</w:t>
      </w:r>
      <w:r w:rsidRPr="00492FCC">
        <w:rPr>
          <w:rFonts w:asciiTheme="majorBidi" w:hAnsiTheme="majorBidi" w:cstheme="majorBidi"/>
          <w:sz w:val="26"/>
          <w:szCs w:val="26"/>
        </w:rPr>
        <w:t xml:space="preserve"> participants;</w:t>
      </w:r>
    </w:p>
    <w:p w14:paraId="21C3A803" w14:textId="77777777" w:rsidR="00492FCC" w:rsidRPr="00492FCC" w:rsidRDefault="00492FCC" w:rsidP="00492FCC">
      <w:pPr>
        <w:numPr>
          <w:ilvl w:val="0"/>
          <w:numId w:val="10"/>
        </w:numPr>
        <w:jc w:val="right"/>
        <w:rPr>
          <w:rFonts w:asciiTheme="majorBidi" w:hAnsiTheme="majorBidi" w:cstheme="majorBidi"/>
          <w:sz w:val="26"/>
          <w:szCs w:val="26"/>
        </w:rPr>
      </w:pPr>
      <w:r w:rsidRPr="00492FCC">
        <w:rPr>
          <w:rFonts w:asciiTheme="majorBidi" w:hAnsiTheme="majorBidi" w:cstheme="majorBidi"/>
          <w:b/>
          <w:bCs/>
          <w:sz w:val="26"/>
          <w:szCs w:val="26"/>
        </w:rPr>
        <w:t>60 Nigerian diaspora participants and 40 Nigeria-based participants</w:t>
      </w:r>
      <w:r w:rsidRPr="00492FCC">
        <w:rPr>
          <w:rFonts w:asciiTheme="majorBidi" w:hAnsiTheme="majorBidi" w:cstheme="majorBidi"/>
          <w:sz w:val="26"/>
          <w:szCs w:val="26"/>
        </w:rPr>
        <w:t>;</w:t>
      </w:r>
    </w:p>
    <w:p w14:paraId="6A112EB7" w14:textId="77777777" w:rsidR="00492FCC" w:rsidRPr="00492FCC" w:rsidRDefault="00492FCC" w:rsidP="00492FCC">
      <w:pPr>
        <w:numPr>
          <w:ilvl w:val="0"/>
          <w:numId w:val="10"/>
        </w:numPr>
        <w:jc w:val="right"/>
        <w:rPr>
          <w:rFonts w:asciiTheme="majorBidi" w:hAnsiTheme="majorBidi" w:cstheme="majorBidi"/>
          <w:sz w:val="26"/>
          <w:szCs w:val="26"/>
        </w:rPr>
      </w:pPr>
      <w:r w:rsidRPr="00492FCC">
        <w:rPr>
          <w:rFonts w:asciiTheme="majorBidi" w:hAnsiTheme="majorBidi" w:cstheme="majorBidi"/>
          <w:b/>
          <w:bCs/>
          <w:sz w:val="26"/>
          <w:szCs w:val="26"/>
        </w:rPr>
        <w:t>100%</w:t>
      </w:r>
      <w:r w:rsidRPr="00492FCC">
        <w:rPr>
          <w:rFonts w:asciiTheme="majorBidi" w:hAnsiTheme="majorBidi" w:cstheme="majorBidi"/>
          <w:sz w:val="26"/>
          <w:szCs w:val="26"/>
        </w:rPr>
        <w:t xml:space="preserve"> strong affective endorsement of “Have you eaten?”;</w:t>
      </w:r>
    </w:p>
    <w:p w14:paraId="303A0217" w14:textId="77777777" w:rsidR="00492FCC" w:rsidRPr="00492FCC" w:rsidRDefault="00492FCC" w:rsidP="00492FCC">
      <w:pPr>
        <w:numPr>
          <w:ilvl w:val="0"/>
          <w:numId w:val="10"/>
        </w:numPr>
        <w:jc w:val="right"/>
        <w:rPr>
          <w:rFonts w:asciiTheme="majorBidi" w:hAnsiTheme="majorBidi" w:cstheme="majorBidi"/>
          <w:sz w:val="26"/>
          <w:szCs w:val="26"/>
        </w:rPr>
      </w:pPr>
      <w:r w:rsidRPr="00492FCC">
        <w:rPr>
          <w:rFonts w:asciiTheme="majorBidi" w:hAnsiTheme="majorBidi" w:cstheme="majorBidi"/>
          <w:b/>
          <w:bCs/>
          <w:sz w:val="26"/>
          <w:szCs w:val="26"/>
        </w:rPr>
        <w:t>65%</w:t>
      </w:r>
      <w:r w:rsidRPr="00492FCC">
        <w:rPr>
          <w:rFonts w:asciiTheme="majorBidi" w:hAnsiTheme="majorBidi" w:cstheme="majorBidi"/>
          <w:sz w:val="26"/>
          <w:szCs w:val="26"/>
        </w:rPr>
        <w:t xml:space="preserve"> verbal/religious reassurance;</w:t>
      </w:r>
    </w:p>
    <w:p w14:paraId="3C6EFD81" w14:textId="77777777" w:rsidR="00492FCC" w:rsidRPr="00492FCC" w:rsidRDefault="00492FCC" w:rsidP="00492FCC">
      <w:pPr>
        <w:numPr>
          <w:ilvl w:val="0"/>
          <w:numId w:val="10"/>
        </w:numPr>
        <w:jc w:val="right"/>
        <w:rPr>
          <w:rFonts w:asciiTheme="majorBidi" w:hAnsiTheme="majorBidi" w:cstheme="majorBidi"/>
          <w:sz w:val="26"/>
          <w:szCs w:val="26"/>
        </w:rPr>
      </w:pPr>
      <w:r w:rsidRPr="00492FCC">
        <w:rPr>
          <w:rFonts w:asciiTheme="majorBidi" w:hAnsiTheme="majorBidi" w:cstheme="majorBidi"/>
          <w:b/>
          <w:bCs/>
          <w:sz w:val="26"/>
          <w:szCs w:val="26"/>
        </w:rPr>
        <w:t>15%</w:t>
      </w:r>
      <w:r w:rsidRPr="00492FCC">
        <w:rPr>
          <w:rFonts w:asciiTheme="majorBidi" w:hAnsiTheme="majorBidi" w:cstheme="majorBidi"/>
          <w:sz w:val="26"/>
          <w:szCs w:val="26"/>
        </w:rPr>
        <w:t xml:space="preserve"> topic change;</w:t>
      </w:r>
    </w:p>
    <w:p w14:paraId="09000CD7" w14:textId="77777777" w:rsidR="00492FCC" w:rsidRPr="00492FCC" w:rsidRDefault="00492FCC" w:rsidP="00492FCC">
      <w:pPr>
        <w:numPr>
          <w:ilvl w:val="0"/>
          <w:numId w:val="10"/>
        </w:numPr>
        <w:jc w:val="right"/>
        <w:rPr>
          <w:rFonts w:asciiTheme="majorBidi" w:hAnsiTheme="majorBidi" w:cstheme="majorBidi"/>
          <w:sz w:val="26"/>
          <w:szCs w:val="26"/>
        </w:rPr>
      </w:pPr>
      <w:r w:rsidRPr="00492FCC">
        <w:rPr>
          <w:rFonts w:asciiTheme="majorBidi" w:hAnsiTheme="majorBidi" w:cstheme="majorBidi"/>
          <w:b/>
          <w:bCs/>
          <w:sz w:val="26"/>
          <w:szCs w:val="26"/>
        </w:rPr>
        <w:t>10%</w:t>
      </w:r>
      <w:r w:rsidRPr="00492FCC">
        <w:rPr>
          <w:rFonts w:asciiTheme="majorBidi" w:hAnsiTheme="majorBidi" w:cstheme="majorBidi"/>
          <w:sz w:val="26"/>
          <w:szCs w:val="26"/>
        </w:rPr>
        <w:t xml:space="preserve"> material assistance;</w:t>
      </w:r>
    </w:p>
    <w:p w14:paraId="61F958D0" w14:textId="77777777" w:rsidR="00492FCC" w:rsidRPr="00492FCC" w:rsidRDefault="00492FCC" w:rsidP="00492FCC">
      <w:pPr>
        <w:numPr>
          <w:ilvl w:val="0"/>
          <w:numId w:val="10"/>
        </w:numPr>
        <w:jc w:val="right"/>
        <w:rPr>
          <w:rFonts w:asciiTheme="majorBidi" w:hAnsiTheme="majorBidi" w:cstheme="majorBidi"/>
          <w:sz w:val="26"/>
          <w:szCs w:val="26"/>
        </w:rPr>
      </w:pPr>
      <w:r w:rsidRPr="00492FCC">
        <w:rPr>
          <w:rFonts w:asciiTheme="majorBidi" w:hAnsiTheme="majorBidi" w:cstheme="majorBidi"/>
          <w:b/>
          <w:bCs/>
          <w:sz w:val="26"/>
          <w:szCs w:val="26"/>
        </w:rPr>
        <w:t>10%</w:t>
      </w:r>
      <w:r w:rsidRPr="00492FCC">
        <w:rPr>
          <w:rFonts w:asciiTheme="majorBidi" w:hAnsiTheme="majorBidi" w:cstheme="majorBidi"/>
          <w:sz w:val="26"/>
          <w:szCs w:val="26"/>
        </w:rPr>
        <w:t xml:space="preserve"> other responses;</w:t>
      </w:r>
    </w:p>
    <w:p w14:paraId="35D1130F" w14:textId="77777777" w:rsidR="00492FCC" w:rsidRPr="00492FCC" w:rsidRDefault="00492FCC" w:rsidP="00492FCC">
      <w:pPr>
        <w:numPr>
          <w:ilvl w:val="0"/>
          <w:numId w:val="10"/>
        </w:numPr>
        <w:jc w:val="right"/>
        <w:rPr>
          <w:rFonts w:asciiTheme="majorBidi" w:hAnsiTheme="majorBidi" w:cstheme="majorBidi"/>
          <w:sz w:val="26"/>
          <w:szCs w:val="26"/>
        </w:rPr>
      </w:pPr>
      <w:r w:rsidRPr="00492FCC">
        <w:rPr>
          <w:rFonts w:asciiTheme="majorBidi" w:hAnsiTheme="majorBidi" w:cstheme="majorBidi"/>
          <w:b/>
          <w:bCs/>
          <w:sz w:val="26"/>
          <w:szCs w:val="26"/>
        </w:rPr>
        <w:t>χ</w:t>
      </w:r>
      <w:proofErr w:type="gramStart"/>
      <w:r w:rsidRPr="00492FCC">
        <w:rPr>
          <w:rFonts w:asciiTheme="majorBidi" w:hAnsiTheme="majorBidi" w:cstheme="majorBidi"/>
          <w:b/>
          <w:bCs/>
          <w:sz w:val="26"/>
          <w:szCs w:val="26"/>
        </w:rPr>
        <w:t>²(</w:t>
      </w:r>
      <w:proofErr w:type="gramEnd"/>
      <w:r w:rsidRPr="00492FCC">
        <w:rPr>
          <w:rFonts w:asciiTheme="majorBidi" w:hAnsiTheme="majorBidi" w:cstheme="majorBidi"/>
          <w:b/>
          <w:bCs/>
          <w:sz w:val="26"/>
          <w:szCs w:val="26"/>
        </w:rPr>
        <w:t>3) = 0.34, p = .952</w:t>
      </w:r>
      <w:r w:rsidRPr="00492FCC">
        <w:rPr>
          <w:rFonts w:asciiTheme="majorBidi" w:hAnsiTheme="majorBidi" w:cstheme="majorBidi"/>
          <w:sz w:val="26"/>
          <w:szCs w:val="26"/>
        </w:rPr>
        <w:t xml:space="preserve"> for residence × response strategy; and</w:t>
      </w:r>
    </w:p>
    <w:p w14:paraId="30D4E4B7" w14:textId="77777777" w:rsidR="00492FCC" w:rsidRPr="00492FCC" w:rsidRDefault="00492FCC" w:rsidP="00492FCC">
      <w:pPr>
        <w:numPr>
          <w:ilvl w:val="0"/>
          <w:numId w:val="10"/>
        </w:numPr>
        <w:jc w:val="right"/>
        <w:rPr>
          <w:rFonts w:asciiTheme="majorBidi" w:hAnsiTheme="majorBidi" w:cstheme="majorBidi"/>
          <w:sz w:val="26"/>
          <w:szCs w:val="26"/>
        </w:rPr>
      </w:pPr>
      <w:r w:rsidRPr="00492FCC">
        <w:rPr>
          <w:rFonts w:asciiTheme="majorBidi" w:hAnsiTheme="majorBidi" w:cstheme="majorBidi"/>
          <w:b/>
          <w:bCs/>
          <w:sz w:val="26"/>
          <w:szCs w:val="26"/>
        </w:rPr>
        <w:t>Cramér's V = .058</w:t>
      </w:r>
      <w:r w:rsidRPr="00492FCC">
        <w:rPr>
          <w:rFonts w:asciiTheme="majorBidi" w:hAnsiTheme="majorBidi" w:cstheme="majorBidi"/>
          <w:sz w:val="26"/>
          <w:szCs w:val="26"/>
        </w:rPr>
        <w:t>.</w:t>
      </w:r>
    </w:p>
    <w:p w14:paraId="72571825" w14:textId="77777777" w:rsidR="00492FCC" w:rsidRPr="00492FCC" w:rsidRDefault="00492FCC" w:rsidP="00492FCC">
      <w:pPr>
        <w:jc w:val="right"/>
        <w:rPr>
          <w:rFonts w:asciiTheme="majorBidi" w:hAnsiTheme="majorBidi" w:cstheme="majorBidi"/>
          <w:sz w:val="26"/>
          <w:szCs w:val="26"/>
        </w:rPr>
      </w:pPr>
      <w:r w:rsidRPr="00492FCC">
        <w:rPr>
          <w:rFonts w:asciiTheme="majorBidi" w:hAnsiTheme="majorBidi" w:cstheme="majorBidi"/>
          <w:sz w:val="26"/>
          <w:szCs w:val="26"/>
        </w:rPr>
        <w:t>The Wilson 95% confidence intervals and exact binomial analysis reported in the supplementary materials correspond to the statistical procedures described in the manuscript.</w:t>
      </w:r>
    </w:p>
    <w:p w14:paraId="12463137" w14:textId="77777777" w:rsidR="00492FCC" w:rsidRPr="00492FCC" w:rsidRDefault="00492FCC" w:rsidP="00492FCC">
      <w:pPr>
        <w:jc w:val="right"/>
        <w:rPr>
          <w:rFonts w:asciiTheme="majorBidi" w:hAnsiTheme="majorBidi" w:cstheme="majorBidi"/>
          <w:sz w:val="26"/>
          <w:szCs w:val="26"/>
        </w:rPr>
      </w:pPr>
      <w:r w:rsidRPr="00492FCC">
        <w:rPr>
          <w:rFonts w:asciiTheme="majorBidi" w:hAnsiTheme="majorBidi" w:cstheme="majorBidi"/>
          <w:sz w:val="26"/>
          <w:szCs w:val="26"/>
        </w:rPr>
        <w:lastRenderedPageBreak/>
        <w:t xml:space="preserve">The multiple-response structure of Question 4 has also been explicitly preserved. Its response categories are therefore reported as independent selections and are </w:t>
      </w:r>
      <w:r w:rsidRPr="00492FCC">
        <w:rPr>
          <w:rFonts w:asciiTheme="majorBidi" w:hAnsiTheme="majorBidi" w:cstheme="majorBidi"/>
          <w:b/>
          <w:bCs/>
          <w:sz w:val="26"/>
          <w:szCs w:val="26"/>
        </w:rPr>
        <w:t>not treated as mutually exclusive categories</w:t>
      </w:r>
      <w:r w:rsidRPr="00492FCC">
        <w:rPr>
          <w:rFonts w:asciiTheme="majorBidi" w:hAnsiTheme="majorBidi" w:cstheme="majorBidi"/>
          <w:sz w:val="26"/>
          <w:szCs w:val="26"/>
        </w:rPr>
        <w:t>.</w:t>
      </w:r>
    </w:p>
    <w:p w14:paraId="29DAC281" w14:textId="77777777" w:rsidR="00492FCC" w:rsidRPr="00492FCC" w:rsidRDefault="00492FCC" w:rsidP="00492FCC">
      <w:pPr>
        <w:jc w:val="right"/>
        <w:rPr>
          <w:rFonts w:asciiTheme="majorBidi" w:hAnsiTheme="majorBidi" w:cstheme="majorBidi"/>
          <w:sz w:val="26"/>
          <w:szCs w:val="26"/>
        </w:rPr>
      </w:pPr>
      <w:r w:rsidRPr="00492FCC">
        <w:rPr>
          <w:rFonts w:asciiTheme="majorBidi" w:hAnsiTheme="majorBidi" w:cstheme="majorBidi"/>
          <w:sz w:val="26"/>
          <w:szCs w:val="26"/>
        </w:rPr>
        <w:t>No additional empirical results are introduced in the supplementary materials that are inconsistent with, or materially different from, the results reported in the main manuscript.</w:t>
      </w:r>
    </w:p>
    <w:p w14:paraId="48649931" w14:textId="77777777" w:rsidR="00492FCC" w:rsidRPr="00492FCC" w:rsidRDefault="00492FCC" w:rsidP="00492FCC">
      <w:pPr>
        <w:jc w:val="right"/>
        <w:rPr>
          <w:rFonts w:asciiTheme="majorBidi" w:hAnsiTheme="majorBidi" w:cstheme="majorBidi"/>
          <w:sz w:val="26"/>
          <w:szCs w:val="26"/>
        </w:rPr>
      </w:pPr>
      <w:r w:rsidRPr="00492FCC">
        <w:rPr>
          <w:rFonts w:asciiTheme="majorBidi" w:hAnsiTheme="majorBidi" w:cstheme="majorBidi"/>
          <w:sz w:val="26"/>
          <w:szCs w:val="26"/>
        </w:rPr>
        <w:t>The supplementary materials are intended to provide transparency regarding the questionnaire, coding, statistical analysis, and interpretation of the study and should be read in conjunction with the main manuscript.</w:t>
      </w:r>
    </w:p>
    <w:p w14:paraId="5655CDD5" w14:textId="77777777" w:rsidR="00492FCC" w:rsidRPr="00492FCC" w:rsidRDefault="00492FCC" w:rsidP="00492FCC">
      <w:pPr>
        <w:jc w:val="right"/>
        <w:rPr>
          <w:rFonts w:asciiTheme="majorBidi" w:hAnsiTheme="majorBidi" w:cstheme="majorBidi"/>
          <w:sz w:val="26"/>
          <w:szCs w:val="26"/>
        </w:rPr>
      </w:pPr>
      <w:r w:rsidRPr="00492FCC">
        <w:rPr>
          <w:rFonts w:asciiTheme="majorBidi" w:hAnsiTheme="majorBidi" w:cstheme="majorBidi"/>
          <w:b/>
          <w:bCs/>
          <w:sz w:val="26"/>
          <w:szCs w:val="26"/>
        </w:rPr>
        <w:t>Author:</w:t>
      </w:r>
      <w:r w:rsidRPr="00492FCC">
        <w:rPr>
          <w:rFonts w:asciiTheme="majorBidi" w:hAnsiTheme="majorBidi" w:cstheme="majorBidi"/>
          <w:sz w:val="26"/>
          <w:szCs w:val="26"/>
        </w:rPr>
        <w:br/>
        <w:t>Pegah Merrikhi, Ph.D.</w:t>
      </w:r>
      <w:r w:rsidRPr="00492FCC">
        <w:rPr>
          <w:rFonts w:asciiTheme="majorBidi" w:hAnsiTheme="majorBidi" w:cstheme="majorBidi"/>
          <w:sz w:val="26"/>
          <w:szCs w:val="26"/>
        </w:rPr>
        <w:br/>
        <w:t>Independent Researcher in Applied Linguistics &amp; TESOL</w:t>
      </w:r>
    </w:p>
    <w:p w14:paraId="07E4BE7D" w14:textId="77777777" w:rsidR="00492FCC" w:rsidRPr="00492FCC" w:rsidRDefault="00492FCC" w:rsidP="00492FCC">
      <w:pPr>
        <w:jc w:val="right"/>
        <w:rPr>
          <w:rFonts w:asciiTheme="majorBidi" w:hAnsiTheme="majorBidi" w:cstheme="majorBidi"/>
          <w:sz w:val="26"/>
          <w:szCs w:val="26"/>
        </w:rPr>
      </w:pPr>
    </w:p>
    <w:sectPr w:rsidR="00492FCC" w:rsidRPr="00492FCC" w:rsidSect="00FF044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0F3B"/>
    <w:multiLevelType w:val="multilevel"/>
    <w:tmpl w:val="F638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57796"/>
    <w:multiLevelType w:val="multilevel"/>
    <w:tmpl w:val="00FE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833A2"/>
    <w:multiLevelType w:val="multilevel"/>
    <w:tmpl w:val="210C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65D85"/>
    <w:multiLevelType w:val="multilevel"/>
    <w:tmpl w:val="FC7EF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26FF3"/>
    <w:multiLevelType w:val="multilevel"/>
    <w:tmpl w:val="15F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04F88"/>
    <w:multiLevelType w:val="multilevel"/>
    <w:tmpl w:val="C8EC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6254C"/>
    <w:multiLevelType w:val="multilevel"/>
    <w:tmpl w:val="FEEE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7276D"/>
    <w:multiLevelType w:val="multilevel"/>
    <w:tmpl w:val="64F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D016E"/>
    <w:multiLevelType w:val="multilevel"/>
    <w:tmpl w:val="2586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50698"/>
    <w:multiLevelType w:val="multilevel"/>
    <w:tmpl w:val="28A0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963480">
    <w:abstractNumId w:val="9"/>
  </w:num>
  <w:num w:numId="2" w16cid:durableId="1706560056">
    <w:abstractNumId w:val="6"/>
  </w:num>
  <w:num w:numId="3" w16cid:durableId="719548855">
    <w:abstractNumId w:val="7"/>
  </w:num>
  <w:num w:numId="4" w16cid:durableId="5253787">
    <w:abstractNumId w:val="2"/>
  </w:num>
  <w:num w:numId="5" w16cid:durableId="194119211">
    <w:abstractNumId w:val="4"/>
  </w:num>
  <w:num w:numId="6" w16cid:durableId="739987651">
    <w:abstractNumId w:val="8"/>
  </w:num>
  <w:num w:numId="7" w16cid:durableId="1282222609">
    <w:abstractNumId w:val="3"/>
  </w:num>
  <w:num w:numId="8" w16cid:durableId="2115398795">
    <w:abstractNumId w:val="1"/>
  </w:num>
  <w:num w:numId="9" w16cid:durableId="909382991">
    <w:abstractNumId w:val="0"/>
  </w:num>
  <w:num w:numId="10" w16cid:durableId="8722285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FFD"/>
    <w:rsid w:val="00492FCC"/>
    <w:rsid w:val="0082045D"/>
    <w:rsid w:val="00C7111B"/>
    <w:rsid w:val="00CB7D08"/>
    <w:rsid w:val="00F17FFD"/>
    <w:rsid w:val="00FF044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036DD"/>
  <w15:chartTrackingRefBased/>
  <w15:docId w15:val="{91C38334-CBC6-4570-9576-1C85DDC2A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17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FFD"/>
    <w:rPr>
      <w:rFonts w:eastAsiaTheme="majorEastAsia" w:cstheme="majorBidi"/>
      <w:color w:val="272727" w:themeColor="text1" w:themeTint="D8"/>
    </w:rPr>
  </w:style>
  <w:style w:type="paragraph" w:styleId="Title">
    <w:name w:val="Title"/>
    <w:basedOn w:val="Normal"/>
    <w:next w:val="Normal"/>
    <w:link w:val="TitleChar"/>
    <w:uiPriority w:val="10"/>
    <w:qFormat/>
    <w:rsid w:val="00F17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FFD"/>
    <w:pPr>
      <w:spacing w:before="160"/>
      <w:jc w:val="center"/>
    </w:pPr>
    <w:rPr>
      <w:i/>
      <w:iCs/>
      <w:color w:val="404040" w:themeColor="text1" w:themeTint="BF"/>
    </w:rPr>
  </w:style>
  <w:style w:type="character" w:customStyle="1" w:styleId="QuoteChar">
    <w:name w:val="Quote Char"/>
    <w:basedOn w:val="DefaultParagraphFont"/>
    <w:link w:val="Quote"/>
    <w:uiPriority w:val="29"/>
    <w:rsid w:val="00F17FFD"/>
    <w:rPr>
      <w:i/>
      <w:iCs/>
      <w:color w:val="404040" w:themeColor="text1" w:themeTint="BF"/>
    </w:rPr>
  </w:style>
  <w:style w:type="paragraph" w:styleId="ListParagraph">
    <w:name w:val="List Paragraph"/>
    <w:basedOn w:val="Normal"/>
    <w:uiPriority w:val="34"/>
    <w:qFormat/>
    <w:rsid w:val="00F17FFD"/>
    <w:pPr>
      <w:ind w:left="720"/>
      <w:contextualSpacing/>
    </w:pPr>
  </w:style>
  <w:style w:type="character" w:styleId="IntenseEmphasis">
    <w:name w:val="Intense Emphasis"/>
    <w:basedOn w:val="DefaultParagraphFont"/>
    <w:uiPriority w:val="21"/>
    <w:qFormat/>
    <w:rsid w:val="00F17FFD"/>
    <w:rPr>
      <w:i/>
      <w:iCs/>
      <w:color w:val="0F4761" w:themeColor="accent1" w:themeShade="BF"/>
    </w:rPr>
  </w:style>
  <w:style w:type="paragraph" w:styleId="IntenseQuote">
    <w:name w:val="Intense Quote"/>
    <w:basedOn w:val="Normal"/>
    <w:next w:val="Normal"/>
    <w:link w:val="IntenseQuoteChar"/>
    <w:uiPriority w:val="30"/>
    <w:qFormat/>
    <w:rsid w:val="00F17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FFD"/>
    <w:rPr>
      <w:i/>
      <w:iCs/>
      <w:color w:val="0F4761" w:themeColor="accent1" w:themeShade="BF"/>
    </w:rPr>
  </w:style>
  <w:style w:type="character" w:styleId="IntenseReference">
    <w:name w:val="Intense Reference"/>
    <w:basedOn w:val="DefaultParagraphFont"/>
    <w:uiPriority w:val="32"/>
    <w:qFormat/>
    <w:rsid w:val="00F17F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PASARGAD PARDAZ</dc:creator>
  <cp:keywords/>
  <dc:description/>
  <cp:lastModifiedBy>PASARGAD PARDAZ</cp:lastModifiedBy>
  <cp:revision>2</cp:revision>
  <dcterms:created xsi:type="dcterms:W3CDTF">2026-09-24T04:11:00Z</dcterms:created>
  <dcterms:modified xsi:type="dcterms:W3CDTF">2026-09-24T04:12:00Z</dcterms:modified>
</cp:coreProperties>
</file>