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azir" w:hAnsi="Vazir" w:eastAsia="Vazir"/>
          <w:b/>
          <w:i w:val="0"/>
          <w:color w:val="000000"/>
          <w:sz w:val="48"/>
        </w:rPr>
        <w:t>Appendices</w:t>
      </w:r>
    </w:p>
    <w:p>
      <w:pPr>
        <w:autoSpaceDN w:val="0"/>
        <w:autoSpaceDE w:val="0"/>
        <w:widowControl/>
        <w:spacing w:line="245" w:lineRule="auto" w:before="496" w:after="0"/>
        <w:ind w:left="164" w:right="864" w:firstLine="0"/>
        <w:jc w:val="left"/>
      </w:pPr>
      <w:r>
        <w:rPr>
          <w:rFonts w:ascii="Vazir" w:hAnsi="Vazir" w:eastAsia="Vazir"/>
          <w:b/>
          <w:i w:val="0"/>
          <w:color w:val="000000"/>
          <w:sz w:val="40"/>
        </w:rPr>
        <w:t xml:space="preserve">Appendix A: Mathematical Formulations and </w:t>
      </w:r>
      <w:r>
        <w:rPr>
          <w:rFonts w:ascii="Vazir" w:hAnsi="Vazir" w:eastAsia="Vazir"/>
          <w:b/>
          <w:i w:val="0"/>
          <w:color w:val="000000"/>
          <w:sz w:val="40"/>
        </w:rPr>
        <w:t>Derivations</w:t>
      </w:r>
    </w:p>
    <w:p>
      <w:pPr>
        <w:autoSpaceDN w:val="0"/>
        <w:autoSpaceDE w:val="0"/>
        <w:widowControl/>
        <w:spacing w:line="240" w:lineRule="auto" w:before="37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A.1 Reasoning Predictive Equity (RPE)</w:t>
      </w:r>
    </w:p>
    <w:p>
      <w:pPr>
        <w:autoSpaceDN w:val="0"/>
        <w:autoSpaceDE w:val="0"/>
        <w:widowControl/>
        <w:spacing w:line="250" w:lineRule="auto" w:before="372" w:after="0"/>
        <w:ind w:left="164" w:right="288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To quantify the semantic preservation of reasoning trajectories across </w:t>
      </w:r>
      <w:r>
        <w:br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successive generations, we define the </w:t>
      </w:r>
      <w:r>
        <w:rPr>
          <w:rFonts w:ascii="Vazir" w:hAnsi="Vazir" w:eastAsia="Vazir"/>
          <w:b/>
          <w:i w:val="0"/>
          <w:color w:val="000000"/>
          <w:sz w:val="24"/>
        </w:rPr>
        <w:t>Reasoning Predictive Equity (RPE)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. Let 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 xml:space="preserve">0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represent the baseline reference reasoning trajectory generated by the model at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generation 0 (or derived from a verified gold standard), and let 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w w:val="101.63818359375001"/>
          <w:rFonts w:ascii="KaTeX_Math" w:hAnsi="KaTeX_Math" w:eastAsia="KaTeX_Math"/>
          <w:b w:val="0"/>
          <w:i/>
          <w:color w:val="000000"/>
          <w:sz w:val="20"/>
        </w:rPr>
        <w:t>n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represent the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reasoning trajectory generated at recursive step . </w:t>
      </w:r>
    </w:p>
    <w:p>
      <w:pPr>
        <w:autoSpaceDN w:val="0"/>
        <w:autoSpaceDE w:val="0"/>
        <w:widowControl/>
        <w:spacing w:line="245" w:lineRule="auto" w:before="250" w:after="384"/>
        <w:ind w:left="164" w:right="144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Each trajectory is represented as a sequence of semantic tokens or embeddings </w:t>
      </w:r>
      <w:r>
        <w:rPr>
          <w:rFonts w:ascii="Vazir" w:hAnsi="Vazir" w:eastAsia="Vazir"/>
          <w:b w:val="0"/>
          <w:i w:val="0"/>
          <w:color w:val="000000"/>
          <w:sz w:val="24"/>
        </w:rPr>
        <w:t>in a latent space. The similarity metric is formulated as:</w:t>
      </w:r>
    </w:p>
    <w:p>
      <w:pPr>
        <w:sectPr>
          <w:pgSz w:w="11906" w:h="16838"/>
          <w:pgMar w:top="806" w:right="1440" w:bottom="7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58" w:firstLine="0"/>
        <w:jc w:val="right"/>
      </w:pPr>
      <w:r>
        <w:rPr>
          <w:rFonts w:ascii="KaTeX_Main" w:hAnsi="KaTeX_Main" w:eastAsia="KaTeX_Main"/>
          <w:b w:val="0"/>
          <w:i w:val="0"/>
          <w:color w:val="000000"/>
          <w:sz w:val="29"/>
        </w:rPr>
        <w:t>RPE(</w:t>
      </w:r>
      <w:r>
        <w:rPr>
          <w:rFonts w:ascii="KaTeX_Math" w:hAnsi="KaTeX_Math" w:eastAsia="KaTeX_Math"/>
          <w:b w:val="0"/>
          <w:i/>
          <w:color w:val="000000"/>
          <w:sz w:val="29"/>
        </w:rPr>
        <w:t>n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 = cos(</w:t>
      </w:r>
      <w:r>
        <w:rPr>
          <w:rFonts w:ascii="KaTeX_Main" w:hAnsi="KaTeX_Main" w:eastAsia="KaTeX_Main"/>
          <w:b/>
          <w:i w:val="0"/>
          <w:color w:val="000000"/>
          <w:sz w:val="29"/>
        </w:rPr>
        <w:t>e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),</w:t>
      </w:r>
      <w:r>
        <w:rPr>
          <w:rFonts w:ascii="KaTeX_Main" w:hAnsi="KaTeX_Main" w:eastAsia="KaTeX_Main"/>
          <w:b/>
          <w:i w:val="0"/>
          <w:color w:val="000000"/>
          <w:sz w:val="29"/>
        </w:rPr>
        <w:t xml:space="preserve"> e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)) =</w:t>
      </w:r>
    </w:p>
    <w:p>
      <w:pPr>
        <w:sectPr>
          <w:type w:val="continuous"/>
          <w:pgSz w:w="11906" w:h="16838"/>
          <w:pgMar w:top="806" w:right="1440" w:bottom="764" w:left="1440" w:header="720" w:footer="720" w:gutter="0"/>
          <w:cols w:num="2" w:equalWidth="0">
            <w:col w:w="5428" w:space="0"/>
            <w:col w:w="359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30"/>
        <w:ind w:left="0" w:right="1584" w:firstLine="0"/>
        <w:jc w:val="center"/>
      </w:pPr>
      <w:r>
        <w:rPr>
          <w:rFonts w:ascii="KaTeX_Main" w:hAnsi="KaTeX_Main" w:eastAsia="KaTeX_Main"/>
          <w:b/>
          <w:i w:val="0"/>
          <w:color w:val="000000"/>
          <w:sz w:val="29"/>
        </w:rPr>
        <w:t>e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 ⋅</w:t>
      </w:r>
      <w:r>
        <w:rPr>
          <w:rFonts w:ascii="KaTeX_Main" w:hAnsi="KaTeX_Main" w:eastAsia="KaTeX_Main"/>
          <w:b/>
          <w:i w:val="0"/>
          <w:color w:val="000000"/>
          <w:sz w:val="29"/>
        </w:rPr>
        <w:t>e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</w:t>
      </w:r>
      <w:r>
        <w:br/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∥</w:t>
      </w:r>
      <w:r>
        <w:rPr>
          <w:rFonts w:ascii="KaTeX_Main" w:hAnsi="KaTeX_Main" w:eastAsia="KaTeX_Main"/>
          <w:b/>
          <w:i w:val="0"/>
          <w:color w:val="000000"/>
          <w:sz w:val="29"/>
        </w:rPr>
        <w:t>e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)∥∥</w:t>
      </w:r>
      <w:r>
        <w:rPr>
          <w:rFonts w:ascii="KaTeX_Main" w:hAnsi="KaTeX_Main" w:eastAsia="KaTeX_Main"/>
          <w:b/>
          <w:i w:val="0"/>
          <w:color w:val="000000"/>
          <w:sz w:val="29"/>
        </w:rPr>
        <w:t>e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)∥</w:t>
      </w:r>
    </w:p>
    <w:p>
      <w:pPr>
        <w:sectPr>
          <w:type w:val="nextColumn"/>
          <w:pgSz w:w="11906" w:h="16838"/>
          <w:pgMar w:top="806" w:right="1440" w:bottom="764" w:left="1440" w:header="720" w:footer="720" w:gutter="0"/>
          <w:cols w:num="2" w:equalWidth="0">
            <w:col w:w="5428" w:space="0"/>
            <w:col w:w="3597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64" w:right="144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where </w:t>
      </w:r>
      <w:r>
        <w:rPr>
          <w:rFonts w:ascii="KaTeX_Main" w:hAnsi="KaTeX_Main" w:eastAsia="KaTeX_Main"/>
          <w:b/>
          <w:i w:val="0"/>
          <w:color w:val="000000"/>
          <w:sz w:val="29"/>
        </w:rPr>
        <w:t>e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 )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denotes the pooled contextual embedding vector of the reasoning </w:t>
      </w:r>
      <w:r>
        <w:rPr>
          <w:rFonts w:ascii="Vazir" w:hAnsi="Vazir" w:eastAsia="Vazir"/>
          <w:b w:val="0"/>
          <w:i w:val="0"/>
          <w:color w:val="000000"/>
          <w:sz w:val="24"/>
        </w:rPr>
        <w:t>path extracted from the model's hidden states (typically the fin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al layer </w:t>
      </w:r>
      <w:r>
        <w:rPr>
          <w:rFonts w:ascii="Vazir" w:hAnsi="Vazir" w:eastAsia="Vazir"/>
          <w:b w:val="0"/>
          <w:i w:val="0"/>
          <w:color w:val="000000"/>
          <w:sz w:val="24"/>
        </w:rPr>
        <w:t>activations</w:t>
      </w:r>
    </w:p>
    <w:p>
      <w:pPr>
        <w:autoSpaceDN w:val="0"/>
        <w:autoSpaceDE w:val="0"/>
        <w:widowControl/>
        <w:spacing w:line="247" w:lineRule="auto" w:before="32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before the projection he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ad, or via an auxiliary encoder such as </w:t>
      </w:r>
      <w:r>
        <w:rPr>
          <w:shd w:val="clear" w:color="auto" w:fill="f8f8f8"/>
          <w:rFonts w:ascii="Noto Sans Mono" w:hAnsi="Noto Sans Mono" w:eastAsia="Noto Sans Mono"/>
          <w:b w:val="0"/>
          <w:i w:val="0"/>
          <w:color w:val="000000"/>
          <w:sz w:val="24"/>
        </w:rPr>
        <w:t>text-</w:t>
      </w:r>
    </w:p>
    <w:p>
      <w:pPr>
        <w:autoSpaceDN w:val="0"/>
        <w:autoSpaceDE w:val="0"/>
        <w:widowControl/>
        <w:spacing w:line="247" w:lineRule="auto" w:before="32" w:after="0"/>
        <w:ind w:left="164" w:right="0" w:firstLine="0"/>
        <w:jc w:val="left"/>
      </w:pPr>
      <w:r>
        <w:rPr>
          <w:shd w:val="clear" w:color="auto" w:fill="f8f8f8"/>
          <w:rFonts w:ascii="Noto Sans Mono" w:hAnsi="Noto Sans Mono" w:eastAsia="Noto Sans Mono"/>
          <w:b w:val="0"/>
          <w:i w:val="0"/>
          <w:color w:val="000000"/>
          <w:sz w:val="24"/>
        </w:rPr>
        <w:t>embedding-3-large</w:t>
      </w:r>
      <w:r>
        <w:rPr>
          <w:rFonts w:ascii="Vazir" w:hAnsi="Vazir" w:eastAsia="Vazir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auto" w:before="39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 xml:space="preserve">A.2 The Stability Horizon ( </w:t>
      </w:r>
      <w:r>
        <w:rPr>
          <w:w w:val="98.99680397727273"/>
          <w:rFonts w:ascii="KaTeX_Math" w:hAnsi="KaTeX_Math" w:eastAsia="KaTeX_Math"/>
          <w:b w:val="0"/>
          <w:i/>
          <w:color w:val="000000"/>
          <w:sz w:val="44"/>
        </w:rPr>
        <w:t>n</w:t>
      </w:r>
      <w:r>
        <w:rPr>
          <w:w w:val="101.6357421875"/>
          <w:rFonts w:ascii="KaTeX_Main" w:hAnsi="KaTeX_Main" w:eastAsia="KaTeX_Main"/>
          <w:b w:val="0"/>
          <w:i w:val="0"/>
          <w:color w:val="000000"/>
          <w:sz w:val="30"/>
        </w:rPr>
        <w:t xml:space="preserve">0 </w:t>
      </w:r>
      <w:r>
        <w:rPr>
          <w:rFonts w:ascii="Vazir" w:hAnsi="Vazir" w:eastAsia="Vazir"/>
          <w:b/>
          <w:i w:val="0"/>
          <w:color w:val="000000"/>
          <w:sz w:val="36"/>
        </w:rPr>
        <w:t>)</w:t>
      </w:r>
    </w:p>
    <w:p>
      <w:pPr>
        <w:autoSpaceDN w:val="0"/>
        <w:autoSpaceDE w:val="0"/>
        <w:widowControl/>
        <w:spacing w:line="245" w:lineRule="auto" w:before="372" w:after="0"/>
        <w:ind w:left="164" w:right="864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The empirical decay of RPE over successive generations is modeled as an </w:t>
      </w:r>
      <w:r>
        <w:rPr>
          <w:rFonts w:ascii="Vazir" w:hAnsi="Vazir" w:eastAsia="Vazir"/>
          <w:b w:val="0"/>
          <w:i w:val="0"/>
          <w:color w:val="000000"/>
          <w:sz w:val="24"/>
        </w:rPr>
        <w:t>exponential decay process:</w:t>
      </w:r>
    </w:p>
    <w:p>
      <w:pPr>
        <w:autoSpaceDN w:val="0"/>
        <w:autoSpaceDE w:val="0"/>
        <w:widowControl/>
        <w:spacing w:line="262" w:lineRule="auto" w:before="206" w:after="0"/>
        <w:ind w:left="0" w:right="0" w:firstLine="0"/>
        <w:jc w:val="center"/>
      </w:pPr>
      <w:r>
        <w:rPr>
          <w:rFonts w:ascii="KaTeX_Main" w:hAnsi="KaTeX_Main" w:eastAsia="KaTeX_Main"/>
          <w:b w:val="0"/>
          <w:i w:val="0"/>
          <w:color w:val="000000"/>
          <w:sz w:val="29"/>
        </w:rPr>
        <w:t>RPE(</w:t>
      </w:r>
      <w:r>
        <w:rPr>
          <w:rFonts w:ascii="KaTeX_Math" w:hAnsi="KaTeX_Math" w:eastAsia="KaTeX_Math"/>
          <w:b w:val="0"/>
          <w:i/>
          <w:color w:val="000000"/>
          <w:sz w:val="29"/>
        </w:rPr>
        <w:t>n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 = RPE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⋅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0</w:t>
      </w:r>
      <w:r>
        <w:rPr>
          <w:rFonts w:ascii="KaTeX_Math" w:hAnsi="KaTeX_Math" w:eastAsia="KaTeX_Math"/>
          <w:b w:val="0"/>
          <w:i/>
          <w:color w:val="000000"/>
          <w:sz w:val="29"/>
        </w:rPr>
        <w:t>e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−</w:t>
      </w:r>
      <w:r>
        <w:rPr>
          <w:w w:val="101.63818359375001"/>
          <w:rFonts w:ascii="KaTeX_Math" w:hAnsi="KaTeX_Math" w:eastAsia="KaTeX_Math"/>
          <w:b w:val="0"/>
          <w:i/>
          <w:color w:val="000000"/>
          <w:sz w:val="20"/>
        </w:rPr>
        <w:t>k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⋅</w:t>
      </w:r>
      <w:r>
        <w:rPr>
          <w:w w:val="101.63818359375001"/>
          <w:rFonts w:ascii="KaTeX_Math" w:hAnsi="KaTeX_Math" w:eastAsia="KaTeX_Math"/>
          <w:b w:val="0"/>
          <w:i/>
          <w:color w:val="000000"/>
          <w:sz w:val="20"/>
        </w:rPr>
        <w:t>n</w:t>
      </w:r>
    </w:p>
    <w:p>
      <w:pPr>
        <w:autoSpaceDN w:val="0"/>
        <w:autoSpaceDE w:val="0"/>
        <w:widowControl/>
        <w:spacing w:line="247" w:lineRule="auto" w:before="248" w:after="24"/>
        <w:ind w:left="164" w:right="864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where 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RPE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0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is the initial semantic alignment, and  is the model-specific </w:t>
      </w:r>
      <w:r>
        <w:rPr>
          <w:rFonts w:ascii="Vazir" w:hAnsi="Vazir" w:eastAsia="Vazir"/>
          <w:b w:val="0"/>
          <w:i w:val="0"/>
          <w:color w:val="000000"/>
          <w:sz w:val="24"/>
        </w:rPr>
        <w:t>fragility coefficient. To determine the operational boundary of coherent</w:t>
      </w:r>
    </w:p>
    <w:p>
      <w:pPr>
        <w:sectPr>
          <w:type w:val="continuous"/>
          <w:pgSz w:w="11906" w:h="16838"/>
          <w:pgMar w:top="806" w:right="1440" w:bottom="7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reasoning, we define the </w:t>
      </w:r>
      <w:r>
        <w:rPr>
          <w:rFonts w:ascii="Vazir" w:hAnsi="Vazir" w:eastAsia="Vazir"/>
          <w:b/>
          <w:i w:val="0"/>
          <w:color w:val="000000"/>
          <w:sz w:val="24"/>
        </w:rPr>
        <w:t xml:space="preserve">Stability Horizon ( </w:t>
      </w:r>
      <w:r>
        <w:rPr>
          <w:rFonts w:ascii="KaTeX_Math" w:hAnsi="KaTeX_Math" w:eastAsia="KaTeX_Math"/>
          <w:b w:val="0"/>
          <w:i/>
          <w:color w:val="000000"/>
          <w:sz w:val="29"/>
        </w:rPr>
        <w:t>n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0</w:t>
      </w:r>
    </w:p>
    <w:p>
      <w:pPr>
        <w:sectPr>
          <w:type w:val="continuous"/>
          <w:pgSz w:w="11906" w:h="16838"/>
          <w:pgMar w:top="806" w:right="1440" w:bottom="764" w:left="1440" w:header="720" w:footer="720" w:gutter="0"/>
          <w:cols w:num="2" w:equalWidth="0">
            <w:col w:w="5012" w:space="0"/>
            <w:col w:w="401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)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as the generation step at which</w:t>
      </w:r>
    </w:p>
    <w:p>
      <w:pPr>
        <w:sectPr>
          <w:type w:val="nextColumn"/>
          <w:pgSz w:w="11906" w:h="16838"/>
          <w:pgMar w:top="806" w:right="1440" w:bottom="764" w:left="1440" w:header="720" w:footer="720" w:gutter="0"/>
          <w:cols w:num="2" w:equalWidth="0">
            <w:col w:w="5012" w:space="0"/>
            <w:col w:w="401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47" w:lineRule="auto" w:before="0" w:after="146"/>
        <w:ind w:left="164" w:right="144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the alignment falls below a critical operational threshold 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RPE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thr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(empirically set </w:t>
      </w:r>
      <w:r>
        <w:rPr>
          <w:rFonts w:ascii="Vazir" w:hAnsi="Vazir" w:eastAsia="Vazir"/>
          <w:b w:val="0"/>
          <w:i w:val="0"/>
          <w:color w:val="000000"/>
          <w:sz w:val="24"/>
        </w:rPr>
        <w:t>at 0.5):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870"/>
        </w:trPr>
        <w:tc>
          <w:tcPr>
            <w:tcW w:type="dxa" w:w="1496"/>
            <w:vMerge w:val="restart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Solving for </w:t>
            </w: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n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080"/>
            <w:vMerge w:val="restart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yields: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38" w:firstLine="0"/>
              <w:jc w:val="right"/>
            </w:pP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 xml:space="preserve">RPE 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thr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02" w:after="0"/>
              <w:ind w:left="0" w:right="0" w:firstLine="0"/>
              <w:jc w:val="center"/>
            </w:pP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=</w:t>
            </w:r>
          </w:p>
        </w:tc>
        <w:tc>
          <w:tcPr>
            <w:tcW w:type="dxa" w:w="4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44" w:right="0" w:firstLine="0"/>
              <w:jc w:val="left"/>
            </w:pP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RPE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⋅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e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−</w:t>
            </w:r>
            <w:r>
              <w:rPr>
                <w:w w:val="101.63818359375001"/>
                <w:rFonts w:ascii="KaTeX_Math" w:hAnsi="KaTeX_Math" w:eastAsia="KaTeX_Math"/>
                <w:b w:val="0"/>
                <w:i/>
                <w:color w:val="000000"/>
                <w:sz w:val="20"/>
              </w:rPr>
              <w:t>k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⋅</w:t>
            </w:r>
            <w:r>
              <w:rPr>
                <w:w w:val="101.63818359375001"/>
                <w:rFonts w:ascii="KaTeX_Math" w:hAnsi="KaTeX_Math" w:eastAsia="KaTeX_Math"/>
                <w:b w:val="0"/>
                <w:i/>
                <w:color w:val="000000"/>
                <w:sz w:val="20"/>
              </w:rPr>
              <w:t>n</w:t>
            </w:r>
            <w:r>
              <w:rPr>
                <w:w w:val="96.79688771565755"/>
                <w:rFonts w:ascii="KaTeX_Main" w:hAnsi="KaTeX_Main" w:eastAsia="KaTeX_Main"/>
                <w:b w:val="0"/>
                <w:i w:val="0"/>
                <w:color w:val="000000"/>
                <w:sz w:val="15"/>
              </w:rPr>
              <w:t>0</w:t>
            </w:r>
          </w:p>
        </w:tc>
      </w:tr>
      <w:tr>
        <w:trPr>
          <w:trHeight w:hRule="exact" w:val="816"/>
        </w:trPr>
        <w:tc>
          <w:tcPr>
            <w:tcW w:type="dxa" w:w="1128"/>
            <w:vMerge/>
            <w:tcBorders>
              <w:bottom w:sz="11.200000000000045" w:val="single" w:color="#000000"/>
            </w:tcBorders>
          </w:tcPr>
          <w:p/>
        </w:tc>
        <w:tc>
          <w:tcPr>
            <w:tcW w:type="dxa" w:w="1128"/>
            <w:vMerge/>
            <w:tcBorders>
              <w:bottom w:sz="11.200000000000045" w:val="single" w:color="#000000"/>
            </w:tcBorders>
          </w:tcPr>
          <w:p/>
        </w:tc>
        <w:tc>
          <w:tcPr>
            <w:tcW w:type="dxa" w:w="1166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460" w:after="0"/>
              <w:ind w:left="0" w:right="116" w:firstLine="0"/>
              <w:jc w:val="right"/>
            </w:pP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=</w:t>
            </w:r>
          </w:p>
        </w:tc>
        <w:tc>
          <w:tcPr>
            <w:tcW w:type="dxa" w:w="160"/>
            <w:gridSpan w:val="2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438" w:after="0"/>
              <w:ind w:left="0" w:right="0" w:firstLine="0"/>
              <w:jc w:val="center"/>
            </w:pP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1</w:t>
            </w:r>
          </w:p>
        </w:tc>
        <w:tc>
          <w:tcPr>
            <w:tcW w:type="dxa" w:w="3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634" w:after="0"/>
              <w:ind w:left="0" w:right="0" w:firstLine="0"/>
              <w:jc w:val="center"/>
            </w:pP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ln</w:t>
            </w:r>
          </w:p>
        </w:tc>
        <w:tc>
          <w:tcPr>
            <w:tcW w:type="dxa" w:w="4460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38" w:after="0"/>
              <w:ind w:left="374" w:right="0" w:firstLine="0"/>
              <w:jc w:val="left"/>
            </w:pP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RPE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610"/>
        </w:trPr>
        <w:tc>
          <w:tcPr>
            <w:tcW w:type="dxa" w:w="1496"/>
            <w:tcBorders>
              <w:top w:sz="11.200000000000045" w:val="single" w:color="#000000"/>
              <w:bottom w:sz="12.0" w:val="single" w:color="#01010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11.200000000000045" w:val="single" w:color="#000000"/>
              <w:bottom w:sz="12.0" w:val="single" w:color="#01010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top w:sz="11.200000000000045" w:val="single" w:color="#000000"/>
              <w:bottom w:sz="12.0" w:val="single" w:color="#01010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38" w:firstLine="0"/>
              <w:jc w:val="right"/>
            </w:pP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n</w:t>
            </w:r>
          </w:p>
        </w:tc>
        <w:tc>
          <w:tcPr>
            <w:tcW w:type="dxa" w:w="160"/>
            <w:gridSpan w:val="2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k</w:t>
            </w:r>
          </w:p>
        </w:tc>
        <w:tc>
          <w:tcPr>
            <w:tcW w:type="dxa" w:w="2256"/>
            <w:gridSpan w:val="2"/>
            <w:vMerge/>
            <w:tcBorders/>
          </w:tcPr>
          <w:p/>
        </w:tc>
        <w:tc>
          <w:tcPr>
            <w:tcW w:type="dxa" w:w="4460"/>
            <w:tcBorders>
              <w:top w:sz="11.200000000000045" w:val="single" w:color="#000000"/>
              <w:bottom w:sz="12.0" w:val="single" w:color="#01010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0" w:right="0" w:firstLine="0"/>
              <w:jc w:val="left"/>
            </w:pPr>
            <w:r>
              <w:rPr>
                <w:rFonts w:ascii="KaTeX_Size3" w:hAnsi="KaTeX_Size3" w:eastAsia="KaTeX_Size3"/>
                <w:b w:val="0"/>
                <w:i w:val="0"/>
                <w:color w:val="000000"/>
                <w:sz w:val="29"/>
              </w:rPr>
              <w:t>(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RPE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 xml:space="preserve">thr </w:t>
            </w:r>
            <w:r>
              <w:rPr>
                <w:rFonts w:ascii="KaTeX_Size3" w:hAnsi="KaTeX_Size3" w:eastAsia="KaTeX_Size3"/>
                <w:b w:val="0"/>
                <w:i w:val="0"/>
                <w:color w:val="000000"/>
                <w:sz w:val="29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5" w:lineRule="auto" w:before="356" w:after="0"/>
        <w:ind w:left="164" w:right="2304" w:firstLine="0"/>
        <w:jc w:val="left"/>
      </w:pPr>
      <w:r>
        <w:rPr>
          <w:rFonts w:ascii="Vazir" w:hAnsi="Vazir" w:eastAsia="Vazir"/>
          <w:b/>
          <w:i w:val="0"/>
          <w:color w:val="000000"/>
          <w:sz w:val="40"/>
        </w:rPr>
        <w:t xml:space="preserve">Appendix B: Experimental Setup and </w:t>
      </w:r>
      <w:r>
        <w:rPr>
          <w:rFonts w:ascii="Vazir" w:hAnsi="Vazir" w:eastAsia="Vazir"/>
          <w:b/>
          <w:i w:val="0"/>
          <w:color w:val="000000"/>
          <w:sz w:val="40"/>
        </w:rPr>
        <w:t>Hyperparameters</w:t>
      </w:r>
    </w:p>
    <w:p>
      <w:pPr>
        <w:autoSpaceDN w:val="0"/>
        <w:autoSpaceDE w:val="0"/>
        <w:widowControl/>
        <w:spacing w:line="245" w:lineRule="auto" w:before="376" w:after="0"/>
        <w:ind w:left="164" w:right="1872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 xml:space="preserve">B.1 Model Implementations and Parameter </w:t>
      </w:r>
      <w:r>
        <w:rPr>
          <w:rFonts w:ascii="Vazir" w:hAnsi="Vazir" w:eastAsia="Vazir"/>
          <w:b/>
          <w:i w:val="0"/>
          <w:color w:val="000000"/>
          <w:sz w:val="36"/>
        </w:rPr>
        <w:t>Configurations</w:t>
      </w:r>
    </w:p>
    <w:p>
      <w:pPr>
        <w:autoSpaceDN w:val="0"/>
        <w:autoSpaceDE w:val="0"/>
        <w:widowControl/>
        <w:spacing w:line="240" w:lineRule="auto" w:before="370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All evaluations we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re conducted using PyTorch and Hugging Face </w:t>
      </w:r>
    </w:p>
    <w:p>
      <w:pPr>
        <w:autoSpaceDN w:val="0"/>
        <w:autoSpaceDE w:val="0"/>
        <w:widowControl/>
        <w:spacing w:line="247" w:lineRule="auto" w:before="32" w:after="234"/>
        <w:ind w:left="164" w:right="144" w:firstLine="120"/>
        <w:jc w:val="left"/>
      </w:pPr>
      <w:r>
        <w:rPr>
          <w:shd w:val="clear" w:color="auto" w:fill="f8f8f8"/>
          <w:rFonts w:ascii="Noto Sans Mono" w:hAnsi="Noto Sans Mono" w:eastAsia="Noto Sans Mono"/>
          <w:b w:val="0"/>
          <w:i w:val="0"/>
          <w:color w:val="000000"/>
          <w:sz w:val="24"/>
        </w:rPr>
        <w:t>transformers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libraries, distributed across an array of 8 NVIDIA H100 (80GB) </w:t>
      </w:r>
      <w:r>
        <w:rPr>
          <w:shd w:val="clear" w:color="auto" w:fill="f8f8f8"/>
          <w:rFonts w:ascii="Vazir" w:hAnsi="Vazir" w:eastAsia="Vazir"/>
          <w:b w:val="0"/>
          <w:i w:val="0"/>
          <w:color w:val="000000"/>
          <w:sz w:val="24"/>
        </w:rPr>
        <w:t>GPUs. Table B.1 o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utlines the exact model versions, parameter scales, and </w:t>
      </w:r>
      <w:r>
        <w:rPr>
          <w:rFonts w:ascii="Vazir" w:hAnsi="Vazir" w:eastAsia="Vazir"/>
          <w:b w:val="0"/>
          <w:i w:val="0"/>
          <w:color w:val="000000"/>
          <w:sz w:val="24"/>
        </w:rPr>
        <w:t>generation hyperparameters utilized to ensure reproducibility.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34"/>
        </w:trPr>
        <w:tc>
          <w:tcPr>
            <w:tcW w:type="dxa" w:w="3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70" w:val="left"/>
              </w:tabs>
              <w:autoSpaceDE w:val="0"/>
              <w:widowControl/>
              <w:spacing w:line="245" w:lineRule="auto" w:before="56" w:after="0"/>
              <w:ind w:left="110" w:right="144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Model Identifier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Parameter </w:t>
            </w:r>
            <w:r>
              <w:tab/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Count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Precision /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310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Temperature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3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Top-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Max</w:t>
            </w:r>
          </w:p>
        </w:tc>
      </w:tr>
      <w:tr>
        <w:trPr>
          <w:trHeight w:hRule="exact" w:val="380"/>
        </w:trPr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16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Quantization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8" w:firstLine="0"/>
              <w:jc w:val="righ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( </w:t>
            </w: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2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136" w:right="0" w:firstLine="0"/>
              <w:jc w:val="left"/>
            </w:pP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p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34" w:right="0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Tokens</w:t>
            </w:r>
          </w:p>
        </w:tc>
      </w:tr>
      <w:tr>
        <w:trPr>
          <w:trHeight w:hRule="exact" w:val="88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10" w:right="432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Llama-3-8B-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Instruct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15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8 Billion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21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BF16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3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0.0 (Greedy)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13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512</w:t>
            </w:r>
          </w:p>
        </w:tc>
      </w:tr>
      <w:tr>
        <w:trPr>
          <w:trHeight w:hRule="exact" w:val="82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10" w:right="288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Llama-3-70B-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Instruct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15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70 Billion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21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BF16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3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0.0 (Greedy)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13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512</w:t>
            </w:r>
          </w:p>
        </w:tc>
      </w:tr>
      <w:tr>
        <w:trPr>
          <w:trHeight w:hRule="exact" w:val="82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10" w:right="432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Qwen-2-7B-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Instruct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15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7 Billion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21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BF16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0.0 (Greedy)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13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512</w:t>
            </w:r>
          </w:p>
        </w:tc>
      </w:tr>
      <w:tr>
        <w:trPr>
          <w:trHeight w:hRule="exact" w:val="84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10" w:right="288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Qwen-2-72B-</w:t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Instruct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15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72 Billion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216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BF16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3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0.0 (Greedy)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13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512</w:t>
            </w:r>
          </w:p>
        </w:tc>
      </w:tr>
      <w:tr>
        <w:trPr>
          <w:trHeight w:hRule="exact" w:val="82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10" w:right="288" w:firstLine="0"/>
              <w:jc w:val="left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 xml:space="preserve">GPT-4o </w:t>
            </w:r>
            <w:r>
              <w:br/>
            </w: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(2024-05-13)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15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Unknown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FP8 (via API)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3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13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1024</w:t>
            </w:r>
          </w:p>
        </w:tc>
      </w:tr>
      <w:tr>
        <w:trPr>
          <w:trHeight w:hRule="exact" w:val="40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Vazir" w:hAnsi="Vazir" w:eastAsia="Vazir"/>
                <w:b/>
                <w:i w:val="0"/>
                <w:color w:val="000000"/>
                <w:sz w:val="24"/>
              </w:rPr>
              <w:t>Claude-3-Opus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5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Unknown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FP8 (via API)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31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34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1024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4" w:right="1440" w:bottom="8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164" w:right="144" w:firstLine="0"/>
        <w:jc w:val="left"/>
      </w:pPr>
      <w:r>
        <w:rPr>
          <w:rFonts w:ascii="Vazir" w:hAnsi="Vazir" w:eastAsia="Vazir"/>
          <w:b w:val="0"/>
          <w:i/>
          <w:color w:val="000000"/>
          <w:sz w:val="24"/>
        </w:rPr>
        <w:t xml:space="preserve">Note: Greedy decoding ( </w:t>
      </w:r>
      <w:r>
        <w:rPr>
          <w:rFonts w:ascii="KaTeX_Math" w:hAnsi="KaTeX_Math" w:eastAsia="KaTeX_Math"/>
          <w:b w:val="0"/>
          <w:i/>
          <w:color w:val="000000"/>
          <w:sz w:val="29"/>
        </w:rPr>
        <w:t>T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= 0 </w:t>
      </w:r>
      <w:r>
        <w:rPr>
          <w:rFonts w:ascii="Vazir" w:hAnsi="Vazir" w:eastAsia="Vazir"/>
          <w:b w:val="0"/>
          <w:i/>
          <w:color w:val="000000"/>
          <w:sz w:val="24"/>
        </w:rPr>
        <w:t xml:space="preserve">) was enforced across all evaluations to eliminate </w:t>
      </w:r>
      <w:r>
        <w:rPr>
          <w:rFonts w:ascii="Vazir" w:hAnsi="Vazir" w:eastAsia="Vazir"/>
          <w:b w:val="0"/>
          <w:i/>
          <w:color w:val="000000"/>
          <w:sz w:val="24"/>
        </w:rPr>
        <w:t xml:space="preserve">stochastic noise and isolate the deterministic drift caused strictly by </w:t>
      </w:r>
      <w:r>
        <w:br/>
      </w:r>
      <w:r>
        <w:rPr>
          <w:rFonts w:ascii="Vazir" w:hAnsi="Vazir" w:eastAsia="Vazir"/>
          <w:b w:val="0"/>
          <w:i/>
          <w:color w:val="000000"/>
          <w:sz w:val="24"/>
        </w:rPr>
        <w:t>autoregressive feedback loops.</w:t>
      </w:r>
    </w:p>
    <w:p>
      <w:pPr>
        <w:autoSpaceDN w:val="0"/>
        <w:autoSpaceDE w:val="0"/>
        <w:widowControl/>
        <w:spacing w:line="240" w:lineRule="auto" w:before="372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B.2 Prompting Templates</w:t>
      </w:r>
    </w:p>
    <w:p>
      <w:pPr>
        <w:autoSpaceDN w:val="0"/>
        <w:autoSpaceDE w:val="0"/>
        <w:widowControl/>
        <w:spacing w:line="245" w:lineRule="auto" w:before="370" w:after="0"/>
        <w:ind w:left="164" w:right="72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To prevent prompt-induced biases, we utilized standard Zero-Shot Chain-of-</w:t>
      </w:r>
      <w:r>
        <w:rPr>
          <w:rFonts w:ascii="Vazir" w:hAnsi="Vazir" w:eastAsia="Vazir"/>
          <w:b w:val="0"/>
          <w:i w:val="0"/>
          <w:color w:val="000000"/>
          <w:sz w:val="24"/>
        </w:rPr>
        <w:t>Thought (CoT) system prompts.</w:t>
      </w:r>
    </w:p>
    <w:p>
      <w:pPr>
        <w:autoSpaceDN w:val="0"/>
        <w:autoSpaceDE w:val="0"/>
        <w:widowControl/>
        <w:spacing w:line="245" w:lineRule="auto" w:before="248" w:after="0"/>
        <w:ind w:left="164" w:right="288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System Prompt: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You are an expert mathematical reasoning agent. Solve the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user's problem step-by-step. Provide a clear, detailed, and logical chain of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thought explaining your intermediate steps. End your response by clearly stating </w:t>
      </w:r>
      <w:r>
        <w:rPr>
          <w:rFonts w:ascii="Vazir" w:hAnsi="Vazir" w:eastAsia="Vazir"/>
          <w:b w:val="0"/>
          <w:i w:val="0"/>
          <w:color w:val="000000"/>
          <w:sz w:val="24"/>
        </w:rPr>
        <w:t>the final answer in the format: "Therefore, the final answer is: [ANSWER]".</w:t>
      </w:r>
    </w:p>
    <w:p>
      <w:pPr>
        <w:autoSpaceDN w:val="0"/>
        <w:autoSpaceDE w:val="0"/>
        <w:widowControl/>
        <w:spacing w:line="240" w:lineRule="auto" w:before="248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User Input (Generation 0):</w:t>
      </w:r>
    </w:p>
    <w:p>
      <w:pPr>
        <w:autoSpaceDN w:val="0"/>
        <w:autoSpaceDE w:val="0"/>
        <w:widowControl/>
        <w:spacing w:line="245" w:lineRule="auto" w:before="248" w:after="0"/>
        <w:ind w:left="164" w:right="288" w:firstLine="0"/>
        <w:jc w:val="left"/>
      </w:pPr>
      <w:r>
        <w:rPr>
          <w:rFonts w:ascii="Vazir" w:hAnsi="Vazir" w:eastAsia="Vazir"/>
          <w:b/>
          <w:i w:val="0"/>
          <w:color w:val="000000"/>
          <w:sz w:val="24"/>
        </w:rPr>
        <w:t>User Input (Generation n, where n &gt; 0):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Review the previous reasoning path and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rewrite the step-by-step solution to ensure maximal logical consistency and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mathematical accuracy. Keep the final answer identical. Previous path: {Output </w:t>
      </w:r>
      <w:r>
        <w:rPr>
          <w:rFonts w:ascii="Vazir" w:hAnsi="Vazir" w:eastAsia="Vazir"/>
          <w:b w:val="0"/>
          <w:i w:val="0"/>
          <w:color w:val="000000"/>
          <w:sz w:val="24"/>
        </w:rPr>
        <w:t>from Generation n-1}</w:t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rPr>
          <w:rFonts w:ascii="Vazir" w:hAnsi="Vazir" w:eastAsia="Vazir"/>
          <w:b/>
          <w:i w:val="0"/>
          <w:color w:val="000000"/>
          <w:sz w:val="40"/>
        </w:rPr>
        <w:t>Appendix C: Bayesian Posterior Density Analysis</w:t>
      </w:r>
    </w:p>
    <w:p>
      <w:pPr>
        <w:autoSpaceDN w:val="0"/>
        <w:autoSpaceDE w:val="0"/>
        <w:widowControl/>
        <w:spacing w:line="245" w:lineRule="auto" w:before="360" w:after="0"/>
        <w:ind w:left="164" w:right="432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To confirm the statistical validity of the differences in fragility coefficients (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)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between open-source and proprietary models, we performed a Bayesian linear </w:t>
      </w:r>
      <w:r>
        <w:rPr>
          <w:rFonts w:ascii="Vazir" w:hAnsi="Vazir" w:eastAsia="Vazir"/>
          <w:b w:val="0"/>
          <w:i w:val="0"/>
          <w:color w:val="000000"/>
          <w:sz w:val="24"/>
        </w:rPr>
        <w:t>regression using Markov Chain Monte Carlo (MCMC) sampling.</w:t>
      </w:r>
    </w:p>
    <w:p>
      <w:pPr>
        <w:autoSpaceDN w:val="0"/>
        <w:autoSpaceDE w:val="0"/>
        <w:widowControl/>
        <w:spacing w:line="240" w:lineRule="auto" w:before="37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C.1 Model Specification</w:t>
      </w:r>
    </w:p>
    <w:p>
      <w:pPr>
        <w:autoSpaceDN w:val="0"/>
        <w:autoSpaceDE w:val="0"/>
        <w:widowControl/>
        <w:spacing w:line="247" w:lineRule="auto" w:before="388" w:after="148"/>
        <w:ind w:left="164" w:right="432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We defined a hierarchical model where the observed fragility </w:t>
      </w:r>
      <w:r>
        <w:rPr>
          <w:rFonts w:ascii="KaTeX_Math" w:hAnsi="KaTeX_Math" w:eastAsia="KaTeX_Math"/>
          <w:b w:val="0"/>
          <w:i/>
          <w:color w:val="000000"/>
          <w:sz w:val="29"/>
        </w:rPr>
        <w:t>k</w:t>
      </w:r>
      <w:r>
        <w:rPr>
          <w:w w:val="101.63818359375001"/>
          <w:rFonts w:ascii="KaTeX_Math" w:hAnsi="KaTeX_Math" w:eastAsia="KaTeX_Math"/>
          <w:b w:val="0"/>
          <w:i/>
          <w:color w:val="000000"/>
          <w:sz w:val="20"/>
        </w:rPr>
        <w:t>i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for model  on </w:t>
      </w:r>
      <w:r>
        <w:rPr>
          <w:rFonts w:ascii="Vazir" w:hAnsi="Vazir" w:eastAsia="Vazir"/>
          <w:b w:val="0"/>
          <w:i w:val="0"/>
          <w:color w:val="000000"/>
          <w:sz w:val="24"/>
        </w:rPr>
        <w:t>task  is modeled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6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10" w:after="0"/>
              <w:ind w:left="0" w:right="24" w:firstLine="0"/>
              <w:jc w:val="right"/>
            </w:pP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μ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=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10" w:after="0"/>
              <w:ind w:left="0" w:right="0" w:firstLine="0"/>
              <w:jc w:val="center"/>
            </w:pP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β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+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02" w:after="0"/>
              <w:ind w:left="0" w:right="30" w:firstLine="0"/>
              <w:jc w:val="right"/>
            </w:pP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k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∼</w:t>
            </w:r>
          </w:p>
        </w:tc>
        <w:tc>
          <w:tcPr>
            <w:tcW w:type="dxa" w:w="4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0" w:after="0"/>
              <w:ind w:left="50" w:right="0" w:firstLine="0"/>
              <w:jc w:val="left"/>
            </w:pPr>
            <w:r>
              <w:rPr>
                <w:rFonts w:ascii="KaTeX_Caligraphic" w:hAnsi="KaTeX_Caligraphic" w:eastAsia="KaTeX_Caligraphic"/>
                <w:b w:val="0"/>
                <w:i w:val="0"/>
                <w:color w:val="000000"/>
                <w:sz w:val="29"/>
              </w:rPr>
              <w:t>N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(</w:t>
            </w: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μ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 xml:space="preserve"> ,</w:t>
            </w: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 xml:space="preserve"> σ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 xml:space="preserve">) 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51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2" w:after="0"/>
              <w:ind w:left="0" w:right="0" w:firstLine="0"/>
              <w:jc w:val="center"/>
            </w:pP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β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log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 xml:space="preserve">(Parameters) + 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2" w:after="0"/>
              <w:ind w:left="36" w:right="0" w:firstLine="0"/>
              <w:jc w:val="left"/>
            </w:pP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β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complexity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>TaskDifficulty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4" w:right="144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We assigned weakly informative priors to the coefficients: </w:t>
      </w:r>
      <w:r>
        <w:rPr>
          <w:rFonts w:ascii="KaTeX_Math" w:hAnsi="KaTeX_Math" w:eastAsia="KaTeX_Math"/>
          <w:b w:val="0"/>
          <w:i/>
          <w:color w:val="000000"/>
          <w:sz w:val="29"/>
        </w:rPr>
        <w:t>β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∼</w:t>
      </w:r>
      <w:r>
        <w:rPr>
          <w:rFonts w:ascii="KaTeX_Caligraphic" w:hAnsi="KaTeX_Caligraphic" w:eastAsia="KaTeX_Caligraphic"/>
          <w:b w:val="0"/>
          <w:i w:val="0"/>
          <w:color w:val="000000"/>
          <w:sz w:val="29"/>
        </w:rPr>
        <w:t>N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(0.2, 0.1)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, </w:t>
      </w:r>
    </w:p>
    <w:p>
      <w:pPr>
        <w:autoSpaceDN w:val="0"/>
        <w:tabs>
          <w:tab w:pos="330" w:val="left"/>
          <w:tab w:pos="844" w:val="left"/>
          <w:tab w:pos="1150" w:val="left"/>
          <w:tab w:pos="3044" w:val="left"/>
          <w:tab w:pos="3322" w:val="left"/>
          <w:tab w:pos="4388" w:val="left"/>
          <w:tab w:pos="4694" w:val="left"/>
          <w:tab w:pos="6218" w:val="left"/>
          <w:tab w:pos="6794" w:val="left"/>
        </w:tabs>
        <w:autoSpaceDE w:val="0"/>
        <w:widowControl/>
        <w:spacing w:line="252" w:lineRule="auto" w:before="10" w:after="0"/>
        <w:ind w:left="164" w:right="0" w:firstLine="0"/>
        <w:jc w:val="left"/>
      </w:pPr>
      <w:r>
        <w:rPr>
          <w:rFonts w:ascii="KaTeX_Math" w:hAnsi="KaTeX_Math" w:eastAsia="KaTeX_Math"/>
          <w:b w:val="0"/>
          <w:i/>
          <w:color w:val="000000"/>
          <w:sz w:val="29"/>
        </w:rPr>
        <w:t>β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scale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∼</w:t>
      </w:r>
      <w:r>
        <w:rPr>
          <w:rFonts w:ascii="KaTeX_Caligraphic" w:hAnsi="KaTeX_Caligraphic" w:eastAsia="KaTeX_Caligraphic"/>
          <w:b w:val="0"/>
          <w:i w:val="0"/>
          <w:color w:val="000000"/>
          <w:sz w:val="29"/>
        </w:rPr>
        <w:t>N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(−0.05, 0.02)</w:t>
      </w:r>
      <w:r>
        <w:rPr>
          <w:rFonts w:ascii="KaTeX_Math" w:hAnsi="KaTeX_Math" w:eastAsia="KaTeX_Math"/>
          <w:b w:val="0"/>
          <w:i/>
          <w:color w:val="000000"/>
          <w:sz w:val="29"/>
        </w:rPr>
        <w:t>β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, 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complexity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∼</w:t>
      </w:r>
      <w:r>
        <w:rPr>
          <w:rFonts w:ascii="KaTeX_Caligraphic" w:hAnsi="KaTeX_Caligraphic" w:eastAsia="KaTeX_Caligraphic"/>
          <w:b w:val="0"/>
          <w:i w:val="0"/>
          <w:color w:val="000000"/>
          <w:sz w:val="29"/>
        </w:rPr>
        <w:t>N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(0.1, 0.05)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, and </w:t>
      </w:r>
      <w:r>
        <w:rPr>
          <w:rFonts w:ascii="KaTeX_Math" w:hAnsi="KaTeX_Math" w:eastAsia="KaTeX_Math"/>
          <w:b w:val="0"/>
          <w:i/>
          <w:color w:val="000000"/>
          <w:sz w:val="29"/>
        </w:rPr>
        <w:t>σ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∼</w:t>
      </w:r>
    </w:p>
    <w:p>
      <w:pPr>
        <w:autoSpaceDN w:val="0"/>
        <w:autoSpaceDE w:val="0"/>
        <w:widowControl/>
        <w:spacing w:line="250" w:lineRule="auto" w:before="8" w:after="0"/>
        <w:ind w:left="164" w:right="0" w:firstLine="0"/>
        <w:jc w:val="left"/>
      </w:pP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HalfNormal(0.05) </w:t>
      </w:r>
      <w:r>
        <w:rPr>
          <w:rFonts w:ascii="Vazir" w:hAnsi="Vazir" w:eastAsia="Vazi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372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C.2 MCMC Diagnostics and Posterior Intervals</w:t>
      </w:r>
    </w:p>
    <w:p>
      <w:pPr>
        <w:autoSpaceDN w:val="0"/>
        <w:autoSpaceDE w:val="0"/>
        <w:widowControl/>
        <w:spacing w:line="240" w:lineRule="auto" w:before="372" w:after="4"/>
        <w:ind w:left="164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>Sampling was executed using the No-U-Turn Sampler (NUTS) with 4 chains,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513"/>
        <w:gridCol w:w="4513"/>
      </w:tblGrid>
      <w:tr>
        <w:trPr>
          <w:trHeight w:hRule="exact" w:val="774"/>
        </w:trPr>
        <w:tc>
          <w:tcPr>
            <w:tcW w:type="dxa" w:w="8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0" w:right="288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2,000 tuning steps, and 2,000 draw steps per chain. All parameters achieved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convergence with </w:t>
            </w: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R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 xml:space="preserve">^ 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 xml:space="preserve">&lt; 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 xml:space="preserve">1.01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. The 95% Highest Density Interval (HDI) for </w:t>
            </w: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β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scale</w:t>
            </w:r>
          </w:p>
        </w:tc>
      </w:tr>
      <w:tr>
        <w:trPr>
          <w:trHeight w:hRule="exact" w:val="400"/>
        </w:trPr>
        <w:tc>
          <w:tcPr>
            <w:tcW w:type="dxa" w:w="8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0" w:right="0" w:firstLine="0"/>
              <w:jc w:val="center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lies entirely below zero 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 xml:space="preserve">[−0.072, −0.028]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, while the 95% HDI for </w:t>
            </w:r>
            <w:r>
              <w:rPr>
                <w:rFonts w:ascii="KaTeX_Math" w:hAnsi="KaTeX_Math" w:eastAsia="KaTeX_Math"/>
                <w:b w:val="0"/>
                <w:i/>
                <w:color w:val="000000"/>
                <w:sz w:val="29"/>
              </w:rPr>
              <w:t>β</w:t>
            </w:r>
            <w:r>
              <w:rPr>
                <w:w w:val="101.63818359375001"/>
                <w:rFonts w:ascii="KaTeX_Main" w:hAnsi="KaTeX_Main" w:eastAsia="KaTeX_Main"/>
                <w:b w:val="0"/>
                <w:i w:val="0"/>
                <w:color w:val="000000"/>
                <w:sz w:val="20"/>
              </w:rPr>
              <w:t>complexity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 is</w:t>
            </w:r>
          </w:p>
        </w:tc>
      </w:tr>
      <w:tr>
        <w:trPr>
          <w:trHeight w:hRule="exact" w:val="672"/>
        </w:trPr>
        <w:tc>
          <w:tcPr>
            <w:tcW w:type="dxa" w:w="8696"/>
            <w:gridSpan w:val="2"/>
            <w:tcBorders>
              <w:bottom w:sz="12.0" w:val="single" w:color="#01010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0" w:right="0" w:firstLine="0"/>
              <w:jc w:val="left"/>
            </w:pP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 xml:space="preserve">positively bounded </w:t>
            </w:r>
            <w:r>
              <w:rPr>
                <w:rFonts w:ascii="KaTeX_Main" w:hAnsi="KaTeX_Main" w:eastAsia="KaTeX_Main"/>
                <w:b w:val="0"/>
                <w:i w:val="0"/>
                <w:color w:val="000000"/>
                <w:sz w:val="29"/>
              </w:rPr>
              <w:t xml:space="preserve">[0.045, 0.121] </w:t>
            </w:r>
            <w:r>
              <w:rPr>
                <w:rFonts w:ascii="Vazir" w:hAnsi="Vazir" w:eastAsia="Vazir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5" w:lineRule="auto" w:before="356" w:after="0"/>
        <w:ind w:left="164" w:right="1728" w:firstLine="0"/>
        <w:jc w:val="left"/>
      </w:pPr>
      <w:r>
        <w:rPr>
          <w:rFonts w:ascii="Vazir" w:hAnsi="Vazir" w:eastAsia="Vazir"/>
          <w:b/>
          <w:i w:val="0"/>
          <w:color w:val="000000"/>
          <w:sz w:val="40"/>
        </w:rPr>
        <w:t xml:space="preserve">Appendix D: Qualitative Case Studies of </w:t>
      </w:r>
      <w:r>
        <w:rPr>
          <w:rFonts w:ascii="Vazir" w:hAnsi="Vazir" w:eastAsia="Vazir"/>
          <w:b/>
          <w:i w:val="0"/>
          <w:color w:val="000000"/>
          <w:sz w:val="40"/>
        </w:rPr>
        <w:t>Collapse</w:t>
      </w:r>
    </w:p>
    <w:p>
      <w:pPr>
        <w:autoSpaceDN w:val="0"/>
        <w:autoSpaceDE w:val="0"/>
        <w:widowControl/>
        <w:spacing w:line="240" w:lineRule="auto" w:before="374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Case Study D.1: Semantic Looping (GSM8K Task)</w:t>
      </w:r>
    </w:p>
    <w:p>
      <w:pPr>
        <w:autoSpaceDN w:val="0"/>
        <w:autoSpaceDE w:val="0"/>
        <w:widowControl/>
        <w:spacing w:line="250" w:lineRule="auto" w:before="370" w:after="0"/>
        <w:ind w:left="618" w:right="0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• </w:t>
      </w:r>
      <w:r>
        <w:rPr>
          <w:rFonts w:ascii="Vazir" w:hAnsi="Vazir" w:eastAsia="Vazir"/>
          <w:b/>
          <w:i w:val="0"/>
          <w:color w:val="000000"/>
          <w:sz w:val="24"/>
        </w:rPr>
        <w:t>Generation 0: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"A farmer has 12 apples. He sells 4, leaving him with 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12 −</w:t>
      </w:r>
    </w:p>
    <w:p>
      <w:pPr>
        <w:autoSpaceDN w:val="0"/>
        <w:autoSpaceDE w:val="0"/>
        <w:widowControl/>
        <w:spacing w:line="252" w:lineRule="auto" w:before="8" w:after="0"/>
        <w:ind w:left="764" w:right="0" w:firstLine="0"/>
        <w:jc w:val="left"/>
      </w:pPr>
      <w:r>
        <w:rPr>
          <w:rFonts w:ascii="KaTeX_Main" w:hAnsi="KaTeX_Main" w:eastAsia="KaTeX_Main"/>
          <w:b w:val="0"/>
          <w:i w:val="0"/>
          <w:color w:val="000000"/>
          <w:sz w:val="29"/>
        </w:rPr>
        <w:t>4 = 8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apples. He then buys twice as many as he sold, which is 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2 × 4 = 8</w:t>
      </w:r>
    </w:p>
    <w:p>
      <w:pPr>
        <w:autoSpaceDN w:val="0"/>
        <w:tabs>
          <w:tab w:pos="764" w:val="left"/>
          <w:tab w:pos="3064" w:val="left"/>
          <w:tab w:pos="4386" w:val="left"/>
        </w:tabs>
        <w:autoSpaceDE w:val="0"/>
        <w:widowControl/>
        <w:spacing w:line="247" w:lineRule="auto" w:before="8" w:after="0"/>
        <w:ind w:left="618" w:right="288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apples. Total apples: 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8 + 8 = 16 </w:t>
      </w:r>
      <w:r>
        <w:rPr>
          <w:rFonts w:ascii="Vazir" w:hAnsi="Vazir" w:eastAsia="Vazir"/>
          <w:b w:val="0"/>
          <w:i w:val="0"/>
          <w:color w:val="000000"/>
          <w:sz w:val="24"/>
        </w:rPr>
        <w:t>. Therefore, the final answer is: 16."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• </w:t>
      </w:r>
      <w:r>
        <w:rPr>
          <w:rFonts w:ascii="Vazir" w:hAnsi="Vazir" w:eastAsia="Vazir"/>
          <w:b/>
          <w:i w:val="0"/>
          <w:color w:val="000000"/>
          <w:sz w:val="24"/>
        </w:rPr>
        <w:t>Generation 9: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"The farmer starts with 12. Sells 4. He has 8 remaining.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Twice the amount sold is 8. He has 8. Twice the amount sold is 8. He has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8. This maintains the count. Twice of 8 is 16. Sells 4. He has 8. [Repeats </w:t>
      </w:r>
      <w:r>
        <w:rPr>
          <w:rFonts w:ascii="Vazir" w:hAnsi="Vazir" w:eastAsia="Vazir"/>
          <w:b w:val="0"/>
          <w:i w:val="0"/>
          <w:color w:val="000000"/>
          <w:sz w:val="24"/>
        </w:rPr>
        <w:t>indefinitely]"</w:t>
      </w:r>
    </w:p>
    <w:p>
      <w:pPr>
        <w:autoSpaceDN w:val="0"/>
        <w:autoSpaceDE w:val="0"/>
        <w:widowControl/>
        <w:spacing w:line="240" w:lineRule="auto" w:before="370" w:after="0"/>
        <w:ind w:left="164" w:right="0" w:firstLine="0"/>
        <w:jc w:val="left"/>
      </w:pPr>
      <w:r>
        <w:rPr>
          <w:rFonts w:ascii="Vazir" w:hAnsi="Vazir" w:eastAsia="Vazir"/>
          <w:b/>
          <w:i w:val="0"/>
          <w:color w:val="000000"/>
          <w:sz w:val="36"/>
        </w:rPr>
        <w:t>Case Study D.2: Hallucinatory Drift (MATH Task)</w:t>
      </w:r>
    </w:p>
    <w:p>
      <w:pPr>
        <w:autoSpaceDN w:val="0"/>
        <w:tabs>
          <w:tab w:pos="764" w:val="left"/>
          <w:tab w:pos="938" w:val="left"/>
          <w:tab w:pos="1788" w:val="left"/>
          <w:tab w:pos="3304" w:val="left"/>
          <w:tab w:pos="3744" w:val="left"/>
          <w:tab w:pos="4490" w:val="left"/>
          <w:tab w:pos="4862" w:val="left"/>
          <w:tab w:pos="5662" w:val="left"/>
          <w:tab w:pos="5744" w:val="left"/>
          <w:tab w:pos="5760" w:val="left"/>
          <w:tab w:pos="5910" w:val="left"/>
          <w:tab w:pos="5934" w:val="left"/>
          <w:tab w:pos="6004" w:val="left"/>
          <w:tab w:pos="6382" w:val="left"/>
          <w:tab w:pos="6396" w:val="left"/>
          <w:tab w:pos="7598" w:val="left"/>
        </w:tabs>
        <w:autoSpaceDE w:val="0"/>
        <w:widowControl/>
        <w:spacing w:line="257" w:lineRule="auto" w:before="342" w:after="0"/>
        <w:ind w:left="618" w:right="144" w:firstLine="0"/>
        <w:jc w:val="left"/>
      </w:pPr>
      <w:r>
        <w:rPr>
          <w:rFonts w:ascii="Vazir" w:hAnsi="Vazir" w:eastAsia="Vazir"/>
          <w:b w:val="0"/>
          <w:i w:val="0"/>
          <w:color w:val="000000"/>
          <w:sz w:val="24"/>
        </w:rPr>
        <w:t xml:space="preserve">• </w:t>
      </w:r>
      <w:r>
        <w:rPr>
          <w:rFonts w:ascii="Vazir" w:hAnsi="Vazir" w:eastAsia="Vazir"/>
          <w:b/>
          <w:i w:val="0"/>
          <w:color w:val="000000"/>
          <w:sz w:val="24"/>
        </w:rPr>
        <w:t>Generation 0: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"Derivative of </w:t>
      </w:r>
      <w:r>
        <w:rPr>
          <w:rFonts w:ascii="KaTeX_Math" w:hAnsi="KaTeX_Math" w:eastAsia="KaTeX_Math"/>
          <w:b w:val="0"/>
          <w:i/>
          <w:color w:val="000000"/>
          <w:sz w:val="29"/>
        </w:rPr>
        <w:t>f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 =</w:t>
      </w:r>
      <w:r>
        <w:rPr>
          <w:rFonts w:ascii="KaTeX_Math" w:hAnsi="KaTeX_Math" w:eastAsia="KaTeX_Math"/>
          <w:b w:val="0"/>
          <w:i/>
          <w:color w:val="000000"/>
          <w:sz w:val="29"/>
        </w:rPr>
        <w:t xml:space="preserve"> 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ln(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) 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. Using product rule, </w:t>
      </w:r>
      <w:r>
        <w:br/>
      </w:r>
      <w:r>
        <w:rPr>
          <w:rFonts w:ascii="KaTeX_Math" w:hAnsi="KaTeX_Math" w:eastAsia="KaTeX_Math"/>
          <w:b w:val="0"/>
          <w:i/>
          <w:color w:val="000000"/>
          <w:sz w:val="29"/>
        </w:rPr>
        <w:t>f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 =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′</w:t>
      </w:r>
      <w:r>
        <w:tab/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2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 ln(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 +</w:t>
      </w:r>
      <w:r>
        <w:rPr>
          <w:rFonts w:ascii="KaTeX_Math" w:hAnsi="KaTeX_Math" w:eastAsia="KaTeX_Math"/>
          <w:b w:val="0"/>
          <w:i/>
          <w:color w:val="000000"/>
          <w:sz w:val="29"/>
        </w:rPr>
        <w:t xml:space="preserve"> 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(1/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) = 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 xml:space="preserve">2 </w:t>
      </w:r>
      <w:r>
        <w:tab/>
      </w:r>
      <w:r>
        <w:tab/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2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 ln(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 +</w:t>
      </w:r>
      <w:r>
        <w:rPr>
          <w:rFonts w:ascii="KaTeX_Math" w:hAnsi="KaTeX_Math" w:eastAsia="KaTeX_Math"/>
          <w:b w:val="0"/>
          <w:i/>
          <w:color w:val="000000"/>
          <w:sz w:val="29"/>
        </w:rPr>
        <w:t xml:space="preserve"> x </w:t>
      </w:r>
      <w:r>
        <w:rPr>
          <w:rFonts w:ascii="Vazir" w:hAnsi="Vazir" w:eastAsia="Vazir"/>
          <w:b w:val="0"/>
          <w:i w:val="0"/>
          <w:color w:val="000000"/>
          <w:sz w:val="24"/>
        </w:rPr>
        <w:t>."</w:t>
      </w:r>
      <w:r>
        <w:br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• </w:t>
      </w:r>
      <w:r>
        <w:rPr>
          <w:rFonts w:ascii="Vazir" w:hAnsi="Vazir" w:eastAsia="Vazir"/>
          <w:b/>
          <w:i w:val="0"/>
          <w:color w:val="000000"/>
          <w:sz w:val="24"/>
        </w:rPr>
        <w:t>Generation 12: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"By definition of the logarithmic identity, the derivative must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satisfy the identity boundary conditions. Thus, </w:t>
      </w:r>
      <w:r>
        <w:rPr>
          <w:rFonts w:ascii="KaTeX_Math" w:hAnsi="KaTeX_Math" w:eastAsia="KaTeX_Math"/>
          <w:b w:val="0"/>
          <w:i/>
          <w:color w:val="000000"/>
          <w:sz w:val="29"/>
        </w:rPr>
        <w:t>f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(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>′</w:t>
      </w:r>
      <w:r>
        <w:br/>
      </w:r>
      <w:r>
        <w:tab/>
      </w:r>
      <w:r>
        <w:tab/>
      </w:r>
      <w:r>
        <w:tab/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 must represent the </w:t>
      </w:r>
      <w:r>
        <w:rPr>
          <w:rFonts w:ascii="Vazir" w:hAnsi="Vazir" w:eastAsia="Vazir"/>
          <w:b w:val="0"/>
          <w:i w:val="0"/>
          <w:color w:val="000000"/>
          <w:sz w:val="24"/>
        </w:rPr>
        <w:t xml:space="preserve">integral path of the function, which equates to 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 xml:space="preserve">+ </w:t>
      </w:r>
      <w:r>
        <w:rPr>
          <w:w w:val="101.63818359375001"/>
          <w:rFonts w:ascii="KaTeX_Main" w:hAnsi="KaTeX_Main" w:eastAsia="KaTeX_Main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ln(</w:t>
      </w:r>
      <w:r>
        <w:rPr>
          <w:rFonts w:ascii="KaTeX_Math" w:hAnsi="KaTeX_Math" w:eastAsia="KaTeX_Math"/>
          <w:b w:val="0"/>
          <w:i/>
          <w:color w:val="000000"/>
          <w:sz w:val="29"/>
        </w:rPr>
        <w:t>x</w:t>
      </w:r>
      <w:r>
        <w:rPr>
          <w:rFonts w:ascii="KaTeX_Main" w:hAnsi="KaTeX_Main" w:eastAsia="KaTeX_Main"/>
          <w:b w:val="0"/>
          <w:i w:val="0"/>
          <w:color w:val="000000"/>
          <w:sz w:val="29"/>
        </w:rPr>
        <w:t>) +</w:t>
      </w:r>
      <w:r>
        <w:rPr>
          <w:rFonts w:ascii="KaTeX_Math" w:hAnsi="KaTeX_Math" w:eastAsia="KaTeX_Math"/>
          <w:b w:val="0"/>
          <w:i/>
          <w:color w:val="000000"/>
          <w:sz w:val="29"/>
        </w:rPr>
        <w:t xml:space="preserve"> C </w:t>
      </w:r>
      <w:r>
        <w:rPr>
          <w:rFonts w:ascii="Vazir" w:hAnsi="Vazir" w:eastAsia="Vazir"/>
          <w:b w:val="0"/>
          <w:i w:val="0"/>
          <w:color w:val="000000"/>
          <w:sz w:val="24"/>
        </w:rPr>
        <w:t>."</w:t>
      </w:r>
    </w:p>
    <w:sectPr w:rsidR="00FC693F" w:rsidRPr="0006063C" w:rsidSect="00034616">
      <w:pgSz w:w="11906" w:h="16838"/>
      <w:pgMar w:top="564" w:right="1440" w:bottom="102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