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52"/>
        </w:rPr>
        <w:t>APPENDICES AND QUESTIONNAIRES</w:t>
      </w:r>
    </w:p>
    <w:p>
      <w:pPr>
        <w:jc w:val="center"/>
      </w:pPr>
      <w:r>
        <w:rPr>
          <w:i/>
          <w:color w:val="444444"/>
          <w:sz w:val="26"/>
        </w:rPr>
        <w:t>Integrating Moral Values in the EFL Classroom: Teachers' Perceptions and Instructional Strategies</w:t>
      </w:r>
    </w:p>
    <w:p>
      <w:pPr>
        <w:jc w:val="center"/>
      </w:pPr>
      <w:r>
        <w:rPr>
          <w:b/>
          <w:color w:val="C9A227"/>
          <w:sz w:val="24"/>
        </w:rPr>
        <w:t>— Appendices A through H —</w:t>
      </w:r>
    </w:p>
    <w:p>
      <w:pPr>
        <w:spacing w:after="80"/>
        <w:jc w:val="center"/>
        <w:pBdr>
          <w:bottom w:val="single" w:sz="12" w:color="C9A227"/>
        </w:pBdr>
      </w:pPr>
      <w:r>
        <w:rPr>
          <w:b/>
          <w:color w:val="1F3A5F"/>
          <w:sz w:val="40"/>
        </w:rPr>
        <w:t>Appendix A: Teacher Questionnaire</w:t>
      </w:r>
    </w:p>
    <w:p>
      <w:pPr>
        <w:spacing w:after="120"/>
        <w:jc w:val="both"/>
      </w:pPr>
      <w:r>
        <w:rPr>
          <w:i/>
          <w:sz w:val="22"/>
        </w:rPr>
        <w:t>This questionnaire explores English as a Foreign Language (EFL) teachers' perceptions of, and strategies for, integrating moral values in the classroom. Responses are anonymous and used for research purposes only.</w:t>
      </w:r>
    </w:p>
    <w:p>
      <w:pPr>
        <w:spacing w:before="160" w:after="80"/>
      </w:pPr>
      <w:r>
        <w:rPr>
          <w:b/>
          <w:color w:val="1F3A5F"/>
          <w:sz w:val="25"/>
        </w:rPr>
        <w:t>Part A: General Perceptions</w:t>
      </w:r>
    </w:p>
    <w:p>
      <w:pPr>
        <w:spacing w:before="160" w:after="40"/>
      </w:pPr>
      <w:r>
        <w:rPr>
          <w:b/>
          <w:color w:val="1F3A5F"/>
          <w:sz w:val="22"/>
        </w:rPr>
        <w:t>1. To what extent do you believe that English language teachers are responsible for promoting moral values in their classes?</w:t>
      </w:r>
    </w:p>
    <w:p>
      <w:pPr>
        <w:spacing w:after="60"/>
      </w:pPr>
      <w:r>
        <w:t>☐  Not at all</w:t>
      </w:r>
    </w:p>
    <w:p>
      <w:pPr>
        <w:spacing w:after="60"/>
      </w:pPr>
      <w:r>
        <w:t>☐  Slightly</w:t>
      </w:r>
    </w:p>
    <w:p>
      <w:pPr>
        <w:spacing w:after="60"/>
      </w:pPr>
      <w:r>
        <w:t>☐  Moderately</w:t>
      </w:r>
    </w:p>
    <w:p>
      <w:pPr>
        <w:spacing w:after="60"/>
      </w:pPr>
      <w:r>
        <w:t>☐  Considerably</w:t>
      </w:r>
    </w:p>
    <w:p>
      <w:pPr>
        <w:spacing w:after="60"/>
      </w:pPr>
      <w:r>
        <w:t>☐  Fully responsible</w:t>
      </w:r>
    </w:p>
    <w:p>
      <w:pPr>
        <w:spacing w:before="160" w:after="40"/>
      </w:pPr>
      <w:r>
        <w:rPr>
          <w:b/>
          <w:color w:val="1F3A5F"/>
          <w:sz w:val="22"/>
        </w:rPr>
        <w:t>2. Which specific moral values (e.g., respect, honesty, empathy, global citizenship) do you consider most essential for the EFL classroom? (Select up to three.)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☐ Global citizenship</w:t>
            </w:r>
          </w:p>
        </w:tc>
        <w:tc>
          <w:tcPr>
            <w:tcW w:type="dxa" w:w="1814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☐ Empathy</w:t>
            </w:r>
          </w:p>
        </w:tc>
        <w:tc>
          <w:tcPr>
            <w:tcW w:type="dxa" w:w="1814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☐ Respect</w:t>
            </w:r>
          </w:p>
        </w:tc>
        <w:tc>
          <w:tcPr>
            <w:tcW w:type="dxa" w:w="1814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☐ Honesty</w:t>
            </w:r>
          </w:p>
        </w:tc>
        <w:tc>
          <w:tcPr>
            <w:tcW w:type="dxa" w:w="1814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☐ Responsibility</w:t>
            </w:r>
          </w:p>
        </w:tc>
      </w:tr>
    </w:tbl>
    <w:p>
      <w:pPr>
        <w:spacing w:after="40"/>
      </w:pPr>
    </w:p>
    <w:p>
      <w:pPr>
        <w:spacing w:after="60"/>
      </w:pPr>
      <w:r>
        <w:t>☐  Other (please specify): ______________________</w:t>
      </w:r>
    </w:p>
    <w:p>
      <w:pPr>
        <w:spacing w:before="160" w:after="40"/>
      </w:pPr>
      <w:r>
        <w:rPr>
          <w:b/>
          <w:color w:val="1F3A5F"/>
          <w:sz w:val="22"/>
        </w:rPr>
        <w:t>3. Do you feel that the official English curriculum provides enough guidance or space for integrating moral values?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☐ Yes, fully</w:t>
            </w:r>
          </w:p>
        </w:tc>
        <w:tc>
          <w:tcPr>
            <w:tcW w:type="dxa" w:w="3024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☐ Partly</w:t>
            </w:r>
          </w:p>
        </w:tc>
        <w:tc>
          <w:tcPr>
            <w:tcW w:type="dxa" w:w="3024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☐ No, not at all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1F3A5F"/>
          <w:sz w:val="25"/>
        </w:rPr>
        <w:t>Part B: Instructional Strategies</w:t>
      </w:r>
    </w:p>
    <w:p>
      <w:pPr>
        <w:spacing w:before="160" w:after="40"/>
      </w:pPr>
      <w:r>
        <w:rPr>
          <w:b/>
          <w:color w:val="1F3A5F"/>
          <w:sz w:val="22"/>
        </w:rPr>
        <w:t>4. How do you practically integrate moral values into your English lessons? Please provide a recent example.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spacing w:before="160" w:after="40"/>
      </w:pPr>
      <w:r>
        <w:rPr>
          <w:b/>
          <w:color w:val="1F3A5F"/>
          <w:sz w:val="22"/>
        </w:rPr>
        <w:t>5. Which teaching techniques do you find most effective for moral values education? (Rank or select.)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☐ Role-playing</w:t>
            </w:r>
          </w:p>
        </w:tc>
        <w:tc>
          <w:tcPr>
            <w:tcW w:type="dxa" w:w="1814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☐ Storytelling</w:t>
            </w:r>
          </w:p>
        </w:tc>
        <w:tc>
          <w:tcPr>
            <w:tcW w:type="dxa" w:w="1814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☐ Debates</w:t>
            </w:r>
          </w:p>
        </w:tc>
        <w:tc>
          <w:tcPr>
            <w:tcW w:type="dxa" w:w="1814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☐ Group work</w:t>
            </w:r>
          </w:p>
        </w:tc>
        <w:tc>
          <w:tcPr>
            <w:tcW w:type="dxa" w:w="1814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☐ Project work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1F3A5F"/>
          <w:sz w:val="22"/>
        </w:rPr>
        <w:t>6. How do you select materials (texts, videos, news articles) to ensure they carry the intended moral message?</w:t>
      </w:r>
    </w:p>
    <w:p>
      <w:r>
        <w:t>_______________________________________________________________________________________________</w:t>
      </w:r>
    </w:p>
    <w:p>
      <w:pPr>
        <w:spacing w:before="160" w:after="40"/>
      </w:pPr>
      <w:r>
        <w:rPr>
          <w:b/>
          <w:color w:val="1F3A5F"/>
          <w:sz w:val="22"/>
        </w:rPr>
        <w:t>7. What are the main obstacles you face when teaching moral values in an EFL setting?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☐ Time constraints</w:t>
            </w:r>
          </w:p>
        </w:tc>
        <w:tc>
          <w:tcPr>
            <w:tcW w:type="dxa" w:w="1814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☐ Lack of training</w:t>
            </w:r>
          </w:p>
        </w:tc>
        <w:tc>
          <w:tcPr>
            <w:tcW w:type="dxa" w:w="1814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☐ Student resistance</w:t>
            </w:r>
          </w:p>
        </w:tc>
        <w:tc>
          <w:tcPr>
            <w:tcW w:type="dxa" w:w="1814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☐ Curriculum limits</w:t>
            </w:r>
          </w:p>
        </w:tc>
        <w:tc>
          <w:tcPr>
            <w:tcW w:type="dxa" w:w="1814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☐ Other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/>
        <w:jc w:val="center"/>
        <w:pBdr>
          <w:bottom w:val="single" w:sz="12" w:color="C9A227"/>
        </w:pBdr>
      </w:pPr>
      <w:r>
        <w:rPr>
          <w:b/>
          <w:color w:val="1F3A5F"/>
          <w:sz w:val="40"/>
        </w:rPr>
        <w:t>Appendix B: Student Questionnaire and Narrative Task</w:t>
      </w:r>
    </w:p>
    <w:p>
      <w:pPr>
        <w:spacing w:after="120"/>
        <w:jc w:val="both"/>
      </w:pPr>
      <w:r>
        <w:rPr>
          <w:i/>
          <w:sz w:val="22"/>
        </w:rPr>
        <w:t>This instrument is administered to lower-secondary EFL students in a simplified, age-appropriate format.</w:t>
      </w:r>
    </w:p>
    <w:p>
      <w:pPr>
        <w:spacing w:before="160" w:after="40"/>
      </w:pPr>
      <w:r>
        <w:rPr>
          <w:b/>
          <w:color w:val="1F3A5F"/>
          <w:sz w:val="22"/>
        </w:rPr>
        <w:t>1. Can you remember a specific activity or story in your English class that made you think about a moral value (like honesty, kindness, or respect)? What happened?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spacing w:before="160" w:after="40"/>
      </w:pPr>
      <w:r>
        <w:rPr>
          <w:b/>
          <w:color w:val="1F3A5F"/>
          <w:sz w:val="22"/>
        </w:rPr>
        <w:t>2. Think about the stories you have read in English class. Which ones did you enjoy most, and what did they teach you?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1F3A5F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The Bear and Two Friends</w:t>
            </w:r>
          </w:p>
        </w:tc>
        <w:tc>
          <w:tcPr>
            <w:tcW w:type="dxa" w:w="2268"/>
            <w:shd w:val="clear" w:fill="1F3A5F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The Golden Eggs</w:t>
            </w:r>
          </w:p>
        </w:tc>
        <w:tc>
          <w:tcPr>
            <w:tcW w:type="dxa" w:w="2268"/>
            <w:shd w:val="clear" w:fill="1F3A5F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The Boy Who Cried Wolf</w:t>
            </w:r>
          </w:p>
        </w:tc>
        <w:tc>
          <w:tcPr>
            <w:tcW w:type="dxa" w:w="2268"/>
            <w:shd w:val="clear" w:fill="1F3A5F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The Honest Woodcutter</w:t>
            </w:r>
          </w:p>
        </w:tc>
      </w:tr>
      <w:tr>
        <w:tc>
          <w:tcPr>
            <w:tcW w:type="dxa" w:w="2268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19"/>
              </w:rPr>
              <w:t>☐  Enjoyed it</w:t>
            </w:r>
          </w:p>
        </w:tc>
        <w:tc>
          <w:tcPr>
            <w:tcW w:type="dxa" w:w="2268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19"/>
              </w:rPr>
              <w:t>☐  Enjoyed it</w:t>
            </w:r>
          </w:p>
        </w:tc>
        <w:tc>
          <w:tcPr>
            <w:tcW w:type="dxa" w:w="2268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19"/>
              </w:rPr>
              <w:t>☐  Enjoyed it</w:t>
            </w:r>
          </w:p>
        </w:tc>
        <w:tc>
          <w:tcPr>
            <w:tcW w:type="dxa" w:w="2268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19"/>
              </w:rPr>
              <w:t>☐  Enjoyed it</w:t>
            </w:r>
          </w:p>
        </w:tc>
      </w:tr>
    </w:tbl>
    <w:p/>
    <w:p>
      <w:pPr>
        <w:spacing w:before="160" w:after="40"/>
      </w:pPr>
      <w:r>
        <w:rPr>
          <w:b/>
          <w:color w:val="1F3A5F"/>
          <w:sz w:val="22"/>
        </w:rPr>
        <w:t>3. Do you think learning English helps you understand different perspectives and values from other cultures?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☐ Yes</w:t>
            </w:r>
          </w:p>
        </w:tc>
        <w:tc>
          <w:tcPr>
            <w:tcW w:type="dxa" w:w="3024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☐ Not sure</w:t>
            </w:r>
          </w:p>
        </w:tc>
        <w:tc>
          <w:tcPr>
            <w:tcW w:type="dxa" w:w="3024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☐ No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1F3A5F"/>
          <w:sz w:val="22"/>
        </w:rPr>
        <w:t>4. Do you prefer stories with a clear moral lesson, or stories that let you decide what is right or wrong?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☐ Clear moral lesson</w:t>
            </w:r>
          </w:p>
        </w:tc>
        <w:tc>
          <w:tcPr>
            <w:tcW w:type="dxa" w:w="3024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☐ I decide</w:t>
            </w:r>
          </w:p>
        </w:tc>
        <w:tc>
          <w:tcPr>
            <w:tcW w:type="dxa" w:w="3024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☐ Both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1F3A5F"/>
          <w:sz w:val="25"/>
        </w:rPr>
        <w:t>Narrative Task</w:t>
      </w:r>
    </w:p>
    <w:p>
      <w:pPr>
        <w:spacing w:after="120"/>
        <w:jc w:val="both"/>
      </w:pPr>
      <w:r>
        <w:rPr>
          <w:i w:val="0"/>
          <w:sz w:val="22"/>
        </w:rPr>
        <w:t>Write a short story (8–12 sentences) about a time when someone had to make an honest or kind choice. You may use one of the following prompts:</w:t>
      </w:r>
    </w:p>
    <w:p>
      <w:pPr>
        <w:spacing w:after="60"/>
      </w:pPr>
      <w:r>
        <w:t>☐  The Driving Test</w:t>
      </w:r>
    </w:p>
    <w:p>
      <w:pPr>
        <w:spacing w:after="60"/>
      </w:pPr>
      <w:r>
        <w:t>☐  A Lost Wallet</w:t>
      </w:r>
    </w:p>
    <w:p>
      <w:pPr>
        <w:spacing w:after="60"/>
      </w:pPr>
      <w:r>
        <w:t>☐  The Team Captain's Decision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br w:type="page"/>
      </w:r>
    </w:p>
    <w:p>
      <w:pPr>
        <w:spacing w:after="80"/>
        <w:jc w:val="center"/>
        <w:pBdr>
          <w:bottom w:val="single" w:sz="12" w:color="C9A227"/>
        </w:pBdr>
      </w:pPr>
      <w:r>
        <w:rPr>
          <w:b/>
          <w:color w:val="1F3A5F"/>
          <w:sz w:val="40"/>
        </w:rPr>
        <w:t>Appendix C: Coding Framework</w:t>
      </w:r>
    </w:p>
    <w:p>
      <w:pPr>
        <w:spacing w:after="120"/>
        <w:jc w:val="both"/>
      </w:pPr>
      <w:r>
        <w:rPr>
          <w:i w:val="0"/>
          <w:sz w:val="22"/>
        </w:rPr>
        <w:t>Thematic coding framework used for analysis of teacher and student responses.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016"/>
            <w:shd w:val="clear" w:fill="1F3A5F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1"/>
              </w:rPr>
              <w:t>Axis</w:t>
            </w:r>
          </w:p>
        </w:tc>
        <w:tc>
          <w:tcPr>
            <w:tcW w:type="dxa" w:w="5184"/>
            <w:shd w:val="clear" w:fill="1F3A5F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1"/>
              </w:rPr>
              <w:t>Suggested Codes</w:t>
            </w:r>
          </w:p>
        </w:tc>
        <w:tc>
          <w:tcPr>
            <w:tcW w:type="dxa" w:w="2160"/>
            <w:shd w:val="clear" w:fill="1F3A5F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1"/>
              </w:rPr>
              <w:t>Data Source</w:t>
            </w:r>
          </w:p>
        </w:tc>
      </w:tr>
      <w:tr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Perceptions</w:t>
            </w:r>
          </w:p>
        </w:tc>
        <w:tc>
          <w:tcPr>
            <w:tcW w:type="dxa" w:w="5184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Responsibility; Professional Duty; Curriculum Gap; Cultural Necessity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Teachers (Q1–Q3)</w:t>
            </w:r>
          </w:p>
        </w:tc>
      </w:tr>
      <w:tr>
        <w:tc>
          <w:tcPr>
            <w:tcW w:type="dxa" w:w="2016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Strategies</w:t>
            </w:r>
          </w:p>
        </w:tc>
        <w:tc>
          <w:tcPr>
            <w:tcW w:type="dxa" w:w="5184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Storytelling; Role-play; Debate; Group Work; Materials Selection</w:t>
            </w:r>
          </w:p>
        </w:tc>
        <w:tc>
          <w:tcPr>
            <w:tcW w:type="dxa" w:w="2160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Teachers (Q4–Q6)</w:t>
            </w:r>
          </w:p>
        </w:tc>
      </w:tr>
      <w:tr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Constraints</w:t>
            </w:r>
          </w:p>
        </w:tc>
        <w:tc>
          <w:tcPr>
            <w:tcW w:type="dxa" w:w="5184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Time Constraints; Lack of Training; Student Resistance; Curriculum Limits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Teachers (Q7)</w:t>
            </w:r>
          </w:p>
        </w:tc>
      </w:tr>
      <w:tr>
        <w:tc>
          <w:tcPr>
            <w:tcW w:type="dxa" w:w="2016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Student Experience</w:t>
            </w:r>
          </w:p>
        </w:tc>
        <w:tc>
          <w:tcPr>
            <w:tcW w:type="dxa" w:w="5184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Moral Awareness; Story Recall; Perspective Taking; Cultural Curiosity</w:t>
            </w:r>
          </w:p>
        </w:tc>
        <w:tc>
          <w:tcPr>
            <w:tcW w:type="dxa" w:w="2160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Students (Q1–Q4)</w:t>
            </w:r>
          </w:p>
        </w:tc>
      </w:tr>
      <w:tr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Narrative Competence</w:t>
            </w:r>
          </w:p>
        </w:tc>
        <w:tc>
          <w:tcPr>
            <w:tcW w:type="dxa" w:w="5184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Moral Reasoning; Perspective-Taking; Empathy Expression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Narrative Task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/>
        <w:jc w:val="center"/>
        <w:pBdr>
          <w:bottom w:val="single" w:sz="12" w:color="C9A227"/>
        </w:pBdr>
      </w:pPr>
      <w:r>
        <w:rPr>
          <w:b/>
          <w:color w:val="1F3A5F"/>
          <w:sz w:val="40"/>
        </w:rPr>
        <w:t>Appendix D: Statistical Procedure</w:t>
      </w:r>
    </w:p>
    <w:p>
      <w:pPr>
        <w:spacing w:after="120"/>
        <w:jc w:val="both"/>
      </w:pPr>
      <w:r>
        <w:rPr>
          <w:i w:val="0"/>
          <w:sz w:val="22"/>
        </w:rPr>
        <w:t>The following procedure was applied to questionnaire data prior to qualitative thematic analysis.</w:t>
      </w:r>
    </w:p>
    <w:p>
      <w:pPr>
        <w:pStyle w:val="ListNumber"/>
        <w:spacing w:after="60"/>
      </w:pPr>
      <w:r>
        <w:t>Data screening and cleaning (removal of incomplete or duplicate responses).</w:t>
      </w:r>
    </w:p>
    <w:p>
      <w:pPr>
        <w:pStyle w:val="ListNumber"/>
        <w:spacing w:after="60"/>
      </w:pPr>
      <w:r>
        <w:t>Descriptive statistics: frequencies and percentages for all categorical items (reported in Appendices E and F).</w:t>
      </w:r>
    </w:p>
    <w:p>
      <w:pPr>
        <w:pStyle w:val="ListNumber"/>
        <w:spacing w:after="60"/>
      </w:pPr>
      <w:r>
        <w:t>Reliability check via inter-coder agreement on a 20% random subsample (Cohen's κ ≥ .80 required).</w:t>
      </w:r>
    </w:p>
    <w:p>
      <w:pPr>
        <w:pStyle w:val="ListNumber"/>
        <w:spacing w:after="60"/>
      </w:pPr>
      <w:r>
        <w:t>Percentages reported to the nearest whole number; N = 20 teacher participants.</w:t>
      </w:r>
    </w:p>
    <w:p>
      <w:pPr>
        <w:pStyle w:val="ListNumber"/>
        <w:spacing w:after="60"/>
      </w:pPr>
      <w:r>
        <w:t>Thematic analysis following Braun &amp; Clarke's (2006) six-phase procedure.</w:t>
      </w:r>
    </w:p>
    <w:p>
      <w:r>
        <w:br w:type="page"/>
      </w:r>
    </w:p>
    <w:p>
      <w:pPr>
        <w:spacing w:after="80"/>
        <w:jc w:val="center"/>
        <w:pBdr>
          <w:bottom w:val="single" w:sz="12" w:color="C9A227"/>
        </w:pBdr>
      </w:pPr>
      <w:r>
        <w:rPr>
          <w:b/>
          <w:color w:val="1F3A5F"/>
          <w:sz w:val="40"/>
        </w:rPr>
        <w:t>Appendix E: Teacher Response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736"/>
            <w:shd w:val="clear" w:fill="1F3A5F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1"/>
              </w:rPr>
              <w:t>Item</w:t>
            </w:r>
          </w:p>
        </w:tc>
        <w:tc>
          <w:tcPr>
            <w:tcW w:type="dxa" w:w="3456"/>
            <w:shd w:val="clear" w:fill="1F3A5F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1"/>
              </w:rPr>
              <w:t>Response Option</w:t>
            </w:r>
          </w:p>
        </w:tc>
        <w:tc>
          <w:tcPr>
            <w:tcW w:type="dxa" w:w="1296"/>
            <w:shd w:val="clear" w:fill="1F3A5F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1"/>
              </w:rPr>
              <w:t>Frequency</w:t>
            </w:r>
          </w:p>
        </w:tc>
        <w:tc>
          <w:tcPr>
            <w:tcW w:type="dxa" w:w="1440"/>
            <w:shd w:val="clear" w:fill="1F3A5F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1"/>
              </w:rPr>
              <w:t>Percentage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Q1 Teacher responsibility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Fully / considerably responsible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70%</w:t>
            </w:r>
          </w:p>
        </w:tc>
      </w:tr>
      <w:tr>
        <w:tc>
          <w:tcPr>
            <w:tcW w:type="dxa" w:w="2736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Q2 Essential value</w:t>
            </w:r>
          </w:p>
        </w:tc>
        <w:tc>
          <w:tcPr>
            <w:tcW w:type="dxa" w:w="3456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Global citizenship</w:t>
            </w:r>
          </w:p>
        </w:tc>
        <w:tc>
          <w:tcPr>
            <w:tcW w:type="dxa" w:w="1296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1440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70%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Q2 Essential value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Empathy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15%</w:t>
            </w:r>
          </w:p>
        </w:tc>
      </w:tr>
      <w:tr>
        <w:tc>
          <w:tcPr>
            <w:tcW w:type="dxa" w:w="2736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Q2 Essential value</w:t>
            </w:r>
          </w:p>
        </w:tc>
        <w:tc>
          <w:tcPr>
            <w:tcW w:type="dxa" w:w="3456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Respect</w:t>
            </w:r>
          </w:p>
        </w:tc>
        <w:tc>
          <w:tcPr>
            <w:tcW w:type="dxa" w:w="1296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440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10%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Q2 Essential value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Honesty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5%</w:t>
            </w:r>
          </w:p>
        </w:tc>
      </w:tr>
      <w:tr>
        <w:tc>
          <w:tcPr>
            <w:tcW w:type="dxa" w:w="2736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Q3 Curriculum guidance</w:t>
            </w:r>
          </w:p>
        </w:tc>
        <w:tc>
          <w:tcPr>
            <w:tcW w:type="dxa" w:w="3456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No (insufficient guidance)</w:t>
            </w:r>
          </w:p>
        </w:tc>
        <w:tc>
          <w:tcPr>
            <w:tcW w:type="dxa" w:w="1296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1440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80%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Q3 Curriculum guidance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Yes (sufficient guidance)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20%</w:t>
            </w:r>
          </w:p>
        </w:tc>
      </w:tr>
      <w:tr>
        <w:tc>
          <w:tcPr>
            <w:tcW w:type="dxa" w:w="2736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Q5 Effective technique</w:t>
            </w:r>
          </w:p>
        </w:tc>
        <w:tc>
          <w:tcPr>
            <w:tcW w:type="dxa" w:w="3456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Debates</w:t>
            </w:r>
          </w:p>
        </w:tc>
        <w:tc>
          <w:tcPr>
            <w:tcW w:type="dxa" w:w="1296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440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45%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Q5 Effective technique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Storytelling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30%</w:t>
            </w:r>
          </w:p>
        </w:tc>
      </w:tr>
      <w:tr>
        <w:tc>
          <w:tcPr>
            <w:tcW w:type="dxa" w:w="2736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Q5 Effective technique</w:t>
            </w:r>
          </w:p>
        </w:tc>
        <w:tc>
          <w:tcPr>
            <w:tcW w:type="dxa" w:w="3456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Role-playing</w:t>
            </w:r>
          </w:p>
        </w:tc>
        <w:tc>
          <w:tcPr>
            <w:tcW w:type="dxa" w:w="1296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15%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Q5 Effective technique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Group work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10%</w:t>
            </w:r>
          </w:p>
        </w:tc>
      </w:tr>
      <w:tr>
        <w:tc>
          <w:tcPr>
            <w:tcW w:type="dxa" w:w="2736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Q7 Main obstacle</w:t>
            </w:r>
          </w:p>
        </w:tc>
        <w:tc>
          <w:tcPr>
            <w:tcW w:type="dxa" w:w="3456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Student resistance</w:t>
            </w:r>
          </w:p>
        </w:tc>
        <w:tc>
          <w:tcPr>
            <w:tcW w:type="dxa" w:w="1296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440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50%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Q7 Main obstacle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Time constraints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30%</w:t>
            </w:r>
          </w:p>
        </w:tc>
      </w:tr>
      <w:tr>
        <w:tc>
          <w:tcPr>
            <w:tcW w:type="dxa" w:w="2736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Q7 Main obstacle</w:t>
            </w:r>
          </w:p>
        </w:tc>
        <w:tc>
          <w:tcPr>
            <w:tcW w:type="dxa" w:w="3456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Lack of training</w:t>
            </w:r>
          </w:p>
        </w:tc>
        <w:tc>
          <w:tcPr>
            <w:tcW w:type="dxa" w:w="1296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20%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/>
        <w:jc w:val="center"/>
        <w:pBdr>
          <w:bottom w:val="single" w:sz="12" w:color="C9A227"/>
        </w:pBdr>
      </w:pPr>
      <w:r>
        <w:rPr>
          <w:b/>
          <w:color w:val="1F3A5F"/>
          <w:sz w:val="40"/>
        </w:rPr>
        <w:t>Appendix F: Student Response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736"/>
            <w:shd w:val="clear" w:fill="1F3A5F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1"/>
              </w:rPr>
              <w:t>Item</w:t>
            </w:r>
          </w:p>
        </w:tc>
        <w:tc>
          <w:tcPr>
            <w:tcW w:type="dxa" w:w="3456"/>
            <w:shd w:val="clear" w:fill="1F3A5F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1"/>
              </w:rPr>
              <w:t>Response Option</w:t>
            </w:r>
          </w:p>
        </w:tc>
        <w:tc>
          <w:tcPr>
            <w:tcW w:type="dxa" w:w="1296"/>
            <w:shd w:val="clear" w:fill="1F3A5F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1"/>
              </w:rPr>
              <w:t>Frequency</w:t>
            </w:r>
          </w:p>
        </w:tc>
        <w:tc>
          <w:tcPr>
            <w:tcW w:type="dxa" w:w="1440"/>
            <w:shd w:val="clear" w:fill="1F3A5F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1"/>
              </w:rPr>
              <w:t>Percentage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Story recall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Could recall a story with a moral message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85%</w:t>
            </w:r>
          </w:p>
        </w:tc>
      </w:tr>
      <w:tr>
        <w:tc>
          <w:tcPr>
            <w:tcW w:type="dxa" w:w="2736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Story recall</w:t>
            </w:r>
          </w:p>
        </w:tc>
        <w:tc>
          <w:tcPr>
            <w:tcW w:type="dxa" w:w="3456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Could not recall a specific story</w:t>
            </w:r>
          </w:p>
        </w:tc>
        <w:tc>
          <w:tcPr>
            <w:tcW w:type="dxa" w:w="1296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15%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Most-enjoyed story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The Boy Who Cried Wolf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30%</w:t>
            </w:r>
          </w:p>
        </w:tc>
      </w:tr>
      <w:tr>
        <w:tc>
          <w:tcPr>
            <w:tcW w:type="dxa" w:w="2736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Most-enjoyed story</w:t>
            </w:r>
          </w:p>
        </w:tc>
        <w:tc>
          <w:tcPr>
            <w:tcW w:type="dxa" w:w="3456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The Honest Woodcutter</w:t>
            </w:r>
          </w:p>
        </w:tc>
        <w:tc>
          <w:tcPr>
            <w:tcW w:type="dxa" w:w="1296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25%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Most-enjoyed story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The Golden Eggs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20%</w:t>
            </w:r>
          </w:p>
        </w:tc>
      </w:tr>
      <w:tr>
        <w:tc>
          <w:tcPr>
            <w:tcW w:type="dxa" w:w="2736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Most-enjoyed story</w:t>
            </w:r>
          </w:p>
        </w:tc>
        <w:tc>
          <w:tcPr>
            <w:tcW w:type="dxa" w:w="3456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The Bear and Two Friends</w:t>
            </w:r>
          </w:p>
        </w:tc>
        <w:tc>
          <w:tcPr>
            <w:tcW w:type="dxa" w:w="1296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15%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Most-enjoyed story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Other / none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10%</w:t>
            </w:r>
          </w:p>
        </w:tc>
      </w:tr>
      <w:tr>
        <w:tc>
          <w:tcPr>
            <w:tcW w:type="dxa" w:w="2736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Cultural perspective</w:t>
            </w:r>
          </w:p>
        </w:tc>
        <w:tc>
          <w:tcPr>
            <w:tcW w:type="dxa" w:w="3456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English helps understand other values</w:t>
            </w:r>
          </w:p>
        </w:tc>
        <w:tc>
          <w:tcPr>
            <w:tcW w:type="dxa" w:w="1296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440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75%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Cultural perspective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Not sure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20%</w:t>
            </w:r>
          </w:p>
        </w:tc>
      </w:tr>
      <w:tr>
        <w:tc>
          <w:tcPr>
            <w:tcW w:type="dxa" w:w="2736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Cultural perspective</w:t>
            </w:r>
          </w:p>
        </w:tc>
        <w:tc>
          <w:tcPr>
            <w:tcW w:type="dxa" w:w="3456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No</w:t>
            </w:r>
          </w:p>
        </w:tc>
        <w:tc>
          <w:tcPr>
            <w:tcW w:type="dxa" w:w="1296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440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5%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Story preference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Stories with a clear moral lesson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60%</w:t>
            </w:r>
          </w:p>
        </w:tc>
      </w:tr>
      <w:tr>
        <w:tc>
          <w:tcPr>
            <w:tcW w:type="dxa" w:w="2736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Story preference</w:t>
            </w:r>
          </w:p>
        </w:tc>
        <w:tc>
          <w:tcPr>
            <w:tcW w:type="dxa" w:w="3456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Student decides what is right</w:t>
            </w:r>
          </w:p>
        </w:tc>
        <w:tc>
          <w:tcPr>
            <w:tcW w:type="dxa" w:w="1296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25%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Story preference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Both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15%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/>
        <w:jc w:val="center"/>
        <w:pBdr>
          <w:bottom w:val="single" w:sz="12" w:color="C9A227"/>
        </w:pBdr>
      </w:pPr>
      <w:r>
        <w:rPr>
          <w:b/>
          <w:color w:val="1F3A5F"/>
          <w:sz w:val="40"/>
        </w:rPr>
        <w:t>Appendix G: Interpretation Framework</w:t>
      </w:r>
    </w:p>
    <w:p>
      <w:pPr>
        <w:spacing w:after="120"/>
        <w:jc w:val="both"/>
      </w:pPr>
      <w:r>
        <w:rPr>
          <w:i w:val="0"/>
          <w:sz w:val="22"/>
        </w:rPr>
        <w:t>The following criteria guided interpretation of quantitative and qualitative findings in relation to the research questions.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1F3A5F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1"/>
              </w:rPr>
              <w:t>Finding Pattern</w:t>
            </w:r>
          </w:p>
        </w:tc>
        <w:tc>
          <w:tcPr>
            <w:tcW w:type="dxa" w:w="3168"/>
            <w:shd w:val="clear" w:fill="1F3A5F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1"/>
              </w:rPr>
              <w:t>Interpretation</w:t>
            </w:r>
          </w:p>
        </w:tc>
        <w:tc>
          <w:tcPr>
            <w:tcW w:type="dxa" w:w="3024"/>
            <w:shd w:val="clear" w:fill="1F3A5F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1"/>
              </w:rPr>
              <w:t>Implication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High consensus (≥70%) on an item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Strong shared perception among participants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Prioritize in teacher-training recommendations</w:t>
            </w:r>
          </w:p>
        </w:tc>
      </w:tr>
      <w:tr>
        <w:tc>
          <w:tcPr>
            <w:tcW w:type="dxa" w:w="3024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Moderate consensus (40–69%)</w:t>
            </w:r>
          </w:p>
        </w:tc>
        <w:tc>
          <w:tcPr>
            <w:tcW w:type="dxa" w:w="3168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Dominant tendency with notable minority views</w:t>
            </w:r>
          </w:p>
        </w:tc>
        <w:tc>
          <w:tcPr>
            <w:tcW w:type="dxa" w:w="3024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Discuss as primary theme with variant sub-codes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Low consensus (&lt;40%)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Divergent or context-dependent practice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Report as emerging theme; recommend further study</w:t>
            </w:r>
          </w:p>
        </w:tc>
      </w:tr>
      <w:tr>
        <w:tc>
          <w:tcPr>
            <w:tcW w:type="dxa" w:w="3024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Gap between perceived importance and practice</w:t>
            </w:r>
          </w:p>
        </w:tc>
        <w:tc>
          <w:tcPr>
            <w:tcW w:type="dxa" w:w="3168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Curriculum or training deficit</w:t>
            </w:r>
          </w:p>
        </w:tc>
        <w:tc>
          <w:tcPr>
            <w:tcW w:type="dxa" w:w="3024"/>
            <w:shd w:val="clear" w:fill="F2F2F2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Link findings to policy recommendations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Convergence of student and teacher data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Triangulated validity of theme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b w:val="0"/>
                <w:sz w:val="20"/>
              </w:rPr>
              <w:t>Strengthen credibility of conclusions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/>
        <w:jc w:val="center"/>
        <w:pBdr>
          <w:bottom w:val="single" w:sz="12" w:color="C9A227"/>
        </w:pBdr>
      </w:pPr>
      <w:r>
        <w:rPr>
          <w:b/>
          <w:color w:val="1F3A5F"/>
          <w:sz w:val="40"/>
        </w:rPr>
        <w:t>Appendix H: Ethical Statement</w:t>
      </w:r>
    </w:p>
    <w:p>
      <w:pPr>
        <w:spacing w:after="60"/>
      </w:pPr>
      <w:r>
        <w:t>☐  Participation was voluntary and informed consent was obtained from all teacher participants.</w:t>
      </w:r>
    </w:p>
    <w:p>
      <w:pPr>
        <w:spacing w:after="60"/>
      </w:pPr>
      <w:r>
        <w:t>☐  Parental consent and student assent were obtained before administering the student questionnaire and narrative task.</w:t>
      </w:r>
    </w:p>
    <w:p>
      <w:pPr>
        <w:spacing w:after="60"/>
      </w:pPr>
      <w:r>
        <w:t>☐  No identifying information was collected; all data were anonymized prior to analysis.</w:t>
      </w:r>
    </w:p>
    <w:p>
      <w:pPr>
        <w:spacing w:after="60"/>
      </w:pPr>
      <w:r>
        <w:t>☐  Participants were informed of their right to withdraw at any time without penalty.</w:t>
      </w:r>
    </w:p>
    <w:p>
      <w:pPr>
        <w:spacing w:after="60"/>
      </w:pPr>
      <w:r>
        <w:t>☐  Data were stored securely and accessible only to the research team.</w:t>
      </w:r>
    </w:p>
    <w:p>
      <w:pPr>
        <w:spacing w:after="60"/>
      </w:pPr>
      <w:r>
        <w:t>☐  The study protocol was reviewed and approved by the relevant institutional ethics committee.</w:t>
      </w:r>
    </w:p>
    <w:p>
      <w:pPr>
        <w:spacing w:after="120"/>
        <w:jc w:val="both"/>
      </w:pPr>
      <w:r>
        <w:rPr>
          <w:i/>
          <w:sz w:val="22"/>
        </w:rPr>
        <w:t>Declaration: The researcher declares no conflict of interest regarding this study.</w:t>
      </w:r>
    </w:p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