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for Manuscript</w:t>
      </w:r>
    </w:p>
    <w:p>
      <w:pPr>
        <w:pStyle w:val="Heading2"/>
      </w:pPr>
      <w:r>
        <w:t>Table 1. Participant Distribution by Proficiency Level and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ADFF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Table 2. 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SD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8.60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A2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10.50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12.10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10.80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14.90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16.10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Pre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ADFF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17.80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/>
    <w:p>
      <w:pPr>
        <w:pStyle w:val="Heading2"/>
      </w:pPr>
      <w:r>
        <w:t>Table 3. Standardized Academic Writing Rubric (SAWR)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Task Achievement</w:t>
            </w:r>
          </w:p>
        </w:tc>
        <w:tc>
          <w:tcPr>
            <w:tcW w:type="dxa" w:w="2160"/>
          </w:tcPr>
          <w:p>
            <w:r>
              <w:t>Beginning</w:t>
            </w:r>
          </w:p>
        </w:tc>
        <w:tc>
          <w:tcPr>
            <w:tcW w:type="dxa" w:w="2160"/>
          </w:tcPr>
          <w:p>
            <w:r>
              <w:t>Developing</w:t>
            </w:r>
          </w:p>
        </w:tc>
        <w:tc>
          <w:tcPr>
            <w:tcW w:type="dxa" w:w="2160"/>
          </w:tcPr>
          <w:p>
            <w:r>
              <w:t>Proficient</w:t>
            </w:r>
          </w:p>
        </w:tc>
      </w:tr>
      <w:tr>
        <w:tc>
          <w:tcPr>
            <w:tcW w:type="dxa" w:w="2160"/>
          </w:tcPr>
          <w:p>
            <w:r>
              <w:t>Coherence &amp; Cohesion</w:t>
            </w:r>
          </w:p>
        </w:tc>
        <w:tc>
          <w:tcPr>
            <w:tcW w:type="dxa" w:w="2160"/>
          </w:tcPr>
          <w:p>
            <w:r>
              <w:t>Beginning</w:t>
            </w:r>
          </w:p>
        </w:tc>
        <w:tc>
          <w:tcPr>
            <w:tcW w:type="dxa" w:w="2160"/>
          </w:tcPr>
          <w:p>
            <w:r>
              <w:t>Developing</w:t>
            </w:r>
          </w:p>
        </w:tc>
        <w:tc>
          <w:tcPr>
            <w:tcW w:type="dxa" w:w="2160"/>
          </w:tcPr>
          <w:p>
            <w:r>
              <w:t>Proficient</w:t>
            </w:r>
          </w:p>
        </w:tc>
      </w:tr>
      <w:tr>
        <w:tc>
          <w:tcPr>
            <w:tcW w:type="dxa" w:w="2160"/>
          </w:tcPr>
          <w:p>
            <w:r>
              <w:t>Grammar</w:t>
            </w:r>
          </w:p>
        </w:tc>
        <w:tc>
          <w:tcPr>
            <w:tcW w:type="dxa" w:w="2160"/>
          </w:tcPr>
          <w:p>
            <w:r>
              <w:t>Beginning</w:t>
            </w:r>
          </w:p>
        </w:tc>
        <w:tc>
          <w:tcPr>
            <w:tcW w:type="dxa" w:w="2160"/>
          </w:tcPr>
          <w:p>
            <w:r>
              <w:t>Developing</w:t>
            </w:r>
          </w:p>
        </w:tc>
        <w:tc>
          <w:tcPr>
            <w:tcW w:type="dxa" w:w="2160"/>
          </w:tcPr>
          <w:p>
            <w:r>
              <w:t>Proficient</w:t>
            </w:r>
          </w:p>
        </w:tc>
      </w:tr>
      <w:tr>
        <w:tc>
          <w:tcPr>
            <w:tcW w:type="dxa" w:w="2160"/>
          </w:tcPr>
          <w:p>
            <w:r>
              <w:t>Vocabulary</w:t>
            </w:r>
          </w:p>
        </w:tc>
        <w:tc>
          <w:tcPr>
            <w:tcW w:type="dxa" w:w="2160"/>
          </w:tcPr>
          <w:p>
            <w:r>
              <w:t>Beginning</w:t>
            </w:r>
          </w:p>
        </w:tc>
        <w:tc>
          <w:tcPr>
            <w:tcW w:type="dxa" w:w="2160"/>
          </w:tcPr>
          <w:p>
            <w:r>
              <w:t>Developing</w:t>
            </w:r>
          </w:p>
        </w:tc>
        <w:tc>
          <w:tcPr>
            <w:tcW w:type="dxa" w:w="2160"/>
          </w:tcPr>
          <w:p>
            <w:r>
              <w:t>Proficient</w:t>
            </w:r>
          </w:p>
        </w:tc>
      </w:tr>
    </w:tbl>
    <w:p/>
    <w:p>
      <w:pPr>
        <w:pStyle w:val="Heading2"/>
      </w:pPr>
      <w:r>
        <w:t>Table 4. Mixed ANOVA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Effect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Partial η²</w:t>
            </w:r>
          </w:p>
        </w:tc>
      </w:tr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42.15</w:t>
            </w:r>
          </w:p>
        </w:tc>
        <w:tc>
          <w:tcPr>
            <w:tcW w:type="dxa" w:w="2160"/>
          </w:tcPr>
          <w:p>
            <w:r>
              <w:t>&lt;.001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12.30</w:t>
            </w:r>
          </w:p>
        </w:tc>
        <w:tc>
          <w:tcPr>
            <w:tcW w:type="dxa" w:w="2160"/>
          </w:tcPr>
          <w:p>
            <w:r>
              <w:t>&lt;.001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Method×Level</w:t>
            </w:r>
          </w:p>
        </w:tc>
        <w:tc>
          <w:tcPr>
            <w:tcW w:type="dxa" w:w="2160"/>
          </w:tcPr>
          <w:p>
            <w:r>
              <w:t>18.42</w:t>
            </w:r>
          </w:p>
        </w:tc>
        <w:tc>
          <w:tcPr>
            <w:tcW w:type="dxa" w:w="2160"/>
          </w:tcPr>
          <w:p>
            <w:r>
              <w:t>&lt;.001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</w:tr>
    </w:tbl>
    <w:p/>
    <w:p>
      <w:pPr>
        <w:pStyle w:val="Heading2"/>
      </w:pPr>
      <w:r>
        <w:t>Table 5. Bonferroni Post-hoc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  <w:tc>
          <w:tcPr>
            <w:tcW w:type="dxa" w:w="2160"/>
          </w:tcPr>
          <w:p>
            <w:r>
              <w:t>&lt;.001</w:t>
            </w:r>
          </w:p>
        </w:tc>
        <w:tc>
          <w:tcPr>
            <w:tcW w:type="dxa" w:w="2160"/>
          </w:tcPr>
          <w:p>
            <w:r>
              <w:t>d=4.12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  <w:tc>
          <w:tcPr>
            <w:tcW w:type="dxa" w:w="2160"/>
          </w:tcPr>
          <w:p>
            <w:r>
              <w:t>&lt;.001</w:t>
            </w:r>
          </w:p>
        </w:tc>
        <w:tc>
          <w:tcPr>
            <w:tcW w:type="dxa" w:w="2160"/>
          </w:tcPr>
          <w:p>
            <w:r>
              <w:t>d=3.45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.021</w:t>
            </w:r>
          </w:p>
        </w:tc>
        <w:tc>
          <w:tcPr>
            <w:tcW w:type="dxa" w:w="2160"/>
          </w:tcPr>
          <w:p>
            <w:r>
              <w:t>d=1.68</w:t>
            </w:r>
          </w:p>
        </w:tc>
      </w:tr>
    </w:tbl>
    <w:p/>
    <w:p>
      <w:pPr>
        <w:pStyle w:val="Heading2"/>
      </w:pPr>
      <w:r>
        <w:t>Table 6. Qualitative Themes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Representative finding</w:t>
            </w:r>
          </w:p>
        </w:tc>
      </w:tr>
      <w:tr>
        <w:tc>
          <w:tcPr>
            <w:tcW w:type="dxa" w:w="4320"/>
          </w:tcPr>
          <w:p>
            <w:r>
              <w:t>Cognitive Manageability</w:t>
            </w:r>
          </w:p>
        </w:tc>
        <w:tc>
          <w:tcPr>
            <w:tcW w:type="dxa" w:w="4320"/>
          </w:tcPr>
          <w:p>
            <w:r>
              <w:t>Reduced overload (A2)</w:t>
            </w:r>
          </w:p>
        </w:tc>
      </w:tr>
      <w:tr>
        <w:tc>
          <w:tcPr>
            <w:tcW w:type="dxa" w:w="4320"/>
          </w:tcPr>
          <w:p>
            <w:r>
              <w:t>Learner Autonomy</w:t>
            </w:r>
          </w:p>
        </w:tc>
        <w:tc>
          <w:tcPr>
            <w:tcW w:type="dxa" w:w="4320"/>
          </w:tcPr>
          <w:p>
            <w:r>
              <w:t>Greater self-regulation (B1)</w:t>
            </w:r>
          </w:p>
        </w:tc>
      </w:tr>
      <w:tr>
        <w:tc>
          <w:tcPr>
            <w:tcW w:type="dxa" w:w="4320"/>
          </w:tcPr>
          <w:p>
            <w:r>
              <w:t>Rhetorical Refinement</w:t>
            </w:r>
          </w:p>
        </w:tc>
        <w:tc>
          <w:tcPr>
            <w:tcW w:type="dxa" w:w="4320"/>
          </w:tcPr>
          <w:p>
            <w:r>
              <w:t>Academic tone (C1)</w:t>
            </w:r>
          </w:p>
        </w:tc>
      </w:tr>
    </w:tbl>
    <w:p/>
    <w:p>
      <w:pPr>
        <w:pStyle w:val="Heading2"/>
      </w:pPr>
      <w:r>
        <w:t>Appendix Table A1. ADFF Prompt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Grammar scaffold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Fluency &amp; cohesion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Academic editing</w:t>
            </w:r>
          </w:p>
        </w:tc>
      </w:tr>
    </w:tbl>
    <w:p/>
    <w:p>
      <w:pPr>
        <w:pStyle w:val="Heading2"/>
      </w:pPr>
      <w:r>
        <w:t>Appendix Table A2. Interview Coding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Theme</w:t>
            </w:r>
          </w:p>
        </w:tc>
      </w:tr>
      <w:tr>
        <w:tc>
          <w:tcPr>
            <w:tcW w:type="dxa" w:w="4320"/>
          </w:tcPr>
          <w:p>
            <w:r>
              <w:t>CG</w:t>
            </w:r>
          </w:p>
        </w:tc>
        <w:tc>
          <w:tcPr>
            <w:tcW w:type="dxa" w:w="4320"/>
          </w:tcPr>
          <w:p>
            <w:r>
              <w:t>Cognitive manageability</w:t>
            </w:r>
          </w:p>
        </w:tc>
      </w:tr>
      <w:tr>
        <w:tc>
          <w:tcPr>
            <w:tcW w:type="dxa" w:w="4320"/>
          </w:tcPr>
          <w:p>
            <w:r>
              <w:t>LA</w:t>
            </w:r>
          </w:p>
        </w:tc>
        <w:tc>
          <w:tcPr>
            <w:tcW w:type="dxa" w:w="4320"/>
          </w:tcPr>
          <w:p>
            <w:r>
              <w:t>Learner autonomy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Rhetorical refinement</w:t>
            </w:r>
          </w:p>
        </w:tc>
      </w:tr>
    </w:tbl>
    <w:p/>
    <w:p>
      <w:pPr>
        <w:pStyle w:val="Heading2"/>
      </w:pPr>
      <w:r>
        <w:t>Supplementary Table S1.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Pre_Test</w:t>
            </w:r>
          </w:p>
        </w:tc>
        <w:tc>
          <w:tcPr>
            <w:tcW w:type="dxa" w:w="4320"/>
          </w:tcPr>
          <w:p>
            <w:r>
              <w:t>Baseline writing score</w:t>
            </w:r>
          </w:p>
        </w:tc>
      </w:tr>
      <w:tr>
        <w:tc>
          <w:tcPr>
            <w:tcW w:type="dxa" w:w="4320"/>
          </w:tcPr>
          <w:p>
            <w:r>
              <w:t>Post_Test</w:t>
            </w:r>
          </w:p>
        </w:tc>
        <w:tc>
          <w:tcPr>
            <w:tcW w:type="dxa" w:w="4320"/>
          </w:tcPr>
          <w:p>
            <w:r>
              <w:t>Final writing score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Post-Pre</w:t>
            </w:r>
          </w:p>
        </w:tc>
      </w:tr>
    </w:tbl>
    <w:p/>
    <w:p>
      <w:pPr>
        <w:pStyle w:val="Heading2"/>
      </w:pPr>
      <w:r>
        <w:t>Supplementary Table S2. Statistical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Normality</w:t>
            </w:r>
          </w:p>
        </w:tc>
        <w:tc>
          <w:tcPr>
            <w:tcW w:type="dxa" w:w="4320"/>
          </w:tcPr>
          <w:p>
            <w:r>
              <w:t>Satisfied</w:t>
            </w:r>
          </w:p>
        </w:tc>
      </w:tr>
      <w:tr>
        <w:tc>
          <w:tcPr>
            <w:tcW w:type="dxa" w:w="4320"/>
          </w:tcPr>
          <w:p>
            <w:r>
              <w:t>Homogeneity</w:t>
            </w:r>
          </w:p>
        </w:tc>
        <w:tc>
          <w:tcPr>
            <w:tcW w:type="dxa" w:w="4320"/>
          </w:tcPr>
          <w:p>
            <w:r>
              <w:t>Satisfied</w:t>
            </w:r>
          </w:p>
        </w:tc>
      </w:tr>
      <w:tr>
        <w:tc>
          <w:tcPr>
            <w:tcW w:type="dxa" w:w="4320"/>
          </w:tcPr>
          <w:p>
            <w:r>
              <w:t>ICC</w:t>
            </w:r>
          </w:p>
        </w:tc>
        <w:tc>
          <w:tcPr>
            <w:tcW w:type="dxa" w:w="4320"/>
          </w:tcPr>
          <w:p>
            <w:r>
              <w:t>&gt;0.90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