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C2A25" w14:textId="59BDD149" w:rsidR="003730CF" w:rsidRPr="0032528B" w:rsidRDefault="00907053" w:rsidP="005732E2">
      <w:pPr>
        <w:spacing w:line="480" w:lineRule="auto"/>
        <w:rPr>
          <w:rFonts w:ascii="Times New Roman" w:eastAsia="STKaiti" w:hAnsi="Times New Roman" w:cs="Times New Roman"/>
          <w:b/>
          <w:bCs/>
          <w:color w:val="000000" w:themeColor="text1"/>
        </w:rPr>
      </w:pPr>
      <w:r>
        <w:rPr>
          <w:rFonts w:ascii="Times New Roman" w:eastAsia="STKaiti" w:hAnsi="Times New Roman" w:cs="Times New Roman"/>
          <w:b/>
          <w:bCs/>
          <w:color w:val="000000" w:themeColor="text1"/>
        </w:rPr>
        <w:t>Production and perception of coarticulated tones: The cases of Taiwan Mandarin and Taiwan Southern Min</w:t>
      </w:r>
    </w:p>
    <w:p w14:paraId="03EE6C24" w14:textId="77777777" w:rsidR="00907053" w:rsidRPr="0032528B" w:rsidRDefault="00907053" w:rsidP="005732E2">
      <w:pPr>
        <w:spacing w:line="480" w:lineRule="auto"/>
        <w:rPr>
          <w:rFonts w:ascii="Times New Roman" w:eastAsia="STKaiti" w:hAnsi="Times New Roman" w:cs="Times New Roman"/>
          <w:b/>
          <w:bCs/>
          <w:color w:val="000000" w:themeColor="text1"/>
        </w:rPr>
      </w:pPr>
    </w:p>
    <w:p w14:paraId="47B7C122" w14:textId="0B922CAE" w:rsidR="00490C33" w:rsidRPr="0032528B" w:rsidRDefault="00907053" w:rsidP="005732E2">
      <w:pPr>
        <w:pStyle w:val="JASAAuthors"/>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Po-Hsuan Huang</w:t>
      </w:r>
      <w:r>
        <w:rPr>
          <w:rFonts w:ascii="Times New Roman" w:eastAsia="STKaiti" w:hAnsi="Times New Roman" w:cs="Times New Roman"/>
          <w:color w:val="000000" w:themeColor="text1"/>
          <w:vertAlign w:val="superscript"/>
        </w:rPr>
        <w:t>1</w:t>
      </w:r>
      <w:r>
        <w:rPr>
          <w:rFonts w:ascii="Times New Roman" w:eastAsia="STKaiti" w:hAnsi="Times New Roman" w:cs="Times New Roman"/>
          <w:color w:val="000000" w:themeColor="text1"/>
        </w:rPr>
        <w:t xml:space="preserve"> (pohsuanh@sas.upenn.edu) and</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rPr>
        <w:t xml:space="preserve">Chenhao Chiu</w:t>
      </w:r>
      <w:r>
        <w:rPr>
          <w:rFonts w:ascii="Times New Roman" w:eastAsia="STKaiti" w:hAnsi="Times New Roman" w:cs="Times New Roman"/>
          <w:color w:val="000000" w:themeColor="text1"/>
          <w:vertAlign w:val="superscript"/>
        </w:rPr>
        <w:t>2,3,4</w:t>
      </w:r>
      <w:r>
        <w:rPr>
          <w:rStyle w:val="Appelnotedebasdep"/>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rPr>
        <w:t xml:space="preserve"> </w:t>
      </w:r>
      <w:r>
        <w:rPr>
          <w:rStyle w:val="Appelnotedebasdep"/>
          <w:rFonts w:ascii="Times New Roman" w:eastAsia="STKaiti" w:hAnsi="Times New Roman" w:cs="Times New Roman"/>
          <w:color w:val="000000" w:themeColor="text1"/>
          <w:vertAlign w:val="baseline"/>
        </w:rPr>
        <w:t>(chenhaochiu@ntu.edu.tw)</w:t>
      </w:r>
    </w:p>
    <w:p w14:paraId="3FC099CA" w14:textId="49FC978E" w:rsidR="00A8290B" w:rsidRPr="0032528B" w:rsidRDefault="00A8290B" w:rsidP="005732E2">
      <w:pPr>
        <w:pStyle w:val="JASAAffiliations"/>
        <w:rPr>
          <w:rFonts w:ascii="Times New Roman" w:eastAsia="STKaiti" w:hAnsi="Times New Roman" w:cs="Times New Roman"/>
          <w:color w:val="000000" w:themeColor="text1"/>
          <w:vertAlign w:val="superscript"/>
        </w:rPr>
      </w:pPr>
      <w:r>
        <w:rPr>
          <w:rFonts w:ascii="Times New Roman" w:eastAsia="STKaiti" w:hAnsi="Times New Roman" w:cs="Times New Roman"/>
          <w:color w:val="000000" w:themeColor="text1"/>
          <w:vertAlign w:val="superscript"/>
        </w:rPr>
        <w:t>1</w:t>
      </w:r>
      <w:r>
        <w:rPr>
          <w:rFonts w:ascii="Times New Roman" w:eastAsia="STKaiti" w:hAnsi="Times New Roman" w:cs="Times New Roman"/>
          <w:color w:val="000000" w:themeColor="text1"/>
        </w:rPr>
        <w:t xml:space="preserve"> Department of Linguistics, University of Pennsylvania, Philadelphia, PA 19104, U.S.</w:t>
      </w:r>
    </w:p>
    <w:p w14:paraId="0B89C93E" w14:textId="07C34D61" w:rsidR="00907053" w:rsidRPr="0032528B" w:rsidRDefault="00A8290B" w:rsidP="005732E2">
      <w:pPr>
        <w:pStyle w:val="JASAAffiliations"/>
        <w:rPr>
          <w:rFonts w:ascii="Times New Roman" w:eastAsia="STKaiti" w:hAnsi="Times New Roman" w:cs="Times New Roman"/>
          <w:color w:val="000000" w:themeColor="text1"/>
        </w:rPr>
      </w:pPr>
      <w:r>
        <w:rPr>
          <w:rFonts w:ascii="Times New Roman" w:eastAsia="STKaiti" w:hAnsi="Times New Roman" w:cs="Times New Roman"/>
          <w:color w:val="000000" w:themeColor="text1"/>
          <w:vertAlign w:val="superscript"/>
        </w:rPr>
        <w:t>2</w:t>
      </w:r>
      <w:r>
        <w:rPr>
          <w:rFonts w:ascii="Times New Roman" w:eastAsia="STKaiti" w:hAnsi="Times New Roman" w:cs="Times New Roman"/>
          <w:color w:val="000000" w:themeColor="text1"/>
        </w:rPr>
        <w:t xml:space="preserve"> Graduate Institute of Linguistics, National Taiwan University, Taipei, Taipei 106319, Taiwan</w:t>
      </w:r>
    </w:p>
    <w:p w14:paraId="472F595A" w14:textId="08EB8372" w:rsidR="003730CF" w:rsidRPr="0032528B" w:rsidRDefault="00907053" w:rsidP="005732E2">
      <w:pPr>
        <w:pStyle w:val="JASAAffiliations"/>
        <w:rPr>
          <w:rFonts w:ascii="Times New Roman" w:eastAsia="STKaiti" w:hAnsi="Times New Roman" w:cs="Times New Roman"/>
          <w:color w:val="000000" w:themeColor="text1"/>
        </w:rPr>
      </w:pPr>
      <w:r>
        <w:rPr>
          <w:rFonts w:ascii="Times New Roman" w:eastAsia="STKaiti" w:hAnsi="Times New Roman" w:cs="Times New Roman"/>
          <w:color w:val="000000" w:themeColor="text1"/>
          <w:vertAlign w:val="superscript"/>
        </w:rPr>
        <w:t>3</w:t>
      </w:r>
      <w:r>
        <w:rPr>
          <w:rFonts w:ascii="Times New Roman" w:eastAsia="STKaiti" w:hAnsi="Times New Roman" w:cs="Times New Roman"/>
          <w:color w:val="000000" w:themeColor="text1"/>
        </w:rPr>
        <w:t xml:space="preserve"> Graduate Institute of Brain and Mind Sciences, National Taiwan University, Taipei, Taipei 106319, Taiwan</w:t>
      </w:r>
    </w:p>
    <w:p w14:paraId="1BC01F4C" w14:textId="3DE00D2C" w:rsidR="00190FC0" w:rsidRPr="0032528B" w:rsidRDefault="00907053" w:rsidP="005732E2">
      <w:pPr>
        <w:pStyle w:val="JASAAffiliations"/>
        <w:rPr>
          <w:rFonts w:ascii="Times New Roman" w:eastAsia="STKaiti" w:hAnsi="Times New Roman" w:cs="Times New Roman"/>
          <w:color w:val="000000" w:themeColor="text1"/>
        </w:rPr>
      </w:pPr>
      <w:r>
        <w:rPr>
          <w:rFonts w:ascii="Times New Roman" w:eastAsia="STKaiti" w:hAnsi="Times New Roman" w:cs="Times New Roman"/>
          <w:color w:val="000000" w:themeColor="text1"/>
          <w:vertAlign w:val="superscript"/>
        </w:rPr>
        <w:t>4</w:t>
      </w:r>
      <w:r>
        <w:rPr>
          <w:rFonts w:ascii="Times New Roman" w:eastAsia="STKaiti" w:hAnsi="Times New Roman" w:cs="Times New Roman"/>
          <w:color w:val="000000" w:themeColor="text1"/>
        </w:rPr>
        <w:t xml:space="preserve"> Neurobiology and Cognitive Science Center, National Taiwan University, Taipei, Taipei 106319, Taiwan</w:t>
      </w:r>
    </w:p>
    <w:p w14:paraId="00097BFB" w14:textId="77777777" w:rsidR="002A4A4D" w:rsidRPr="0032528B" w:rsidRDefault="002A4A4D" w:rsidP="005732E2">
      <w:pPr>
        <w:pStyle w:val="JASAAffiliations"/>
        <w:rPr>
          <w:rFonts w:ascii="Times New Roman" w:eastAsia="STKaiti" w:hAnsi="Times New Roman" w:cs="Times New Roman"/>
          <w:i w:val="0"/>
          <w:iCs/>
          <w:color w:val="000000" w:themeColor="text1"/>
        </w:rPr>
      </w:pPr>
    </w:p>
    <w:p w14:paraId="1B539EEA" w14:textId="1510B034" w:rsidR="002A4A4D" w:rsidRPr="0032528B" w:rsidRDefault="002A4A4D" w:rsidP="005732E2">
      <w:pPr>
        <w:pStyle w:val="JASAAffiliations"/>
        <w:rPr>
          <w:rFonts w:ascii="Times New Roman" w:eastAsia="STKaiti" w:hAnsi="Times New Roman" w:cs="Times New Roman"/>
          <w:i w:val="0"/>
          <w:iCs/>
          <w:color w:val="000000" w:themeColor="text1"/>
        </w:rPr>
      </w:pPr>
      <w:r>
        <w:rPr>
          <w:rFonts w:ascii="Times New Roman" w:eastAsia="STKaiti" w:hAnsi="Times New Roman" w:cs="Times New Roman"/>
          <w:i w:val="0"/>
          <w:iCs/>
          <w:color w:val="000000" w:themeColor="text1"/>
        </w:rPr>
        <w:t>Corresponding author:</w:t>
      </w:r>
    </w:p>
    <w:p w14:paraId="27482976" w14:textId="57B3A473" w:rsidR="002A4A4D" w:rsidRPr="0032528B" w:rsidRDefault="002A4A4D" w:rsidP="002A4A4D">
      <w:pPr>
        <w:pStyle w:val="JASAAffiliations"/>
        <w:rPr>
          <w:rFonts w:ascii="Times New Roman" w:eastAsia="STKaiti" w:hAnsi="Times New Roman" w:cs="Times New Roman"/>
          <w:i w:val="0"/>
          <w:iCs/>
          <w:color w:val="000000" w:themeColor="text1"/>
        </w:rPr>
      </w:pPr>
      <w:r>
        <w:rPr>
          <w:rFonts w:ascii="Times New Roman" w:eastAsia="STKaiti" w:hAnsi="Times New Roman" w:cs="Times New Roman"/>
          <w:i w:val="0"/>
          <w:iCs/>
          <w:color w:val="000000" w:themeColor="text1"/>
        </w:rPr>
        <w:t>Chenhao Chiu</w:t>
      </w:r>
    </w:p>
    <w:p w14:paraId="1F23C36E" w14:textId="77777777" w:rsidR="002A4A4D" w:rsidRPr="0032528B" w:rsidRDefault="002A4A4D" w:rsidP="002A4A4D">
      <w:pPr>
        <w:spacing w:line="480" w:lineRule="auto"/>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Email: </w:t>
      </w:r>
      <w:r>
        <w:rPr>
          <w:rStyle w:val="Appelnotedebasdep"/>
          <w:rFonts w:ascii="Times New Roman" w:eastAsia="STKaiti" w:hAnsi="Times New Roman" w:cs="Times New Roman"/>
          <w:color w:val="000000" w:themeColor="text1"/>
          <w:vertAlign w:val="baseline"/>
        </w:rPr>
        <w:t>chenhaochiu@ntu.edu.tw</w:t>
      </w:r>
      <w:r>
        <w:rPr>
          <w:rFonts w:ascii="Times New Roman" w:eastAsia="STKaiti" w:hAnsi="Times New Roman" w:cs="Times New Roman"/>
          <w:color w:val="000000" w:themeColor="text1"/>
        </w:rPr>
        <w:t xml:space="preserve"> </w:t>
      </w:r>
    </w:p>
    <w:p w14:paraId="07EF1FEC" w14:textId="77777777" w:rsidR="002A4A4D" w:rsidRPr="0032528B" w:rsidRDefault="002A4A4D" w:rsidP="002A4A4D">
      <w:pPr>
        <w:spacing w:line="480" w:lineRule="auto"/>
        <w:rPr>
          <w:rFonts w:ascii="Times New Roman" w:eastAsia="STKaiti" w:hAnsi="Times New Roman" w:cs="Times New Roman"/>
          <w:color w:val="000000" w:themeColor="text1"/>
        </w:rPr>
      </w:pPr>
      <w:r>
        <w:rPr>
          <w:rFonts w:ascii="Times New Roman" w:eastAsia="STKaiti" w:hAnsi="Times New Roman" w:cs="Times New Roman"/>
          <w:color w:val="000000" w:themeColor="text1"/>
        </w:rPr>
        <w:t>Phone: +886-2-3366-1971</w:t>
      </w:r>
    </w:p>
    <w:p w14:paraId="27F56125" w14:textId="77777777" w:rsidR="002A4A4D" w:rsidRPr="0032528B" w:rsidRDefault="002A4A4D" w:rsidP="002A4A4D">
      <w:pPr>
        <w:spacing w:line="480" w:lineRule="auto"/>
        <w:rPr>
          <w:rFonts w:ascii="Times New Roman" w:eastAsia="STKaiti" w:hAnsi="Times New Roman" w:cs="Times New Roman"/>
          <w:color w:val="000000" w:themeColor="text1"/>
        </w:rPr>
      </w:pPr>
      <w:r>
        <w:rPr>
          <w:rFonts w:ascii="Times New Roman" w:eastAsia="STKaiti" w:hAnsi="Times New Roman" w:cs="Times New Roman"/>
          <w:color w:val="000000" w:themeColor="text1"/>
        </w:rPr>
        <w:t>Address: No. 1, Section 4, Roosevelt Rd, Da’an District, Taipei City, Taiwan 10617</w:t>
      </w:r>
    </w:p>
    <w:p w14:paraId="0E16CEDD" w14:textId="77777777" w:rsidR="002A4A4D" w:rsidRPr="0032528B" w:rsidRDefault="002A4A4D" w:rsidP="002A4A4D">
      <w:pPr>
        <w:spacing w:line="480" w:lineRule="auto"/>
        <w:rPr>
          <w:rFonts w:ascii="Times New Roman" w:eastAsia="STKaiti" w:hAnsi="Times New Roman" w:cs="Times New Roman"/>
          <w:color w:val="000000" w:themeColor="text1"/>
        </w:rPr>
      </w:pPr>
    </w:p>
    <w:p w14:paraId="57662521" w14:textId="5A19783D" w:rsidR="00190FC0" w:rsidRPr="0032528B" w:rsidRDefault="002A4A4D" w:rsidP="002A4A4D">
      <w:pPr>
        <w:spacing w:line="480" w:lineRule="auto"/>
        <w:rPr>
          <w:rFonts w:ascii="Times New Roman" w:eastAsia="STKaiti" w:hAnsi="Times New Roman" w:cs="Times New Roman"/>
          <w:i/>
          <w:color w:val="000000" w:themeColor="text1"/>
        </w:rPr>
      </w:pPr>
      <w:r>
        <w:rPr>
          <w:rFonts w:ascii="Times New Roman" w:eastAsia="STKaiti" w:hAnsi="Times New Roman" w:cs="Times New Roman"/>
          <w:color w:val="000000" w:themeColor="text1"/>
        </w:rPr>
        <w:t>Keywords: tonal coarticulation; tone inventory; perceptual compensation; Taiwan Mandarin; Taiwan Southern Min</w:t>
        <w:br w:type="page"/>
      </w:r>
    </w:p>
    <w:p w14:paraId="347D7450" w14:textId="7187F012" w:rsidR="003730CF" w:rsidRPr="0032528B" w:rsidRDefault="00040FC6" w:rsidP="005732E2">
      <w:pPr>
        <w:pStyle w:val="JASAAbstrac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Lexical tones have been found to coarticulate with context tones in various tone languages, and variations induced by such tonal coarticulation are perceptible to listeners and can affect listeners’ perceptions. One possible mechanism proposed by past studies is to retrieve the target tones through perceptual compensation. Our investigation on Taiwan Mandarin and Taiwan Southern Min revealed that both languages demonstrated robust tonal coarticulation. </w:t>
      </w:r>
      <w:r>
        <w:rPr>
          <w:rFonts w:ascii="Times New Roman" w:eastAsia="STKaiti" w:hAnsi="Times New Roman" w:cs="Times New Roman"/>
          <w:color w:val="000000" w:themeColor="text1"/>
          <w:highlight w:val="yellow"/>
        </w:rPr>
        <w:t>However,</w:t>
      </w:r>
      <w:r>
        <w:rPr>
          <w:rFonts w:ascii="Times New Roman" w:eastAsia="STKaiti" w:hAnsi="Times New Roman" w:cs="Times New Roman"/>
          <w:color w:val="000000" w:themeColor="text1"/>
        </w:rPr>
        <w:t xml:space="preserve"> Taiwan Southern Min, which has a larger size of tone inventory, showed significantly less perceptual compensation for tonal coarticulation than Taiwan Mandarin. In addition, our results also </w:t>
      </w:r>
      <w:r>
        <w:rPr>
          <w:rFonts w:ascii="Times New Roman" w:eastAsia="STKaiti" w:hAnsi="Times New Roman" w:cs="Times New Roman"/>
          <w:color w:val="000000" w:themeColor="text1"/>
          <w:highlight w:val="yellow"/>
        </w:rPr>
        <w:t xml:space="preserve">suggested that the two languages differ in tone acceptance ranges in a tone-specific manner, with Taiwan Southern Min demonstrating a stricter range for the falling tone but a wider range for the low tone</w:t>
      </w:r>
      <w:r>
        <w:rPr>
          <w:rFonts w:ascii="Times New Roman" w:eastAsia="STKaiti" w:hAnsi="Times New Roman" w:cs="Times New Roman"/>
          <w:color w:val="000000" w:themeColor="text1"/>
        </w:rPr>
        <w:t>. This alternative approach from production to perception during tonal coarticulation is discussed.</w:t>
      </w:r>
    </w:p>
    <w:p w14:paraId="4BE3E266" w14:textId="77777777" w:rsidR="003730CF" w:rsidRPr="0032528B" w:rsidRDefault="003730CF" w:rsidP="005732E2">
      <w:pPr>
        <w:spacing w:line="480" w:lineRule="auto"/>
        <w:rPr>
          <w:rFonts w:ascii="Times New Roman" w:eastAsia="STKaiti" w:hAnsi="Times New Roman" w:cs="Times New Roman"/>
          <w:color w:val="000000" w:themeColor="text1"/>
        </w:rPr>
      </w:pPr>
    </w:p>
    <w:p w14:paraId="00714BE2" w14:textId="77777777" w:rsidR="003730CF" w:rsidRPr="0032528B" w:rsidRDefault="003730CF" w:rsidP="005732E2">
      <w:pPr>
        <w:spacing w:line="480" w:lineRule="auto"/>
        <w:rPr>
          <w:rFonts w:ascii="Times New Roman" w:eastAsia="STKaiti" w:hAnsi="Times New Roman" w:cs="Times New Roman"/>
          <w:color w:val="000000" w:themeColor="text1"/>
        </w:rPr>
        <w:sectPr w:rsidR="003730CF" w:rsidRPr="0032528B" w:rsidSect="000C0225">
          <w:headerReference w:type="default" r:id="rId8"/>
          <w:footerReference w:type="even" r:id="rId9"/>
          <w:footerReference w:type="default" r:id="rId10"/>
          <w:footnotePr>
            <w:numRestart w:val="eachSect"/>
          </w:footnotePr>
          <w:pgSz w:w="12240" w:h="15840"/>
          <w:pgMar w:top="1440" w:right="1440" w:bottom="1440" w:left="1440" w:header="720" w:footer="720" w:gutter="0"/>
          <w:cols w:space="720"/>
          <w:docGrid w:linePitch="360"/>
        </w:sectPr>
      </w:pPr>
    </w:p>
    <w:p w14:paraId="1578D500" w14:textId="5C0DE61E" w:rsidR="003730CF" w:rsidRPr="0032528B" w:rsidRDefault="0008740B" w:rsidP="0008740B">
      <w:pPr>
        <w:pStyle w:val="JASAFIRST-LEVELHEADING"/>
        <w:numPr>
          <w:ilvl w:val="0"/>
          <w:numId w:val="0"/>
        </w:numPr>
        <w:rPr>
          <w:rFonts w:ascii="Times New Roman" w:hAnsi="Times New Roman" w:cs="Times New Roman"/>
          <w:caps w:val="0"/>
          <w:lang w:eastAsia="zh-TW"/>
        </w:rPr>
      </w:pPr>
      <w:r>
        <w:rPr>
          <w:rFonts w:ascii="Times New Roman" w:hAnsi="Times New Roman" w:cs="Times New Roman"/>
          <w:caps w:val="0"/>
        </w:rPr>
        <w:lastRenderedPageBreak/>
        <w:t>1 Introduction</w:t>
      </w:r>
    </w:p>
    <w:p w14:paraId="27B07A8F" w14:textId="603891CB" w:rsidR="00040FC6" w:rsidRPr="0032528B" w:rsidRDefault="00040FC6"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While lexical tones are ideally contrasted from each other with pitch values and/or contours, they have also been found to coarticulate with context tones in tone languages, including Beijing Mandarin (Xu 1994, and 1997; Huang 2025), Taiwan Mandarin (Huang 2013; Jeng 2012), Taiwan Southern Min (Peng 1997; Wang 2002), and others (</w:t>
      </w:r>
      <w:bookmarkStart w:id="0" w:name="OLE_LINK4"/>
      <w:r>
        <w:rPr>
          <w:rFonts w:ascii="Times New Roman" w:eastAsia="STKaiti" w:hAnsi="Times New Roman" w:cs="Times New Roman"/>
          <w:color w:val="000000" w:themeColor="text1"/>
        </w:rPr>
        <w:t xml:space="preserve">cf. Chang and Hsieh 2012</w:t>
      </w:r>
      <w:bookmarkEnd w:id="0"/>
      <w:r>
        <w:rPr>
          <w:rFonts w:ascii="Times New Roman" w:eastAsia="STKaiti" w:hAnsi="Times New Roman" w:cs="Times New Roman"/>
          <w:color w:val="000000" w:themeColor="text1"/>
        </w:rPr>
        <w:t xml:space="preserve">). For instance, in Chao (1968), it is noted that the onset of a Mandarin T2 (35</w:t>
      </w:r>
      <w:r>
        <w:rPr>
          <w:rStyle w:val="Appelnotedebasdep"/>
          <w:rFonts w:ascii="Times New Roman" w:eastAsia="STKaiti" w:hAnsi="Times New Roman" w:cs="Times New Roman"/>
          <w:color w:val="000000" w:themeColor="text1"/>
        </w:rPr>
        <w:footnoteReference w:id="1"/>
      </w:r>
      <w:r>
        <w:rPr>
          <w:rFonts w:ascii="Times New Roman" w:eastAsia="STKaiti" w:hAnsi="Times New Roman" w:cs="Times New Roman"/>
          <w:color w:val="000000" w:themeColor="text1"/>
        </w:rPr>
        <w:t xml:space="preserve">) tone is raised when preceded by another T1 (55) tone. Such coarticulation is known as tonal coarticulation.</w:t>
      </w:r>
      <w:r>
        <w:rPr>
          <w:rStyle w:val="Appelnotedebasdep"/>
          <w:rFonts w:ascii="Times New Roman" w:eastAsia="STKaiti" w:hAnsi="Times New Roman" w:cs="Times New Roman"/>
          <w:color w:val="000000" w:themeColor="text1"/>
        </w:rPr>
        <w:footnoteReference w:id="2"/>
      </w:r>
      <w:r>
        <w:rPr>
          <w:rFonts w:ascii="Times New Roman" w:eastAsia="STKaiti" w:hAnsi="Times New Roman" w:cs="Times New Roman"/>
          <w:color w:val="000000" w:themeColor="text1"/>
        </w:rPr>
        <w:t xml:space="preserve"> Typologically, two kinds of coarticulatory effects have been identified: carryover and anticipatory effects. The carryover effects refer to effects on the following tones, whereas the anticipatory effects induce changes in the preceding tones. Carryover effects are found to be generally stronger in their magnitude than anticipatory effects</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rPr>
        <w:t xml:space="preserve">(Cantonese: Gu and Lee 2007; Beijing Mandarin: Xu 1997; Huang 2025; Tianjing Mandarin: Zhang and Liu 2011; Taiwan Mandarin: Huang 2013; Jeng 2012; Taiwan Southern Min: Wang 2002; Thai: Gandour et al. 1994; Vietnamese: Brunelle 2009; Triqui: DiCanio  2014; see Shen 1990, however, for results of similar magnitudes in Mandarin</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rPr>
        <w:t xml:space="preserve">and Chang and  Hsieh 2012 for slightly stronger magnitudes of anticipatory effects in Malaysian Southern Min.). In addition, carryover effects are also suggested to tend to be assimilatory, while anticipatory effects are often dissimilatory (e.g., Brunelle 2009; Chang and Hsieh 2012; Huang 2025). Falling into this description are languages including Cantonese (Gu and Lee 2007), Beijing Mandarin (Xu 1997; Huang 2025), Tianjing </w:t>
        <w:lastRenderedPageBreak/>
        <w:t xml:space="preserve">Mandarin (Zhang and Liu 2011), Thai (Gandour et al. 1994), although several other studies, including some of the aforementioned ones, found assimilation in both positions, suggesting that this distribution may not universally-hold (Brunelle 2009; Chang and Hsieh 2012; DiCanio 2014; Shen 1990; Wang 2002).</w:t>
      </w:r>
    </w:p>
    <w:p w14:paraId="597BA057" w14:textId="3DBB3510" w:rsidR="00AB5988" w:rsidRPr="0032528B" w:rsidRDefault="00040FC6" w:rsidP="00AB5988">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rPr>
        <w:t xml:space="preserve">More importantly, tonal coarticulation has been found to be perceptible to listeners (e.g., Peng 1997) and could cause perceptual confusion (i.e., for a target tone to be perceived as other lexical tones; e.g., Xu 1994). Therefore, a question naturally arises: how do tone language speakers maintain faithful comprehension of tones (i.e., for listeners to retrieve the tonal targets intended by the speakers despite the variations induced by tonal coarticulation) and attain efficient communication under tonal coarticulation? Studies of Beijing Mandarin (Xu 1994; Zhang et al. 2022) may shed light on this question, where listeners have been found to perceptually compensate for tonal coarticulation. It was observed that the same target tone was perceived as lower when preceded by a high-pitch offset and as higher when preceded by a low-pitch offset. Under this account, it is explicable that tones may still be faithfully perceived under the tone variations induced by tonal coarticulation. Nevertheless, it remains undetermined whether the use of perceptual compensation (i.e., “context-induced adjustment in speech perception”; Yu 2010) to counter the tone variations induced by tonal coarticulation is universal across languages. Specifically, previous studies disagree on whether coarticulation is purely phonetic, driven by biomechanical constraints (e.g., Fowler 1980; Shen 1992), or can be language-specific, integrated as part of the phonological grammar (e.g., Flemming 2011; Hammarberg 1982). Indeed, while this putative typological distribution of tonal coarticulation is asymmetric </w:t>
      </w:r>
      <w:r>
        <w:rPr>
          <w:rFonts w:ascii="Times New Roman" w:eastAsia="STKaiti" w:hAnsi="Times New Roman" w:cs="Times New Roman"/>
          <w:color w:val="000000" w:themeColor="text1"/>
          <w:highlight w:val="yellow"/>
        </w:rPr>
        <w:t>in terms of the magnitude and directionality in the two positions</w:t>
      </w:r>
      <w:r>
        <w:rPr>
          <w:rFonts w:ascii="Times New Roman" w:eastAsia="STKaiti" w:hAnsi="Times New Roman" w:cs="Times New Roman"/>
          <w:color w:val="000000" w:themeColor="text1"/>
        </w:rPr>
        <w:t xml:space="preserve">, exceptions have also been found, where both the carryover and anticipatory effects are assimilatory. These </w:t>
        <w:lastRenderedPageBreak/>
        <w:t xml:space="preserve">include languages such as Vietnamese (Brunelle 2009), Nanjing Mandarin (Chen et al. 2018), and many dialects of Southern Min (Malaysian; Chang and Hsieh 2012; Taiwan; Lin 1989; Wang 2002). These discrepancies, therefore, support that at least some degrees of freedom are present in tonal coarticulation. Under this view, it is possible that for different languages, especially languages with different tone distributions, there could exist magnitude differences for both the degree of tonal coarticulation and the perceptual compensation for such tonal coarticulation. Specifically, the odds are that different languages may adopt different mechanisms in the face of the tone variations induced by tonal coarticulation. Specifically, Taiwan Mandarin and Taiwan Southern Min serve as a good language pair, as the two languages have tone inventories that could be systematically compared. In Taiwan Mandarin, there are 4 lexical tones: high-level, rising, low, and falling tones. Taiwan Southern Min has all four underlyingly and three of them (high-level, low, and falling tones) after tone sandhi, and additionally mid-level, mid-checked, and high-checked (cf. Appendix D.1). This allows for comparing the “same” lexical tones (e.g., high, low, and falling tones) between two languages, and as such, the examination of the effects of language-specific structural factors on the production and perception of tonal coarticulation.</w:t>
      </w:r>
    </w:p>
    <w:p w14:paraId="75F8F523" w14:textId="2929500E" w:rsidR="002B72BB" w:rsidRPr="0032528B" w:rsidRDefault="00DA7380" w:rsidP="00AB5988">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Therefore, in this study, we aim to investigate these issues in Taiwan Mandarin and Taiwan Southern Min, that is, 1) </w:t>
      </w:r>
      <w:r>
        <w:rPr>
          <w:rFonts w:ascii="Times New Roman" w:eastAsia="STKaiti" w:hAnsi="Times New Roman" w:cs="Times New Roman"/>
          <w:color w:val="000000" w:themeColor="text1"/>
          <w:highlight w:val="yellow"/>
        </w:rPr>
        <w:t>their</w:t>
      </w:r>
      <w:r>
        <w:rPr>
          <w:rFonts w:ascii="Times New Roman" w:eastAsia="STKaiti" w:hAnsi="Times New Roman" w:cs="Times New Roman"/>
          <w:color w:val="000000" w:themeColor="text1"/>
        </w:rPr>
        <w:t xml:space="preserve"> magnitude differences in tonal coarticulation, 2) the differences </w:t>
      </w:r>
      <w:r>
        <w:rPr>
          <w:rFonts w:ascii="Times New Roman" w:eastAsia="STKaiti" w:hAnsi="Times New Roman" w:cs="Times New Roman"/>
          <w:color w:val="000000" w:themeColor="text1"/>
          <w:highlight w:val="yellow"/>
        </w:rPr>
        <w:t>between these two languages</w:t>
      </w:r>
      <w:r>
        <w:rPr>
          <w:rFonts w:ascii="Times New Roman" w:eastAsia="STKaiti" w:hAnsi="Times New Roman" w:cs="Times New Roman"/>
          <w:color w:val="000000" w:themeColor="text1"/>
        </w:rPr>
        <w:t xml:space="preserve"> in perceptual compensation for tonal coarticulation, and 3) the possibility of other mechanisms. </w:t>
      </w:r>
    </w:p>
    <w:p w14:paraId="23FF6CCF" w14:textId="3DFA1656" w:rsidR="00040FC6" w:rsidRPr="0032528B" w:rsidRDefault="0008740B" w:rsidP="0008740B">
      <w:pPr>
        <w:pStyle w:val="JASAsecond-levelheading"/>
        <w:rPr>
          <w:rFonts w:ascii="Times New Roman" w:eastAsia="STKaiti" w:hAnsi="Times New Roman" w:cs="Times New Roman"/>
        </w:rPr>
      </w:pPr>
      <w:r>
        <w:rPr>
          <w:rFonts w:ascii="Times New Roman" w:eastAsia="STKaiti" w:hAnsi="Times New Roman" w:cs="Times New Roman"/>
        </w:rPr>
        <w:lastRenderedPageBreak/>
        <w:t xml:space="preserve">1.1 Magnitude and directionality of tonal coarticulation in Mandarin and Taiwan Southern Min</w:t>
      </w:r>
    </w:p>
    <w:p w14:paraId="370C9F93" w14:textId="68EE2097" w:rsidR="00AC0038" w:rsidRPr="0032528B" w:rsidRDefault="003F3E32"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Previous studies have shown that tonal coarticulation is widely attested across languages, and its distribution tends to be asymmetric (Brunelle 2009; Chang and Hsieh 2012; Huang 2025): Carryover effects are often stronger in magnitude and assimilatory (i.e., the target tone is raised when the preceding tone is higher, and lowered when the preceding tone is lower) in directionality, and anticipatory effects are generally weaker and dissimilatory (i.e., the target tone is lowered when the following tone is higher, and raised when the following tone is lower), although some exceptions have been reported (Brunelle 2009;  Chang and Hsieh 2012; DiCanio 2014; Shen 1990).</w:t>
      </w:r>
    </w:p>
    <w:p w14:paraId="254B3174" w14:textId="755ED48F" w:rsidR="00783609" w:rsidRPr="0032528B" w:rsidRDefault="00AC0038" w:rsidP="00783609">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Xu (1997) argues that the dissimilation seen in anticipatory effects could be attributed to either the </w:t>
      </w:r>
      <w:r>
        <w:rPr>
          <w:rFonts w:ascii="Times New Roman" w:eastAsia="STKaiti" w:hAnsi="Times New Roman" w:cs="Times New Roman"/>
          <w:color w:val="000000" w:themeColor="text1"/>
          <w:highlight w:val="yellow"/>
        </w:rPr>
        <w:t>comparatively</w:t>
      </w:r>
      <w:r>
        <w:rPr>
          <w:rFonts w:ascii="Times New Roman" w:eastAsia="STKaiti" w:hAnsi="Times New Roman" w:cs="Times New Roman"/>
          <w:color w:val="000000" w:themeColor="text1"/>
        </w:rPr>
        <w:t xml:space="preserve"> increased difficulty of reaching a low tonal target </w:t>
      </w:r>
      <w:r>
        <w:rPr>
          <w:rFonts w:ascii="Times New Roman" w:eastAsia="STKaiti" w:hAnsi="Times New Roman" w:cs="Times New Roman"/>
          <w:color w:val="000000" w:themeColor="text1"/>
          <w:highlight w:val="yellow"/>
        </w:rPr>
        <w:t>compared with a high tonal target due to biomechanical constraints (Erickson 1976)</w:t>
      </w:r>
      <w:r>
        <w:rPr>
          <w:rFonts w:ascii="Times New Roman" w:eastAsia="STKaiti" w:hAnsi="Times New Roman" w:cs="Times New Roman"/>
          <w:color w:val="000000" w:themeColor="text1"/>
        </w:rPr>
        <w:t xml:space="preserve">, which can be alleviated by extending the upper range of the preceding tone (a view also shared by Gandour et al. 1992), or the functional need to distinguish between tonal coarticulation and downstepping (i.e., the gradual global declination of pitch in continuous speech; see also Brunelle 2009). However, the various exceptions brought forth so far strongly suggest this distribution may not be universal.</w:t>
      </w:r>
    </w:p>
    <w:p w14:paraId="1377BB54" w14:textId="20AF4262" w:rsidR="00506FFC" w:rsidRPr="0032528B" w:rsidRDefault="00216993" w:rsidP="00506FFC">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Beijing Mandarin (hereafter BM), tonal coarticulation is likewise attested, and a distribution similar to the putative typological distribution has been found (cf. Shen 1990</w:t>
      </w:r>
      <w:r>
        <w:rPr>
          <w:rFonts w:ascii="Times New Roman" w:eastAsia="STKaiti" w:hAnsi="Times New Roman" w:cs="Times New Roman"/>
          <w:color w:val="000000" w:themeColor="text1"/>
          <w:lang w:eastAsia="zh-TW"/>
        </w:rPr>
        <w:t>;</w:t>
      </w:r>
      <w:r>
        <w:rPr>
          <w:rFonts w:ascii="Times New Roman" w:eastAsia="STKaiti" w:hAnsi="Times New Roman" w:cs="Times New Roman"/>
          <w:color w:val="000000" w:themeColor="text1"/>
        </w:rPr>
        <w:t xml:space="preserve"> however, for symmetric findings). Such are the findings of Xu (1994), where the author investigated the rising (35) and falling (51) tones in compatible contexts (i.e., low offset before and high onset after the rising tone, and high offset before and low onset after the falling tone; e.g., 21+</w:t>
      </w:r>
      <w:r>
        <w:rPr>
          <w:rFonts w:ascii="Times New Roman" w:eastAsia="STKaiti" w:hAnsi="Times New Roman" w:cs="Times New Roman"/>
          <w:color w:val="000000" w:themeColor="text1"/>
          <w:u w:val="single"/>
        </w:rPr>
        <w:t>35</w:t>
      </w:r>
      <w:r>
        <w:rPr>
          <w:rFonts w:ascii="Times New Roman" w:eastAsia="STKaiti" w:hAnsi="Times New Roman" w:cs="Times New Roman"/>
          <w:color w:val="000000" w:themeColor="text1"/>
        </w:rPr>
        <w:t>+55 or 55+</w:t>
      </w:r>
      <w:r>
        <w:rPr>
          <w:rFonts w:ascii="Times New Roman" w:eastAsia="STKaiti" w:hAnsi="Times New Roman" w:cs="Times New Roman"/>
          <w:color w:val="000000" w:themeColor="text1"/>
          <w:u w:val="single"/>
        </w:rPr>
        <w:t>51</w:t>
      </w:r>
      <w:r>
        <w:rPr>
          <w:rFonts w:ascii="Times New Roman" w:eastAsia="STKaiti" w:hAnsi="Times New Roman" w:cs="Times New Roman"/>
          <w:color w:val="000000" w:themeColor="text1"/>
        </w:rPr>
        <w:t xml:space="preserve">+21) and conflicting contexts (i.e., opposite directions as the compatible </w:t>
        <w:lastRenderedPageBreak/>
        <w:t>contexts; e.g., 55+</w:t>
      </w:r>
      <w:r>
        <w:rPr>
          <w:rFonts w:ascii="Times New Roman" w:eastAsia="STKaiti" w:hAnsi="Times New Roman" w:cs="Times New Roman"/>
          <w:color w:val="000000" w:themeColor="text1"/>
          <w:u w:val="single"/>
        </w:rPr>
        <w:t>35</w:t>
      </w:r>
      <w:r>
        <w:rPr>
          <w:rFonts w:ascii="Times New Roman" w:eastAsia="STKaiti" w:hAnsi="Times New Roman" w:cs="Times New Roman"/>
          <w:color w:val="000000" w:themeColor="text1"/>
        </w:rPr>
        <w:t>+21 or 51+</w:t>
      </w:r>
      <w:r>
        <w:rPr>
          <w:rFonts w:ascii="Times New Roman" w:eastAsia="STKaiti" w:hAnsi="Times New Roman" w:cs="Times New Roman"/>
          <w:color w:val="000000" w:themeColor="text1"/>
          <w:u w:val="single"/>
        </w:rPr>
        <w:t>51</w:t>
      </w:r>
      <w:r>
        <w:rPr>
          <w:rFonts w:ascii="Times New Roman" w:eastAsia="STKaiti" w:hAnsi="Times New Roman" w:cs="Times New Roman"/>
          <w:color w:val="000000" w:themeColor="text1"/>
        </w:rPr>
        <w:t xml:space="preserve">+51). Stronger carryover effects were attested, as compared to anticipatory effects. Likewise, Xu (1997) investigated all possible disyllabic combinations of tones in isolation and in carrier sentences with different tonal contexts. Carryover effects were once again found to be stronger than anticipatory effects. Specifically, carryover effects were assimilatory, while anticipatory effects induced dissimilation. This asymmetry was largely replicated in Huang (2025). Under the presumption that carryover effects are assimilatory and anticipatory effects dissimilatory, Huang showed that target tones flanked by adjacent high/low tone onsets/offsets were raised in the raising positions and lowered in the lowering positions. Tone-specific idiosyncrasies, however, were also shown, where the “high” (high-level and rising) tones were more readily subject to tonal coarticulation, followed by the falling tone and the low tone.</w:t>
      </w:r>
    </w:p>
    <w:p w14:paraId="70326E7C" w14:textId="53675A90" w:rsidR="00216993" w:rsidRPr="0032528B" w:rsidRDefault="00216993"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An opposite finding, however, was put forth in Shen (1990). Upon investigating trisyllabic non-words /pa.pa.pa/ with all possible tone combinations, essentially no dissimilatory effects were found. Instead, both carryover and anticipatory effects exhibited assimilation on the target tones. This may be due to differences in experimental designs. In Shen (1990), the participants were specifically asked to put equal duration and stress on each syllable. This may induce patterns different from those that would be found in natural speech.</w:t>
      </w:r>
    </w:p>
    <w:p w14:paraId="3B60CC42" w14:textId="3CFB6F57" w:rsidR="00216993" w:rsidRPr="0032528B" w:rsidRDefault="00216993"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Taiwan Mandarin (hereafter TM), another dialect of Mandarin, aligns partially with BM in that carryover effects are also stronger than anticipatory effects in TM. In terms of directionality, however, while carryover effects are also assimilatory as BM, anticipatory effects in TM are inconsistent. Huang (2013), for instance, investigated the variations of the target tones in trisyllabic non-words with all possible tone combinations. The results demonstrated stronger carryover effects and weaker anticipatory effects. Similarly, stronger carryover effects were also </w:t>
        <w:lastRenderedPageBreak/>
        <w:t>found in Jeng’s (2012) study on disyllabic words. In terms of directionality, carryover assimilation was found in both studies, while both assimilation and dissimilation were found for anticipatory effects in Huang (2013).</w:t>
      </w:r>
    </w:p>
    <w:p w14:paraId="2B5A5866" w14:textId="290638DA" w:rsidR="0096294C" w:rsidRPr="0032528B" w:rsidRDefault="00CB774E" w:rsidP="0096294C">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findings in Taiwan Southern Min (hereafter TSM), in contrast, demonstrated more inconsistency in terms of tonal coarticulation directionality. Lin (1989) reported tonal coarticulation to be very weak and non-significant, while other studies reported significant coarticulatory effects (Peng 1997; Wang 2002). In Wang (2002), tri-syllabic nonwords were investigated, and assimilatory effects were found in both the carryover and the anticipatory positions. Such atypicality in TSM may be explained by the “final prominence” in the language, a view proposed by Chang and Hsieh (2012) to account for the more symmetric distribution of tonal coarticulation in Malaysian Southern Min. In Chang and Hsieh (2012), it is proposed that Malaysian Southern Min puts a stronger emphasis/prominence on phrase-final syllables, where the underlying tone is kept without going through tone sandhi. All the other tones in non-final positions, however, are subject to tone sandhi. Chang and Hsieh (2012), therefore, propose that there is a higher faithfulness pressure in phrase-final positions </w:t>
      </w:r>
      <w:r>
        <w:rPr>
          <w:rFonts w:ascii="Times New Roman" w:eastAsia="STKaiti" w:hAnsi="Times New Roman" w:cs="Times New Roman"/>
          <w:color w:val="000000" w:themeColor="text1"/>
          <w:highlight w:val="yellow"/>
        </w:rPr>
        <w:t>(i.e., emphasis on the following context)</w:t>
      </w:r>
      <w:r>
        <w:rPr>
          <w:rFonts w:ascii="Times New Roman" w:eastAsia="STKaiti" w:hAnsi="Times New Roman" w:cs="Times New Roman"/>
          <w:color w:val="000000" w:themeColor="text1"/>
        </w:rPr>
        <w:t xml:space="preserve">, which could act to </w:t>
      </w:r>
      <w:r>
        <w:rPr>
          <w:rFonts w:ascii="Times New Roman" w:eastAsia="STKaiti" w:hAnsi="Times New Roman" w:cs="Times New Roman"/>
          <w:color w:val="000000" w:themeColor="text1"/>
          <w:highlight w:val="yellow"/>
        </w:rPr>
        <w:t>attenuate</w:t>
      </w:r>
      <w:r>
        <w:rPr>
          <w:rFonts w:ascii="Times New Roman" w:eastAsia="STKaiti" w:hAnsi="Times New Roman" w:cs="Times New Roman"/>
          <w:color w:val="000000" w:themeColor="text1"/>
        </w:rPr>
        <w:t xml:space="preserve"> the natural </w:t>
      </w:r>
      <w:r>
        <w:rPr>
          <w:rFonts w:ascii="Times New Roman" w:eastAsia="STKaiti" w:hAnsi="Times New Roman" w:cs="Times New Roman"/>
          <w:color w:val="000000" w:themeColor="text1"/>
          <w:highlight w:val="yellow"/>
        </w:rPr>
        <w:t>progressive</w:t>
      </w:r>
      <w:r>
        <w:rPr>
          <w:rFonts w:ascii="Times New Roman" w:eastAsia="STKaiti" w:hAnsi="Times New Roman" w:cs="Times New Roman"/>
          <w:color w:val="000000" w:themeColor="text1"/>
        </w:rPr>
        <w:t xml:space="preserve"> bias in favor of the initial syllables, </w:t>
      </w:r>
      <w:r>
        <w:rPr>
          <w:rFonts w:ascii="Times New Roman" w:eastAsia="STKaiti" w:hAnsi="Times New Roman" w:cs="Times New Roman"/>
          <w:color w:val="000000" w:themeColor="text1"/>
          <w:highlight w:val="yellow"/>
        </w:rPr>
        <w:t>which is a natural direct consequence of speech being linear through time.</w:t>
      </w:r>
      <w:r>
        <w:rPr>
          <w:rFonts w:ascii="Times New Roman" w:eastAsia="STKaiti" w:hAnsi="Times New Roman" w:cs="Times New Roman"/>
          <w:color w:val="000000" w:themeColor="text1"/>
        </w:rPr>
        <w:t xml:space="preserve"> Once such bias is counterbalanced, the tonal coarticulatory effects become more symmetric.</w:t>
      </w:r>
    </w:p>
    <w:p w14:paraId="4F93E20A" w14:textId="4429A45F" w:rsidR="00EC4FE5" w:rsidRPr="0032528B" w:rsidRDefault="001A2334" w:rsidP="0096294C">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inconsistency in TSM, however, lay in different tone pairs. Compared with other sequences, when a low tone T3 (21) was followed by a rising tone T5 (35) or a falling tone T2 (51), the anticipatory effects were not significant. A similar lack of anticipatory effects was also observed when a high-level tone T1 (55) was followed by a rising tone T5 (35) or a falling tone T2 (51).  </w:t>
      </w:r>
      <w:r>
        <w:rPr>
          <w:rFonts w:ascii="Times New Roman" w:hAnsi="Times New Roman" w:cs="Times New Roman"/>
          <w:color w:val="000000" w:themeColor="text1"/>
        </w:rPr>
        <w:t xml:space="preserve">Tonal context also modulates anticipatory coarticulation: assimilatory effects have been </w:t>
        <w:lastRenderedPageBreak/>
        <w:t xml:space="preserve">observed in contour tone contexts, whereas dissimilatory effects have been reported in level tone contexts (Peng 1997). </w:t>
      </w:r>
      <w:r>
        <w:rPr>
          <w:rFonts w:ascii="Times New Roman" w:eastAsia="STKaiti" w:hAnsi="Times New Roman" w:cs="Times New Roman"/>
          <w:color w:val="000000" w:themeColor="text1"/>
        </w:rPr>
        <w:t>In terms of magnitudes, Wang (2002) also observed stronger carryover effects than anticipatory effects.</w:t>
      </w:r>
    </w:p>
    <w:p w14:paraId="109FC5E5" w14:textId="46B58609" w:rsidR="00216993" w:rsidRPr="0032528B" w:rsidRDefault="00216993"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Overall, the distributions of tonal coarticulation in the three languages can be summarized in Table 1.</w:t>
      </w:r>
    </w:p>
    <w:p w14:paraId="579E58D1" w14:textId="35842230" w:rsidR="00216993" w:rsidRPr="0032528B" w:rsidRDefault="00216993"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Table 1. Distributions of tonal coarticulation in Beijing Mandarin (BM), Taiwan Mandarin (TM), and Taiwan Southern Min (TSM).</w:t>
      </w:r>
    </w:p>
    <w:tbl>
      <w:tblPr>
        <w:tblStyle w:val="Grilledutableau"/>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68"/>
        <w:gridCol w:w="1672"/>
        <w:gridCol w:w="1734"/>
        <w:gridCol w:w="1875"/>
        <w:gridCol w:w="1811"/>
      </w:tblGrid>
      <w:tr w:rsidR="0006295E" w:rsidRPr="0032528B" w14:paraId="30B1CA73" w14:textId="2737047A" w:rsidTr="00DB1E76">
        <w:tc>
          <w:tcPr>
            <w:tcW w:w="2268" w:type="dxa"/>
            <w:tcMar>
              <w:top w:w="0" w:type="dxa"/>
              <w:left w:w="0" w:type="dxa"/>
              <w:bottom w:w="0" w:type="dxa"/>
              <w:right w:w="0" w:type="dxa"/>
            </w:tcMar>
          </w:tcPr>
          <w:p w14:paraId="70C239F1" w14:textId="77777777" w:rsidR="00216993" w:rsidRPr="0032528B" w:rsidRDefault="00216993" w:rsidP="00DB1E76">
            <w:pPr>
              <w:pStyle w:val="JASABodyText"/>
              <w:spacing w:line="276" w:lineRule="auto"/>
              <w:rPr>
                <w:rFonts w:ascii="Times New Roman" w:eastAsia="STKaiti" w:hAnsi="Times New Roman" w:cs="Times New Roman"/>
                <w:color w:val="000000" w:themeColor="text1"/>
              </w:rPr>
            </w:pPr>
          </w:p>
        </w:tc>
        <w:tc>
          <w:tcPr>
            <w:tcW w:w="3406" w:type="dxa"/>
            <w:gridSpan w:val="2"/>
            <w:tcMar>
              <w:top w:w="0" w:type="dxa"/>
              <w:left w:w="0" w:type="dxa"/>
              <w:bottom w:w="0" w:type="dxa"/>
              <w:right w:w="0" w:type="dxa"/>
            </w:tcMar>
          </w:tcPr>
          <w:p w14:paraId="7B4ADA51" w14:textId="7679FAFF"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Magnitude</w:t>
            </w:r>
          </w:p>
        </w:tc>
        <w:tc>
          <w:tcPr>
            <w:tcW w:w="3686" w:type="dxa"/>
            <w:gridSpan w:val="2"/>
            <w:tcMar>
              <w:top w:w="0" w:type="dxa"/>
              <w:left w:w="0" w:type="dxa"/>
              <w:bottom w:w="0" w:type="dxa"/>
              <w:right w:w="0" w:type="dxa"/>
            </w:tcMar>
          </w:tcPr>
          <w:p w14:paraId="04B389A6" w14:textId="55C368D1"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Directionality</w:t>
            </w:r>
          </w:p>
        </w:tc>
      </w:tr>
      <w:tr w:rsidR="0006295E" w:rsidRPr="0032528B" w14:paraId="616E7DE4" w14:textId="76B46A29" w:rsidTr="00DB1E76">
        <w:tc>
          <w:tcPr>
            <w:tcW w:w="2268" w:type="dxa"/>
            <w:tcMar>
              <w:top w:w="0" w:type="dxa"/>
              <w:left w:w="0" w:type="dxa"/>
              <w:bottom w:w="0" w:type="dxa"/>
              <w:right w:w="0" w:type="dxa"/>
            </w:tcMar>
          </w:tcPr>
          <w:p w14:paraId="73FF926C" w14:textId="77777777" w:rsidR="00216993" w:rsidRPr="0032528B" w:rsidRDefault="00216993" w:rsidP="00DB1E76">
            <w:pPr>
              <w:pStyle w:val="JASABodyText"/>
              <w:spacing w:line="276" w:lineRule="auto"/>
              <w:rPr>
                <w:rFonts w:ascii="Times New Roman" w:eastAsia="STKaiti" w:hAnsi="Times New Roman" w:cs="Times New Roman"/>
                <w:color w:val="000000" w:themeColor="text1"/>
              </w:rPr>
            </w:pPr>
          </w:p>
        </w:tc>
        <w:tc>
          <w:tcPr>
            <w:tcW w:w="1672" w:type="dxa"/>
            <w:tcMar>
              <w:top w:w="0" w:type="dxa"/>
              <w:left w:w="0" w:type="dxa"/>
              <w:bottom w:w="0" w:type="dxa"/>
              <w:right w:w="0" w:type="dxa"/>
            </w:tcMar>
          </w:tcPr>
          <w:p w14:paraId="2EA1261B" w14:textId="17365052" w:rsidR="00216993" w:rsidRPr="0032528B" w:rsidRDefault="003F3E32"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Carryover</w:t>
            </w:r>
          </w:p>
        </w:tc>
        <w:tc>
          <w:tcPr>
            <w:tcW w:w="1734" w:type="dxa"/>
            <w:tcMar>
              <w:top w:w="0" w:type="dxa"/>
              <w:left w:w="0" w:type="dxa"/>
              <w:bottom w:w="0" w:type="dxa"/>
              <w:right w:w="0" w:type="dxa"/>
            </w:tcMar>
          </w:tcPr>
          <w:p w14:paraId="66DC1FE3" w14:textId="28A662A8"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Anticipatory</w:t>
            </w:r>
          </w:p>
        </w:tc>
        <w:tc>
          <w:tcPr>
            <w:tcW w:w="1875" w:type="dxa"/>
            <w:tcMar>
              <w:top w:w="0" w:type="dxa"/>
              <w:left w:w="0" w:type="dxa"/>
              <w:bottom w:w="0" w:type="dxa"/>
              <w:right w:w="0" w:type="dxa"/>
            </w:tcMar>
          </w:tcPr>
          <w:p w14:paraId="773FB0CC" w14:textId="441E4924" w:rsidR="00216993" w:rsidRPr="0032528B" w:rsidRDefault="003F3E32"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Carryover</w:t>
            </w:r>
          </w:p>
        </w:tc>
        <w:tc>
          <w:tcPr>
            <w:tcW w:w="1811" w:type="dxa"/>
            <w:tcMar>
              <w:top w:w="0" w:type="dxa"/>
              <w:left w:w="0" w:type="dxa"/>
              <w:bottom w:w="0" w:type="dxa"/>
              <w:right w:w="0" w:type="dxa"/>
            </w:tcMar>
          </w:tcPr>
          <w:p w14:paraId="0259A454" w14:textId="786724A4"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Anticipatory</w:t>
            </w:r>
          </w:p>
        </w:tc>
      </w:tr>
      <w:tr w:rsidR="0006295E" w:rsidRPr="0032528B" w14:paraId="130689BA" w14:textId="4401E08A" w:rsidTr="00DB1E76">
        <w:tc>
          <w:tcPr>
            <w:tcW w:w="2268" w:type="dxa"/>
            <w:tcMar>
              <w:top w:w="0" w:type="dxa"/>
              <w:left w:w="0" w:type="dxa"/>
              <w:bottom w:w="0" w:type="dxa"/>
              <w:right w:w="0" w:type="dxa"/>
            </w:tcMar>
          </w:tcPr>
          <w:p w14:paraId="2FB062F0" w14:textId="178D3C3D" w:rsidR="00216993" w:rsidRPr="0032528B" w:rsidRDefault="00FA3D6D" w:rsidP="00DB1E76">
            <w:pPr>
              <w:pStyle w:val="JASABodyText"/>
              <w:spacing w:line="276" w:lineRule="auto"/>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 xml:space="preserve">Beijing Mandarin </w:t>
            </w:r>
            <w:r>
              <w:rPr>
                <w:rFonts w:ascii="Times New Roman" w:eastAsia="STKaiti" w:hAnsi="Times New Roman" w:cs="Times New Roman"/>
                <w:color w:val="000000" w:themeColor="text1"/>
                <w:sz w:val="16"/>
                <w:szCs w:val="16"/>
                <w:lang w:val="fr-FR"/>
              </w:rPr>
              <w:t>(Xu 1994; 1997; Huang 2025)</w:t>
            </w:r>
          </w:p>
        </w:tc>
        <w:tc>
          <w:tcPr>
            <w:tcW w:w="1672" w:type="dxa"/>
            <w:tcMar>
              <w:top w:w="0" w:type="dxa"/>
              <w:left w:w="0" w:type="dxa"/>
              <w:bottom w:w="0" w:type="dxa"/>
              <w:right w:w="0" w:type="dxa"/>
            </w:tcMar>
          </w:tcPr>
          <w:p w14:paraId="1CD05DC4" w14:textId="77777777"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Strong</w:t>
            </w:r>
          </w:p>
        </w:tc>
        <w:tc>
          <w:tcPr>
            <w:tcW w:w="1734" w:type="dxa"/>
            <w:tcMar>
              <w:top w:w="0" w:type="dxa"/>
              <w:left w:w="0" w:type="dxa"/>
              <w:bottom w:w="0" w:type="dxa"/>
              <w:right w:w="0" w:type="dxa"/>
            </w:tcMar>
          </w:tcPr>
          <w:p w14:paraId="5C70696B" w14:textId="138C9DAE"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Weak</w:t>
            </w:r>
          </w:p>
        </w:tc>
        <w:tc>
          <w:tcPr>
            <w:tcW w:w="1875" w:type="dxa"/>
            <w:tcMar>
              <w:top w:w="0" w:type="dxa"/>
              <w:left w:w="0" w:type="dxa"/>
              <w:bottom w:w="0" w:type="dxa"/>
              <w:right w:w="0" w:type="dxa"/>
            </w:tcMar>
          </w:tcPr>
          <w:p w14:paraId="00A9F41C" w14:textId="25C046FF"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Assimilatory</w:t>
            </w:r>
          </w:p>
        </w:tc>
        <w:tc>
          <w:tcPr>
            <w:tcW w:w="1811" w:type="dxa"/>
            <w:tcMar>
              <w:top w:w="0" w:type="dxa"/>
              <w:left w:w="0" w:type="dxa"/>
              <w:bottom w:w="0" w:type="dxa"/>
              <w:right w:w="0" w:type="dxa"/>
            </w:tcMar>
          </w:tcPr>
          <w:p w14:paraId="170FE68E" w14:textId="23B4F1C0"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Dissimilatory</w:t>
            </w:r>
          </w:p>
        </w:tc>
      </w:tr>
      <w:tr w:rsidR="0006295E" w:rsidRPr="0032528B" w14:paraId="07A73ED2" w14:textId="580C8697" w:rsidTr="00DB1E76">
        <w:tc>
          <w:tcPr>
            <w:tcW w:w="2268" w:type="dxa"/>
            <w:tcMar>
              <w:top w:w="0" w:type="dxa"/>
              <w:left w:w="0" w:type="dxa"/>
              <w:bottom w:w="0" w:type="dxa"/>
              <w:right w:w="0" w:type="dxa"/>
            </w:tcMar>
          </w:tcPr>
          <w:p w14:paraId="7CDE56D8" w14:textId="6E35CC6C" w:rsidR="00216993" w:rsidRPr="0032528B" w:rsidRDefault="00561EED" w:rsidP="00DB1E76">
            <w:pPr>
              <w:pStyle w:val="JASABodyText"/>
              <w:spacing w:line="276" w:lineRule="auto"/>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Taiwan Mandarin </w:t>
            </w:r>
            <w:r>
              <w:rPr>
                <w:rFonts w:ascii="Times New Roman" w:eastAsia="STKaiti" w:hAnsi="Times New Roman" w:cs="Times New Roman"/>
                <w:color w:val="000000" w:themeColor="text1"/>
                <w:sz w:val="16"/>
                <w:szCs w:val="16"/>
              </w:rPr>
              <w:t xml:space="preserve">(Huang 2013; Jeng 2012)</w:t>
            </w:r>
          </w:p>
        </w:tc>
        <w:tc>
          <w:tcPr>
            <w:tcW w:w="1672" w:type="dxa"/>
            <w:tcMar>
              <w:top w:w="0" w:type="dxa"/>
              <w:left w:w="0" w:type="dxa"/>
              <w:bottom w:w="0" w:type="dxa"/>
              <w:right w:w="0" w:type="dxa"/>
            </w:tcMar>
          </w:tcPr>
          <w:p w14:paraId="78B6A399" w14:textId="557B958F"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Strong</w:t>
            </w:r>
          </w:p>
        </w:tc>
        <w:tc>
          <w:tcPr>
            <w:tcW w:w="1734" w:type="dxa"/>
            <w:tcMar>
              <w:top w:w="0" w:type="dxa"/>
              <w:left w:w="0" w:type="dxa"/>
              <w:bottom w:w="0" w:type="dxa"/>
              <w:right w:w="0" w:type="dxa"/>
            </w:tcMar>
          </w:tcPr>
          <w:p w14:paraId="2B43B163" w14:textId="43BC4A89"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Weak</w:t>
            </w:r>
          </w:p>
        </w:tc>
        <w:tc>
          <w:tcPr>
            <w:tcW w:w="1875" w:type="dxa"/>
            <w:tcMar>
              <w:top w:w="0" w:type="dxa"/>
              <w:left w:w="0" w:type="dxa"/>
              <w:bottom w:w="0" w:type="dxa"/>
              <w:right w:w="0" w:type="dxa"/>
            </w:tcMar>
          </w:tcPr>
          <w:p w14:paraId="11AF283C" w14:textId="3E9BFB07"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Assimilatory</w:t>
            </w:r>
          </w:p>
        </w:tc>
        <w:tc>
          <w:tcPr>
            <w:tcW w:w="1811" w:type="dxa"/>
            <w:tcMar>
              <w:top w:w="0" w:type="dxa"/>
              <w:left w:w="0" w:type="dxa"/>
              <w:bottom w:w="0" w:type="dxa"/>
              <w:right w:w="0" w:type="dxa"/>
            </w:tcMar>
          </w:tcPr>
          <w:p w14:paraId="739420C0" w14:textId="0FF2DAE8" w:rsidR="00216993" w:rsidRPr="0032528B" w:rsidRDefault="00216993"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Inconsistent</w:t>
            </w:r>
          </w:p>
        </w:tc>
      </w:tr>
      <w:tr w:rsidR="00EC4FE5" w:rsidRPr="0032528B" w14:paraId="692616FA" w14:textId="77777777" w:rsidTr="00DB1E76">
        <w:tc>
          <w:tcPr>
            <w:tcW w:w="2268" w:type="dxa"/>
            <w:tcMar>
              <w:top w:w="0" w:type="dxa"/>
              <w:left w:w="0" w:type="dxa"/>
              <w:bottom w:w="0" w:type="dxa"/>
              <w:right w:w="0" w:type="dxa"/>
            </w:tcMar>
          </w:tcPr>
          <w:p w14:paraId="14DFA59E" w14:textId="79EABB37" w:rsidR="00EC4FE5" w:rsidRPr="0032528B" w:rsidRDefault="00EC4FE5" w:rsidP="00DB1E76">
            <w:pPr>
              <w:pStyle w:val="JASABodyText"/>
              <w:spacing w:line="276" w:lineRule="auto"/>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Taiwan Southern Min </w:t>
            </w:r>
            <w:r>
              <w:rPr>
                <w:rFonts w:ascii="Times New Roman" w:eastAsia="STKaiti" w:hAnsi="Times New Roman" w:cs="Times New Roman"/>
                <w:color w:val="000000" w:themeColor="text1"/>
                <w:sz w:val="16"/>
                <w:szCs w:val="16"/>
              </w:rPr>
              <w:t xml:space="preserve">(Lin 1989; Peng 1997; Wang 2002)</w:t>
            </w:r>
          </w:p>
        </w:tc>
        <w:tc>
          <w:tcPr>
            <w:tcW w:w="3406" w:type="dxa"/>
            <w:gridSpan w:val="2"/>
            <w:tcMar>
              <w:top w:w="0" w:type="dxa"/>
              <w:left w:w="0" w:type="dxa"/>
              <w:bottom w:w="0" w:type="dxa"/>
              <w:right w:w="0" w:type="dxa"/>
            </w:tcMar>
          </w:tcPr>
          <w:p w14:paraId="7B5375EB" w14:textId="01DC4F95" w:rsidR="00EC4FE5" w:rsidRPr="0032528B" w:rsidRDefault="00EC4FE5"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Inconsistent</w:t>
            </w:r>
          </w:p>
        </w:tc>
        <w:tc>
          <w:tcPr>
            <w:tcW w:w="1875" w:type="dxa"/>
            <w:tcMar>
              <w:top w:w="0" w:type="dxa"/>
              <w:left w:w="0" w:type="dxa"/>
              <w:bottom w:w="0" w:type="dxa"/>
              <w:right w:w="0" w:type="dxa"/>
            </w:tcMar>
          </w:tcPr>
          <w:p w14:paraId="4BDFC3AA" w14:textId="00FA23EC" w:rsidR="00EC4FE5" w:rsidRPr="0032528B" w:rsidRDefault="00EC4FE5" w:rsidP="00DB1E76">
            <w:pPr>
              <w:pStyle w:val="JASABodyText"/>
              <w:spacing w:line="276" w:lineRule="auto"/>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Assimilatory</w:t>
            </w:r>
          </w:p>
        </w:tc>
        <w:tc>
          <w:tcPr>
            <w:tcW w:w="1811" w:type="dxa"/>
            <w:tcMar>
              <w:top w:w="0" w:type="dxa"/>
              <w:left w:w="0" w:type="dxa"/>
              <w:bottom w:w="0" w:type="dxa"/>
              <w:right w:w="0" w:type="dxa"/>
            </w:tcMar>
          </w:tcPr>
          <w:p w14:paraId="62621E02" w14:textId="774F67E1" w:rsidR="00EC4FE5" w:rsidRPr="0032528B" w:rsidRDefault="00EC4FE5" w:rsidP="00DB1E76">
            <w:pPr>
              <w:pStyle w:val="JASABodyText"/>
              <w:spacing w:line="276" w:lineRule="auto"/>
              <w:jc w:val="center"/>
              <w:rPr>
                <w:rFonts w:ascii="Times New Roman" w:eastAsia="STKaiti" w:hAnsi="Times New Roman" w:cs="Times New Roman"/>
                <w:color w:val="000000" w:themeColor="text1"/>
                <w:vertAlign w:val="superscript"/>
              </w:rPr>
            </w:pPr>
            <w:r>
              <w:rPr>
                <w:rFonts w:ascii="Times New Roman" w:eastAsia="STKaiti" w:hAnsi="Times New Roman" w:cs="Times New Roman"/>
                <w:color w:val="000000" w:themeColor="text1"/>
              </w:rPr>
              <w:t xml:space="preserve">Inconsistent </w:t>
            </w:r>
          </w:p>
        </w:tc>
      </w:tr>
    </w:tbl>
    <w:p w14:paraId="78F515F8" w14:textId="77777777" w:rsidR="00A40BF8" w:rsidRPr="0032528B" w:rsidRDefault="00A40BF8" w:rsidP="0034190F">
      <w:pPr>
        <w:pStyle w:val="JASABodyText"/>
        <w:ind w:firstLine="0"/>
        <w:rPr>
          <w:rFonts w:ascii="Times New Roman" w:eastAsia="STKaiti" w:hAnsi="Times New Roman" w:cs="Times New Roman"/>
          <w:color w:val="000000" w:themeColor="text1"/>
        </w:rPr>
      </w:pPr>
    </w:p>
    <w:p w14:paraId="52A45403" w14:textId="01BCD2A3" w:rsidR="00216993" w:rsidRPr="0032528B" w:rsidRDefault="00991BC2"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lang w:eastAsia="zh-TW"/>
        </w:rPr>
        <w:t>Th</w:t>
      </w:r>
      <w:r>
        <w:rPr>
          <w:rFonts w:ascii="Times New Roman" w:eastAsia="STKaiti" w:hAnsi="Times New Roman" w:cs="Times New Roman"/>
          <w:color w:val="000000" w:themeColor="text1"/>
        </w:rPr>
        <w:t xml:space="preserve">e inconsistency in directionality attested above among the three languages suggests that tonal coarticulation may at least involve certain degrees of linguistic differences. Crucially, while tonal coarticulation has been attested in all three aforementioned languages and dialects, no study has systematically compared the magnitude of tonal coarticulation between these languages or dialects. There are four lexical tones in TM: T1 (55), T2 (35), T3 (21) and T4 (51), and seven in TSM: T1 (55), T2 (51), T3 (21), T4 (2), T5 (35), T7 (33) and T8 (4).</w:t>
      </w:r>
      <w:r>
        <w:rPr>
          <w:rStyle w:val="Appelnotedebasdep"/>
          <w:rFonts w:ascii="Times New Roman" w:eastAsia="STKaiti" w:hAnsi="Times New Roman" w:cs="Times New Roman"/>
          <w:color w:val="000000" w:themeColor="text1"/>
        </w:rPr>
        <w:footnoteReference w:id="3"/>
      </w:r>
      <w:r>
        <w:rPr>
          <w:rFonts w:ascii="Times New Roman" w:eastAsia="STKaiti" w:hAnsi="Times New Roman" w:cs="Times New Roman"/>
          <w:color w:val="000000" w:themeColor="text1"/>
        </w:rPr>
        <w:t xml:space="preserve"> With different sizes of tone inventory and distribution, magnitude differences of tonal coarticulation between TM and TSM could be expected, and re-examinations with a quantifiable design are thus required. Such a </w:t>
        <w:lastRenderedPageBreak/>
        <w:t>systematic cross-linguistic comparison, then, may additionally shed light on the nature of tonal coarticulation.</w:t>
      </w:r>
    </w:p>
    <w:p w14:paraId="0809F922" w14:textId="057A0124" w:rsidR="00040FC6" w:rsidRPr="0032528B" w:rsidRDefault="0008740B" w:rsidP="0008740B">
      <w:pPr>
        <w:pStyle w:val="JASAsecond-levelheading"/>
        <w:rPr>
          <w:rFonts w:ascii="Times New Roman" w:eastAsia="STKaiti" w:hAnsi="Times New Roman" w:cs="Times New Roman"/>
        </w:rPr>
      </w:pPr>
      <w:r>
        <w:rPr>
          <w:rFonts w:ascii="Times New Roman" w:eastAsia="STKaiti" w:hAnsi="Times New Roman" w:cs="Times New Roman"/>
        </w:rPr>
        <w:t xml:space="preserve">1.2 Perceptual compensation for tonal coarticulation</w:t>
      </w:r>
    </w:p>
    <w:p w14:paraId="648F66A5" w14:textId="7DBD8C13" w:rsidR="00561EED" w:rsidRPr="0032528B" w:rsidRDefault="00561EED"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As mentioned previously, perceptual compensation for tonal coarticulation was first attested in Xu (1994). It was observed that the same target tone was perceived as lower when preceded by a high-pitch offset and as higher when preceded by a low-pitch offset. Since a high-pitch offset raised the following target tone onset, the listeners would perceptually compensate for the target tone and perceive it as lower than its surface realization, and vice versa when it was preceded by a low-pitch offset. This view was further supported by Zhang et al. (2022), where an ambiguous tone on a continuum from a low tone to a falling tone was perceived more as the low tone when preceded by a high-pitch offset and more as the falling tone when preceded by a low-pitch offset. This perceptual compensation, therefore, is considered a mechanism traversed from production to perception during tonal coarticulation, at least for BM. A target tone was first coarticulated and surfaced as another lexical tone under tonal coarticulation, and then retrieved through perceptual compensation. In addition to BM, such perceptual compensation for tonal coarticulation was also seen in TSM. In Wang (2002), trisyllabic words were used as stimuli, with the middle tone serving as the target tones, and the first and last tones swapped to other tones. It was observed that listeners tended to perceive the target tone as lower when the adjacent tone was high, and vice versa.</w:t>
      </w:r>
    </w:p>
    <w:p w14:paraId="0B8444C4" w14:textId="5ED0A24D" w:rsidR="00561EED" w:rsidRPr="0032528B" w:rsidRDefault="00561EED" w:rsidP="009F2E5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However, once again, no study has systematically compared such perceptual compensation between two languages, and to the best of the authors’ knowledge, perceptual compensation for tonal coarticulation in TM has not yet been examined. While TM and BM are two variants of the same language, potential prosodic differences (e.g., stress-timed vs. syllable-timed; Jun 2005) </w:t>
        <w:lastRenderedPageBreak/>
        <w:t xml:space="preserve">could still exist. As such, a comparison between TM and TSM in terms of the degrees of perceptual compensation also requires re-examination.</w:t>
      </w:r>
    </w:p>
    <w:p w14:paraId="483E8078" w14:textId="595E37DE" w:rsidR="00561EED" w:rsidRPr="0032528B" w:rsidRDefault="0008740B" w:rsidP="0008740B">
      <w:pPr>
        <w:pStyle w:val="JASAFIRST-LEVELHEADING"/>
        <w:numPr>
          <w:ilvl w:val="0"/>
          <w:numId w:val="0"/>
        </w:numPr>
        <w:rPr>
          <w:rFonts w:ascii="Times New Roman" w:eastAsia="STKaiti" w:hAnsi="Times New Roman" w:cs="Times New Roman"/>
        </w:rPr>
      </w:pPr>
      <w:r>
        <w:rPr>
          <w:rFonts w:ascii="Times New Roman" w:eastAsia="STKaiti" w:hAnsi="Times New Roman" w:cs="Times New Roman"/>
        </w:rPr>
        <w:t xml:space="preserve">1.3 </w:t>
      </w:r>
      <w:r>
        <w:rPr>
          <w:rFonts w:ascii="Times New Roman" w:eastAsia="STKaiti" w:hAnsi="Times New Roman" w:cs="Times New Roman"/>
          <w:caps w:val="0"/>
        </w:rPr>
        <w:t>Other possible mechanism</w:t>
      </w:r>
      <w:r>
        <w:rPr>
          <w:rFonts w:ascii="Times New Roman" w:eastAsia="STKaiti" w:hAnsi="Times New Roman" w:cs="Times New Roman"/>
          <w:caps w:val="0"/>
          <w:lang w:eastAsia="zh-TW"/>
        </w:rPr>
        <w:t>s</w:t>
      </w:r>
    </w:p>
    <w:p w14:paraId="6D11476C" w14:textId="6EBFCC9F" w:rsidR="00E820EE" w:rsidRPr="0032528B" w:rsidRDefault="00C65EB7" w:rsidP="008D4F61">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addition to perceptual compensation, we also aim to examine alternative mechanisms involved in coping with tonal coarticulation. For a language that has stronger tonal coarticulation and the subsequent tone variations, perceptual confusion is possible and has to be dealt with. This leads to the discussion of the two countering forces in speech communication. While the speaker would strive for ease of articulation, which is to make minimal articulatory efforts, the listener would prefer ease of perception, which involves robust perceptual contrasts (cf. </w:t>
      </w:r>
      <w:r>
        <w:rPr>
          <w:rFonts w:ascii="Times New Roman" w:eastAsia="STKaiti" w:hAnsi="Times New Roman" w:cs="Times New Roman"/>
          <w:color w:val="000000" w:themeColor="text1"/>
          <w:highlight w:val="yellow"/>
        </w:rPr>
        <w:t>H&amp;H Theory</w:t>
      </w:r>
      <w:r>
        <w:rPr>
          <w:rFonts w:ascii="Times New Roman" w:eastAsia="STKaiti" w:hAnsi="Times New Roman" w:cs="Times New Roman"/>
          <w:color w:val="000000" w:themeColor="text1"/>
        </w:rPr>
        <w:t xml:space="preserve">; Lindblom 1986, and 1990). In the case of tone variations induced by tonal coarticulation, lexical tones are coarticulated, therefore resulting in allotones. Consequently, to make contrasts among these allotones, either the speaker has to make more articulatory contrasts among the allotones, or the listener has to make perceptual compromises for the allotones. Take a tonal coarticulated low (21) tone</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rPr>
        <w:t xml:space="preserve">for example. A low tone’s onset may be raised when following a high-pitch offset. These allotones of the low tone become less contrastive from a falling (51) tone. To make a distinction between a canonical falling tone and a coarticulation-raised low tone, the speaker may make a larger contrast between the two by elevating the falling tone more, so it can be distinguished from the raised low tone. This approach, however, is disfavored. Cross-linguistically, tone space sizes/pitch ranges are rather stable (Alexander 2010; Kuang 2013) across different languages. An alternative possibility lies in listeners’ perceptual strategy: listeners could employ more well-defined (i.e., more narrowed) tone acceptance ranges for neighboring lexical tones. By acceptance, we describe how acceptable a realized tone is considered as a good token of the target tone. For instance, in a language with a stricter range of </w:t>
        <w:lastRenderedPageBreak/>
        <w:t xml:space="preserve">falling tones, a raised low tone may not be within the range for falling tones (Figure 1, left), while the same raised low tone may be accepted as a falling tone in another language with a wider range of falling tones (Figure 1, right). It is postulated that if a language has narrower tone acceptance ranges for lexical tones, a raised/lowered target tone would not be easily mistaken as another lexical tone and therefore could attain efficient comprehension without relying solely on perceptual compensation. </w:t>
      </w:r>
      <w:r>
        <w:rPr>
          <w:rFonts w:ascii="Times New Roman" w:hAnsi="Times New Roman" w:cs="Times New Roman"/>
          <w:color w:val="000000" w:themeColor="text1"/>
        </w:rPr>
        <w:t>In the absence of prior empirical evidence,</w:t>
      </w:r>
      <w:r>
        <w:rPr>
          <w:rFonts w:ascii="Times New Roman" w:eastAsia="STKaiti" w:hAnsi="Times New Roman" w:cs="Times New Roman"/>
          <w:color w:val="000000" w:themeColor="text1"/>
        </w:rPr>
        <w:t xml:space="preserve"> the current study aims to investigate how the tone acceptance ranges in different languages influence listeners’ perception of tonal coarticulation.</w:t>
      </w:r>
    </w:p>
    <w:p w14:paraId="1C19F68F" w14:textId="2E423AAC" w:rsidR="00E820EE" w:rsidRPr="0032528B" w:rsidRDefault="00E820EE" w:rsidP="005732E2">
      <w:pPr>
        <w:pStyle w:val="JASABodyText"/>
        <w:jc w:val="center"/>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drawing>
          <wp:inline distT="114300" distB="114300" distL="114300" distR="114300" wp14:anchorId="11D712F9" wp14:editId="79D44F07">
            <wp:extent cx="3309032" cy="1648945"/>
            <wp:effectExtent l="0" t="0" r="0" b="0"/>
            <wp:docPr id="1330351192" name="Image 133035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1192" name="Image 1330351192"/>
                    <pic:cNvPicPr preferRelativeResize="0"/>
                  </pic:nvPicPr>
                  <pic:blipFill>
                    <a:blip r:embed="rId11"/>
                    <a:stretch>
                      <a:fillRect/>
                    </a:stretch>
                  </pic:blipFill>
                  <pic:spPr>
                    <a:xfrm>
                      <a:off x="0" y="0"/>
                      <a:ext cx="3309032" cy="1648945"/>
                    </a:xfrm>
                    <a:prstGeom prst="rect">
                      <a:avLst/>
                    </a:prstGeom>
                    <a:ln/>
                  </pic:spPr>
                </pic:pic>
              </a:graphicData>
            </a:graphic>
          </wp:inline>
        </w:drawing>
      </w:r>
    </w:p>
    <w:p w14:paraId="215E838B" w14:textId="46903124" w:rsidR="00E820EE" w:rsidRPr="0032528B" w:rsidRDefault="00153D93" w:rsidP="00BE6D25">
      <w:pPr>
        <w:pStyle w:val="JASAFigureCaptionsandEndnotes"/>
        <w:rPr>
          <w:rFonts w:ascii="Times New Roman" w:hAnsi="Times New Roman" w:cs="Times New Roman"/>
          <w:color w:val="000000" w:themeColor="text1"/>
        </w:rPr>
      </w:pPr>
      <w:r>
        <w:rPr>
          <w:rFonts w:ascii="Times New Roman" w:hAnsi="Times New Roman" w:cs="Times New Roman"/>
          <w:color w:val="000000" w:themeColor="text1"/>
        </w:rPr>
        <w:t xml:space="preserve">Figure 1. An illustration of narrower (left) and wider (right) tone acceptance ranges of a falling tone. The red areas indicate the acceptance ranges. The darkness indicates the probability of acceptance.</w:t>
      </w:r>
    </w:p>
    <w:p w14:paraId="24F0116B" w14:textId="4847E52E" w:rsidR="00E820EE" w:rsidRPr="0032528B" w:rsidRDefault="0008740B" w:rsidP="0008740B">
      <w:pPr>
        <w:pStyle w:val="JASAFIRST-LEVELHEADING"/>
        <w:numPr>
          <w:ilvl w:val="0"/>
          <w:numId w:val="0"/>
        </w:numPr>
        <w:rPr>
          <w:rFonts w:ascii="Times New Roman" w:eastAsia="STKaiti" w:hAnsi="Times New Roman" w:cs="Times New Roman"/>
          <w:caps w:val="0"/>
        </w:rPr>
      </w:pPr>
      <w:r>
        <w:rPr>
          <w:rFonts w:ascii="Times New Roman" w:eastAsia="STKaiti" w:hAnsi="Times New Roman" w:cs="Times New Roman"/>
          <w:caps w:val="0"/>
        </w:rPr>
        <w:t xml:space="preserve">1.4 Tone inventory vs. tonal coarticulation</w:t>
      </w:r>
    </w:p>
    <w:p w14:paraId="2DCA5BD7" w14:textId="71892FA8" w:rsidR="00CB29FF" w:rsidRPr="0032528B" w:rsidRDefault="00E820EE" w:rsidP="00253187">
      <w:pPr>
        <w:pStyle w:val="JASABodyText"/>
        <w:ind w:firstLine="357"/>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current study examines how the aforementioned factors come into play in the context of TM and TSM tonal coarticulation. These two languages serve as good test cases for two reasons. For one, TSM has a larger tone inventory than TM. As such, the same degree of tonal coarticulation (in production) would be subject to a higher possibility of perceptual confusion. TSM is thus expected to have more constrained tonal coarticulation to reduce tone variations. Such coarticulatory avoidance due to inventory size is not a new idea. While no studies thus far </w:t>
        <w:lastRenderedPageBreak/>
        <w:t xml:space="preserve">have examined the influence of tone inventory size on tonal coarticulation, studies on segmental coarticulation have already shown the effects of inventory size on coarticulation. In Manuel (1990), for example, it has been found that differences in vowel inventory sizes among Shona, Ndebele, and Sotho led to different magnitudes of coarticulation on vowels. Shona and Ndebele, with their simpler vowel inventories, were found to have stronger coarticulation on vowels, whereas Sotho, which has a more crowded vowel space, exhibited weaker coarticulation on vowels. Manuel argues that this was because in a language with a more crowded vowel inventory, coarticulation is less tolerated in order to maintain the phonemic contrast among the vowels: “Together, these assumptions lead to the expectation that, in general, languages will tend to tolerate less coarticulation just where extensive coarticulation would lead to confusion of contrastive phones. (p. 1286).” Similarly, tonal coarticulation has been shown to be affected by structural constraints other than tone inventory size as well. In Brunelle (2009), it was found that Northern Vietnamese, which uses both phonation and pitch to cue tones, had higher degrees of tonal coarticulation as compared to Southern Vietnamese, where only pitch is used. The author argues that such different degrees of coarticulation were led by the need to maintain phonemic contrast among the tones. We therefore have reasons to hypothesize that structural differences in tone inventory sizes may likewise induce similar linguistic differences in tonal coarticulation. Additionally, this larger tone inventory in TSM also leads to lower recoverability of the target tones (the possibility to retrieve the target tones) than TM due to the larger number of potential intended target tones. It is therefore also predicted that retrieving the intended target through perceptual compensation may be more challenging for TSM than TM.</w:t>
      </w:r>
    </w:p>
    <w:p w14:paraId="304DA6C3" w14:textId="33230FC5" w:rsidR="00743C95" w:rsidRPr="0032528B" w:rsidRDefault="0050565B" w:rsidP="00253187">
      <w:pPr>
        <w:pStyle w:val="JASABodyText"/>
        <w:ind w:firstLine="357"/>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Given the same size of the tone inventory between BM and TM, we predict tonal coarticulation and perceptual compensation in TM to be comparable to BM.  On the one hand, in </w:t>
        <w:lastRenderedPageBreak/>
        <w:t xml:space="preserve">terms of production, the larger tone inventory of TSM may result in more constrained tonal coarticulation (Hypothesis 1). Perceptually, on the other hand, the lower recoverability could also impede the retrieval of target tones through perceptual compensation in TSM. The listeners may resort to narrower tone acceptance ranges to filter out the coarticulated tones, thus maintaining faithful tone perception (Hypothesis 2).</w:t>
      </w:r>
      <w:r>
        <w:rPr>
          <w:rStyle w:val="Appelnotedebasdep"/>
          <w:rFonts w:eastAsia="STKaiti" w:cs="Times New Roman"/>
          <w:color w:val="000000" w:themeColor="text1"/>
        </w:rPr>
        <w:footnoteReference w:id="4"/>
      </w:r>
    </w:p>
    <w:p w14:paraId="2942B2C4" w14:textId="4D1198CA" w:rsidR="00DA2B35" w:rsidRPr="0032528B" w:rsidRDefault="0050565B" w:rsidP="00A1648F">
      <w:pPr>
        <w:pStyle w:val="JASABodyText"/>
        <w:ind w:firstLine="357"/>
        <w:rPr>
          <w:rFonts w:ascii="Times New Roman" w:eastAsia="STKaiti" w:hAnsi="Times New Roman" w:cs="Times New Roman"/>
          <w:color w:val="000000" w:themeColor="text1"/>
        </w:rPr>
      </w:pPr>
      <w:r>
        <w:rPr>
          <w:rFonts w:ascii="Times New Roman" w:eastAsia="STKaiti" w:hAnsi="Times New Roman" w:cs="Times New Roman"/>
          <w:color w:val="000000" w:themeColor="text1"/>
        </w:rPr>
        <w:t>To measure these three parameters (i.e., the magnitude of tonal coarticulation, the magnitude of perceptual compensation, and tone acceptance ranges), one production experiment and two perception experiments were conducted in this study.</w:t>
      </w:r>
    </w:p>
    <w:p w14:paraId="249E7630" w14:textId="1ABA5032" w:rsidR="0050565B" w:rsidRPr="0032528B" w:rsidRDefault="0008740B" w:rsidP="0008740B">
      <w:pPr>
        <w:pStyle w:val="JASAFIRST-LEVELHEADING"/>
        <w:numPr>
          <w:ilvl w:val="0"/>
          <w:numId w:val="0"/>
        </w:numPr>
        <w:rPr>
          <w:rFonts w:ascii="Times New Roman" w:eastAsia="STKaiti" w:hAnsi="Times New Roman" w:cs="Times New Roman"/>
          <w:caps w:val="0"/>
        </w:rPr>
      </w:pPr>
      <w:r>
        <w:rPr>
          <w:rFonts w:ascii="Times New Roman" w:eastAsia="STKaiti" w:hAnsi="Times New Roman" w:cs="Times New Roman"/>
          <w:caps w:val="0"/>
        </w:rPr>
        <w:t xml:space="preserve">2 Experiment 1: the magnitude of tonal coarticulation</w:t>
      </w:r>
    </w:p>
    <w:p w14:paraId="28B148F2" w14:textId="27BA4159" w:rsidR="0008740B" w:rsidRPr="0032528B" w:rsidRDefault="0050565B" w:rsidP="0008740B">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As mentioned in the Introduction (Section 1.4), one potential difference between TM and TSM under tonal coarticulation is that TSM may have a weaker magnitude of tonal coarticulation due to the larger and more complex tonal inventory. Therefore, in this experiment, we aim to measure the production of coarticulated tones in TM and TSM. Specifically, we compare 1) the magnitude and 2) the directionality of tonal coarticulation in the two languages.</w:t>
      </w:r>
    </w:p>
    <w:p w14:paraId="00D88E3C" w14:textId="6A1ED338" w:rsidR="007604F9" w:rsidRPr="0032528B" w:rsidRDefault="0008740B" w:rsidP="0008740B">
      <w:pPr>
        <w:pStyle w:val="JASABodyText"/>
        <w:ind w:firstLine="0"/>
        <w:rPr>
          <w:rFonts w:ascii="Times New Roman" w:eastAsia="STKaiti" w:hAnsi="Times New Roman" w:cs="Times New Roman"/>
          <w:b/>
          <w:bCs/>
          <w:color w:val="000000" w:themeColor="text1"/>
        </w:rPr>
      </w:pPr>
      <w:r>
        <w:rPr>
          <w:rFonts w:ascii="Times New Roman" w:eastAsia="STKaiti" w:hAnsi="Times New Roman" w:cs="Times New Roman"/>
          <w:b/>
          <w:bCs/>
        </w:rPr>
        <w:t xml:space="preserve">2.1 Methods</w:t>
      </w:r>
    </w:p>
    <w:p w14:paraId="1FEB761C" w14:textId="10973060" w:rsidR="0050565B" w:rsidRPr="0032528B" w:rsidRDefault="0008740B" w:rsidP="0008740B">
      <w:pPr>
        <w:pStyle w:val="JASAsecond-levelheading"/>
        <w:rPr>
          <w:rFonts w:ascii="Times New Roman" w:eastAsia="STKaiti" w:hAnsi="Times New Roman" w:cs="Times New Roman"/>
        </w:rPr>
      </w:pPr>
      <w:r>
        <w:rPr>
          <w:rFonts w:ascii="Times New Roman" w:eastAsia="STKaiti" w:hAnsi="Times New Roman" w:cs="Times New Roman"/>
        </w:rPr>
        <w:t xml:space="preserve">2.1.1 Participants</w:t>
      </w:r>
    </w:p>
    <w:p w14:paraId="66CE2164" w14:textId="4F19F043" w:rsidR="0066325E" w:rsidRPr="0032528B" w:rsidRDefault="0050565B"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Forty-three Taiwanese college students (25 females; 20–27 y.o., mean=21.93) were recruited to participate in a production experiment (this experiment) and two perception experiments. Fifteen of them were native speakers of TM.</w:t>
      </w:r>
      <w:r>
        <w:rPr>
          <w:rStyle w:val="Appelnotedebasdep"/>
          <w:rFonts w:ascii="Times New Roman" w:eastAsia="STKaiti" w:hAnsi="Times New Roman" w:cs="Times New Roman"/>
          <w:color w:val="000000" w:themeColor="text1"/>
        </w:rPr>
        <w:footnoteReference w:id="5"/>
      </w:r>
      <w:r>
        <w:rPr>
          <w:rFonts w:ascii="Times New Roman" w:eastAsia="STKaiti" w:hAnsi="Times New Roman" w:cs="Times New Roman"/>
          <w:color w:val="000000" w:themeColor="text1"/>
        </w:rPr>
        <w:t xml:space="preserve"> These participants were not speakers of TSM (self-assessed) and are hereafter labeled as the monolingual group. The other 28 participants were </w:t>
        <w:lastRenderedPageBreak/>
        <w:t>bilingual speakers</w:t>
      </w:r>
      <w:r>
        <w:rPr>
          <w:rStyle w:val="Appelnotedebasdep"/>
          <w:rFonts w:ascii="Times New Roman" w:eastAsia="STKaiti" w:hAnsi="Times New Roman" w:cs="Times New Roman"/>
          <w:color w:val="000000" w:themeColor="text1"/>
        </w:rPr>
        <w:footnoteReference w:id="6"/>
      </w:r>
      <w:r>
        <w:rPr>
          <w:rFonts w:ascii="Times New Roman" w:eastAsia="STKaiti" w:hAnsi="Times New Roman" w:cs="Times New Roman"/>
          <w:color w:val="000000" w:themeColor="text1"/>
        </w:rPr>
        <w:t xml:space="preserve"> of TM and TSM. While all the bilingual participants self-identified as native speakers of both languages, Taiwan Mandarin is still the dominant language in the Taiwanese society, and is used for lecturing at school. As a result, the fluency in Taiwan Southern Min of younger Taiwanese people varies, depending on how much exposure they have at home and also on the cities they grew up in.</w:t>
      </w:r>
      <w:r>
        <w:rPr>
          <w:rStyle w:val="Appelnotedebasdep"/>
          <w:rFonts w:ascii="Times New Roman" w:eastAsia="STKaiti" w:hAnsi="Times New Roman" w:cs="Times New Roman"/>
          <w:color w:val="000000" w:themeColor="text1"/>
        </w:rPr>
        <w:footnoteReference w:id="7"/>
      </w:r>
      <w:r>
        <w:rPr>
          <w:rFonts w:ascii="Times New Roman" w:eastAsia="STKaiti" w:hAnsi="Times New Roman" w:cs="Times New Roman"/>
          <w:color w:val="000000" w:themeColor="text1"/>
        </w:rPr>
        <w:t xml:space="preserve"> As such, fluency scores were also self-reported on a fluency scale from one to ten. Among these bilingual speakers, 11 speakers were advanced TSM speakers, with self-reported scores </w:t>
      </w:r>
      <w:r>
        <w:rPr>
          <w:rFonts w:ascii="Times New Roman" w:eastAsia="STKaiti" w:hAnsi="Times New Roman" w:cs="Times New Roman"/>
          <w:color w:val="000000" w:themeColor="text1"/>
          <w:highlight w:val="yellow"/>
        </w:rPr>
        <w:t xml:space="preserve">at the third quartile among the bilingual speakers (i.e., eight)</w:t>
      </w:r>
      <w:r>
        <w:rPr>
          <w:rFonts w:ascii="Times New Roman" w:eastAsia="STKaiti" w:hAnsi="Times New Roman" w:cs="Times New Roman"/>
          <w:color w:val="000000" w:themeColor="text1"/>
        </w:rPr>
        <w:t xml:space="preserve"> or higher (See Appendix A.1 for the prompts used to elicit the fluency scores). </w:t>
      </w:r>
    </w:p>
    <w:p w14:paraId="619C9E06" w14:textId="7E3D2BF8" w:rsidR="004370B6" w:rsidRPr="0032528B" w:rsidRDefault="0050565B" w:rsidP="004370B6">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These 11 speakers were classified as the advanced bilingual group, and the rest of the bilingual speakers were the intermediate bilingual group. No participants were speakers of any other tonal languages. The production experiment only included the monolingual speakers and the advanced bilingual speakers.</w:t>
      </w:r>
      <w:r>
        <w:rPr>
          <w:rStyle w:val="Appelnotedebasdep"/>
          <w:rFonts w:ascii="Times New Roman" w:eastAsia="STKaiti" w:hAnsi="Times New Roman" w:cs="Times New Roman"/>
          <w:color w:val="000000" w:themeColor="text1"/>
        </w:rPr>
        <w:footnoteReference w:id="8"/>
      </w:r>
      <w:r>
        <w:rPr>
          <w:rFonts w:ascii="Times New Roman" w:eastAsia="STKaiti" w:hAnsi="Times New Roman" w:cs="Times New Roman"/>
          <w:color w:val="000000" w:themeColor="text1"/>
        </w:rPr>
        <w:t xml:space="preserve"> The intermediate bilingual speakers were excluded due to the potential lack of fluency to complete the production task. The monolingual speakers only participated in the Mandarin section; the bilingual speakers participated in both the Southern Min and Mandarin sections</w:t>
      </w:r>
      <w:r>
        <w:rPr>
          <w:rFonts w:ascii="Times New Roman" w:eastAsia="STKaiti" w:hAnsi="Times New Roman" w:cs="Times New Roman"/>
          <w:color w:val="000000" w:themeColor="text1"/>
          <w:lang w:eastAsia="zh-TW"/>
        </w:rPr>
        <w:t xml:space="preserve"> (see below)</w:t>
      </w:r>
      <w:r>
        <w:rPr>
          <w:rFonts w:ascii="Times New Roman" w:eastAsia="STKaiti" w:hAnsi="Times New Roman" w:cs="Times New Roman"/>
          <w:color w:val="000000" w:themeColor="text1"/>
        </w:rPr>
        <w:t>.</w:t>
      </w:r>
    </w:p>
    <w:p w14:paraId="3DC92100" w14:textId="23E3E0AF" w:rsidR="0050565B" w:rsidRPr="0032528B" w:rsidRDefault="006C5DBB" w:rsidP="006C5DBB">
      <w:pPr>
        <w:pStyle w:val="JASAFIRST-LEVELHEADING"/>
        <w:numPr>
          <w:ilvl w:val="0"/>
          <w:numId w:val="0"/>
        </w:numPr>
        <w:rPr>
          <w:rFonts w:ascii="Times New Roman" w:eastAsia="STKaiti" w:hAnsi="Times New Roman" w:cs="Times New Roman"/>
          <w:lang w:eastAsia="zh-TW"/>
        </w:rPr>
      </w:pPr>
      <w:r>
        <w:rPr>
          <w:rFonts w:ascii="Times New Roman" w:eastAsia="STKaiti" w:hAnsi="Times New Roman" w:cs="Times New Roman"/>
        </w:rPr>
        <w:t xml:space="preserve">2.1.2 </w:t>
      </w:r>
      <w:r>
        <w:rPr>
          <w:rFonts w:ascii="Times New Roman" w:eastAsia="STKaiti" w:hAnsi="Times New Roman" w:cs="Times New Roman"/>
          <w:caps w:val="0"/>
        </w:rPr>
        <w:t xml:space="preserve">Stimuli and recording</w:t>
      </w:r>
    </w:p>
    <w:p w14:paraId="23EF7C39" w14:textId="484CD793" w:rsidR="0050565B" w:rsidRPr="0032528B" w:rsidRDefault="0050565B"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To examine the influence of context tones on the target tones, 15 TM disyllabic words (four tones×four tones − 1 [i.e., T3’-T3,</w:t>
      </w:r>
      <w:r>
        <w:rPr>
          <w:rStyle w:val="Appelnotedebasdep"/>
          <w:rFonts w:eastAsia="STKaiti" w:cs="Times New Roman"/>
          <w:color w:val="000000" w:themeColor="text1"/>
        </w:rPr>
        <w:footnoteReference w:id="9"/>
      </w:r>
      <w:r>
        <w:rPr>
          <w:rFonts w:ascii="Times New Roman" w:eastAsia="STKaiti" w:hAnsi="Times New Roman" w:cs="Times New Roman"/>
          <w:color w:val="000000" w:themeColor="text1"/>
        </w:rPr>
        <w:t xml:space="preserve"> due to tone sandhi]) and 25 TSM disyllabic words (five </w:t>
        <w:lastRenderedPageBreak/>
        <w:t>tones×five tones) were designed as stimuli.</w:t>
      </w:r>
      <w:r>
        <w:rPr>
          <w:rStyle w:val="Appelnotedebasdep"/>
          <w:rFonts w:ascii="Times New Roman" w:eastAsia="STKaiti" w:hAnsi="Times New Roman" w:cs="Times New Roman"/>
          <w:color w:val="000000" w:themeColor="text1"/>
        </w:rPr>
        <w:footnoteReference w:id="10"/>
      </w:r>
      <w:r>
        <w:rPr>
          <w:rFonts w:ascii="Times New Roman" w:eastAsia="STKaiti" w:hAnsi="Times New Roman" w:cs="Times New Roman"/>
          <w:color w:val="000000" w:themeColor="text1"/>
        </w:rPr>
        <w:t xml:space="preserve"> To better capture the F0 contours, syllables with voiceless plosives, affricates, or fricatives were excluded. Each stimulus required 10 repetitions.</w:t>
      </w:r>
    </w:p>
    <w:p w14:paraId="732A1011" w14:textId="4E8A05DF" w:rsidR="00B823A0" w:rsidRPr="0032528B" w:rsidRDefault="00B823A0" w:rsidP="00B823A0">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audio data were collected with a microphone (Audio-Technica Cardioid AT2035) connected to a portable audio interface (USBPre 2), and saved as wave files, with a sampling frequency of 44100 Hz.</w:t>
      </w:r>
    </w:p>
    <w:p w14:paraId="78A5F59E" w14:textId="5297078A" w:rsidR="0050565B" w:rsidRPr="0032528B" w:rsidRDefault="006C5DBB" w:rsidP="006C5DBB">
      <w:pPr>
        <w:pStyle w:val="JASAFIRST-LEVELHEADING"/>
        <w:numPr>
          <w:ilvl w:val="0"/>
          <w:numId w:val="0"/>
        </w:numPr>
        <w:rPr>
          <w:rFonts w:ascii="Times New Roman" w:eastAsia="STKaiti" w:hAnsi="Times New Roman" w:cs="Times New Roman"/>
        </w:rPr>
      </w:pPr>
      <w:r>
        <w:rPr>
          <w:rFonts w:ascii="Times New Roman" w:eastAsia="STKaiti" w:hAnsi="Times New Roman" w:cs="Times New Roman"/>
        </w:rPr>
        <w:t xml:space="preserve">2.1.3 </w:t>
      </w:r>
      <w:r>
        <w:rPr>
          <w:rFonts w:ascii="Times New Roman" w:eastAsia="STKaiti" w:hAnsi="Times New Roman" w:cs="Times New Roman"/>
          <w:caps w:val="0"/>
        </w:rPr>
        <w:t>Procedure</w:t>
      </w:r>
    </w:p>
    <w:p w14:paraId="24D05FCE" w14:textId="24EF95EF" w:rsidR="00B823A0" w:rsidRPr="0032528B" w:rsidRDefault="000629A2" w:rsidP="00836B2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lang w:eastAsia="zh-TW"/>
        </w:rPr>
        <w:t xml:space="preserve">Before the recording, participants were first familiarized with the word lists, and instructed to read the words at a relaxed and normal speed. The stimuli were then pseudo-randomly presented on slides, where the same stimulus would not be presented twice consecutively. The presentation was self-paced. The TM stimuli were presented in Chinese characters. The TSM stimuli were presented in Chinese characters (top) and Tâi-lô romanization (bottom).</w:t>
      </w:r>
    </w:p>
    <w:p w14:paraId="55BFF08B" w14:textId="554354D4" w:rsidR="0050565B" w:rsidRPr="0032528B" w:rsidRDefault="006C5DBB" w:rsidP="006C5DBB">
      <w:pPr>
        <w:pStyle w:val="JASAFIRST-LEVELHEADING"/>
        <w:numPr>
          <w:ilvl w:val="0"/>
          <w:numId w:val="0"/>
        </w:numPr>
        <w:rPr>
          <w:rFonts w:ascii="Times New Roman" w:eastAsia="STKaiti" w:hAnsi="Times New Roman" w:cs="Times New Roman"/>
        </w:rPr>
      </w:pPr>
      <w:r>
        <w:rPr>
          <w:rFonts w:ascii="Times New Roman" w:eastAsia="STKaiti" w:hAnsi="Times New Roman" w:cs="Times New Roman"/>
        </w:rPr>
        <w:t xml:space="preserve">2.1.4 </w:t>
      </w:r>
      <w:r>
        <w:rPr>
          <w:rFonts w:ascii="Times New Roman" w:eastAsia="STKaiti" w:hAnsi="Times New Roman" w:cs="Times New Roman"/>
          <w:caps w:val="0"/>
        </w:rPr>
        <w:t>Measurements and analyses</w:t>
      </w:r>
    </w:p>
    <w:p w14:paraId="6CDE8CE7" w14:textId="12355AE2" w:rsidR="007C6F7B" w:rsidRPr="0032528B" w:rsidRDefault="007948B2" w:rsidP="00465A7E">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this study, we measure tonal coarticulation </w:t>
      </w:r>
      <w:r>
        <w:rPr>
          <w:rFonts w:ascii="Times New Roman" w:eastAsia="STKaiti" w:hAnsi="Times New Roman" w:cs="Times New Roman"/>
          <w:color w:val="000000" w:themeColor="text1"/>
          <w:highlight w:val="yellow"/>
        </w:rPr>
        <w:t>via the coefficient weight of the context tone value predictor in regression models where the dependent variable is the target tone value</w:t>
      </w:r>
      <w:r>
        <w:rPr>
          <w:rFonts w:ascii="Times New Roman" w:eastAsia="STKaiti" w:hAnsi="Times New Roman" w:cs="Times New Roman"/>
          <w:color w:val="000000" w:themeColor="text1"/>
        </w:rPr>
        <w:t xml:space="preserve">. This is measured at the boundary of the tone pairs. In the carryover position, we measure the </w:t>
      </w:r>
      <w:r>
        <w:rPr>
          <w:rFonts w:ascii="Times New Roman" w:eastAsia="STKaiti" w:hAnsi="Times New Roman" w:cs="Times New Roman"/>
          <w:color w:val="000000" w:themeColor="text1"/>
          <w:highlight w:val="yellow"/>
        </w:rPr>
        <w:t>effects</w:t>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highlight w:val="yellow"/>
        </w:rPr>
        <w:t>of</w:t>
      </w:r>
      <w:r>
        <w:rPr>
          <w:rFonts w:ascii="Times New Roman" w:eastAsia="STKaiti" w:hAnsi="Times New Roman" w:cs="Times New Roman"/>
          <w:color w:val="000000" w:themeColor="text1"/>
        </w:rPr>
        <w:t xml:space="preserve"> the context (preceding) tone offset </w:t>
      </w:r>
      <w:r>
        <w:rPr>
          <w:rFonts w:ascii="Times New Roman" w:eastAsia="STKaiti" w:hAnsi="Times New Roman" w:cs="Times New Roman"/>
          <w:color w:val="000000" w:themeColor="text1"/>
          <w:highlight w:val="yellow"/>
        </w:rPr>
        <w:t>on</w:t>
      </w:r>
      <w:r>
        <w:rPr>
          <w:rFonts w:ascii="Times New Roman" w:eastAsia="STKaiti" w:hAnsi="Times New Roman" w:cs="Times New Roman"/>
          <w:color w:val="000000" w:themeColor="text1"/>
        </w:rPr>
        <w:t xml:space="preserve"> the target (following) tone onset. In the anticipatory position, we measure the </w:t>
      </w:r>
      <w:r>
        <w:rPr>
          <w:rFonts w:ascii="Times New Roman" w:eastAsia="STKaiti" w:hAnsi="Times New Roman" w:cs="Times New Roman"/>
          <w:color w:val="000000" w:themeColor="text1"/>
          <w:highlight w:val="yellow"/>
        </w:rPr>
        <w:t>effects of</w:t>
      </w:r>
      <w:r>
        <w:rPr>
          <w:rFonts w:ascii="Times New Roman" w:eastAsia="STKaiti" w:hAnsi="Times New Roman" w:cs="Times New Roman"/>
          <w:color w:val="000000" w:themeColor="text1"/>
        </w:rPr>
        <w:t xml:space="preserve"> the context (following) tone onset </w:t>
      </w:r>
      <w:r>
        <w:rPr>
          <w:rFonts w:ascii="Times New Roman" w:eastAsia="STKaiti" w:hAnsi="Times New Roman" w:cs="Times New Roman"/>
          <w:color w:val="000000" w:themeColor="text1"/>
          <w:highlight w:val="yellow"/>
        </w:rPr>
        <w:t>on</w:t>
      </w:r>
      <w:r>
        <w:rPr>
          <w:rFonts w:ascii="Times New Roman" w:eastAsia="STKaiti" w:hAnsi="Times New Roman" w:cs="Times New Roman"/>
          <w:color w:val="000000" w:themeColor="text1"/>
        </w:rPr>
        <w:t xml:space="preserve"> the target (preceding) tone offset. For each tone production, F0 values were extracted with </w:t>
      </w:r>
      <w:r>
        <w:rPr>
          <w:rFonts w:ascii="Times New Roman" w:eastAsia="STKaiti" w:hAnsi="Times New Roman" w:cs="Times New Roman"/>
          <w:i/>
          <w:iCs/>
          <w:color w:val="000000" w:themeColor="text1"/>
        </w:rPr>
        <w:t>Praat</w:t>
      </w:r>
      <w:r>
        <w:rPr>
          <w:rFonts w:ascii="Times New Roman" w:eastAsia="STKaiti" w:hAnsi="Times New Roman" w:cs="Times New Roman"/>
          <w:color w:val="000000" w:themeColor="text1"/>
        </w:rPr>
        <w:t xml:space="preserve"> (Boersma and Weenink 2018) and divided into 11 portions. The onset was determined as the F0 mean of the first portion. The offset was determined as the F0 mean of the last portion. For those tokens </w:t>
        <w:lastRenderedPageBreak/>
        <w:t xml:space="preserve">where F0 values were not successfully extracted by Praat, the second/second last portion was used, or the third/last third, if necessary. If F0 values in all first three or all last three portions were not available, the token was discarded (n=813; 12.51% </w:t>
      </w:r>
      <w:r>
        <w:rPr>
          <w:rFonts w:ascii="Times New Roman" w:eastAsia="STKaiti" w:hAnsi="Times New Roman" w:cs="Times New Roman"/>
          <w:color w:val="000000" w:themeColor="text1"/>
          <w:highlight w:val="yellow"/>
        </w:rPr>
        <w:t>of the 6,500 tokens elicited</w:t>
      </w:r>
      <w:r>
        <w:rPr>
          <w:rFonts w:ascii="Times New Roman" w:eastAsia="STKaiti" w:hAnsi="Times New Roman" w:cs="Times New Roman"/>
          <w:color w:val="000000" w:themeColor="text1"/>
        </w:rPr>
        <w:t>).</w:t>
      </w:r>
      <w:r>
        <w:rPr>
          <w:rStyle w:val="Appelnotedebasdep"/>
          <w:rFonts w:ascii="Times New Roman" w:eastAsia="STKaiti" w:hAnsi="Times New Roman" w:cs="Times New Roman"/>
          <w:color w:val="000000" w:themeColor="text1"/>
        </w:rPr>
        <w:footnoteReference w:id="11"/>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highlight w:val="yellow"/>
        </w:rPr>
        <w:t xml:space="preserve">Among the discarded tokens, most were low tones due to creaky voicing. Specifically, we identified that two TM monolingual speakers’ data were largely discarded (80.67% and 48.00%), against a mean per-speaker discard rate of 14.08%. We therefore excluded these two speakers’ data in the final analysis.</w:t>
      </w:r>
      <w:r>
        <w:rPr>
          <w:rStyle w:val="Appelnotedebasdep"/>
          <w:rFonts w:eastAsia="STKaiti" w:cs="Times New Roman"/>
          <w:color w:val="000000" w:themeColor="text1"/>
          <w:highlight w:val="yellow"/>
        </w:rPr>
        <w:footnoteReference w:id="12"/>
      </w:r>
      <w:r>
        <w:rPr>
          <w:rFonts w:ascii="Times New Roman" w:eastAsia="STKaiti" w:hAnsi="Times New Roman" w:cs="Times New Roman"/>
          <w:color w:val="000000" w:themeColor="text1"/>
          <w:highlight w:val="yellow"/>
        </w:rPr>
        <w:t xml:space="preserve"> Within the remaining 23 speakers, 620 of 6,200 elicited tokens (10.00%) had been discarded for tracking failure, leaving 5,580 tokens.</w:t>
      </w:r>
    </w:p>
    <w:p w14:paraId="0BD0FCB8" w14:textId="5BF1EA42" w:rsidR="007948B2" w:rsidRPr="0032528B" w:rsidRDefault="007948B2" w:rsidP="009420A3">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Data were fitted through linear mixed-effects models (LMM) using R Core’s (R Core Team 2023) </w:t>
      </w:r>
      <w:r>
        <w:rPr>
          <w:rFonts w:ascii="Times New Roman" w:eastAsia="STKaiti" w:hAnsi="Times New Roman" w:cs="Times New Roman"/>
          <w:i/>
          <w:iCs/>
          <w:color w:val="000000" w:themeColor="text1"/>
        </w:rPr>
        <w:t>lme4</w:t>
      </w:r>
      <w:r>
        <w:rPr>
          <w:rFonts w:ascii="Times New Roman" w:eastAsia="STKaiti" w:hAnsi="Times New Roman" w:cs="Times New Roman"/>
          <w:color w:val="000000" w:themeColor="text1"/>
        </w:rPr>
        <w:t xml:space="preserve"> package (Bates et al. 2015). In this study, significance was calculated through Satterthwaite’s method with the </w:t>
      </w:r>
      <w:r>
        <w:rPr>
          <w:rFonts w:ascii="Times New Roman" w:eastAsia="STKaiti" w:hAnsi="Times New Roman" w:cs="Times New Roman"/>
          <w:i/>
          <w:iCs/>
          <w:color w:val="000000" w:themeColor="text1"/>
        </w:rPr>
        <w:t>lmerTest</w:t>
      </w:r>
      <w:r>
        <w:rPr>
          <w:rFonts w:ascii="Times New Roman" w:eastAsia="STKaiti" w:hAnsi="Times New Roman" w:cs="Times New Roman"/>
          <w:color w:val="000000" w:themeColor="text1"/>
        </w:rPr>
        <w:t xml:space="preserve"> package (Kuznetsova et al</w:t>
      </w:r>
      <w:r>
        <w:rPr>
          <w:rFonts w:ascii="Times New Roman" w:eastAsia="STKaiti" w:hAnsi="Times New Roman" w:cs="Times New Roman"/>
          <w:i/>
          <w:iCs/>
          <w:color w:val="000000" w:themeColor="text1"/>
        </w:rPr>
        <w:t>.</w:t>
      </w:r>
      <w:r>
        <w:rPr>
          <w:rFonts w:ascii="Times New Roman" w:eastAsia="STKaiti" w:hAnsi="Times New Roman" w:cs="Times New Roman"/>
          <w:color w:val="000000" w:themeColor="text1"/>
        </w:rPr>
        <w:t xml:space="preserve"> 2017). To examine the effect of tonal coarticulation (how the target tone onset/offset changes with the context tone offset/onset), position (carryover vs. anticipatory), and language (TM [monolingual] vs. TM [bilingual] vs. TSM [advanced]),</w:t>
      </w:r>
      <w:r>
        <w:rPr>
          <w:rStyle w:val="Appelnotedebasdep"/>
          <w:rFonts w:ascii="Times New Roman" w:eastAsia="STKaiti" w:hAnsi="Times New Roman" w:cs="Times New Roman"/>
          <w:color w:val="000000" w:themeColor="text1"/>
        </w:rPr>
        <w:footnoteReference w:id="13"/>
      </w:r>
      <w:r>
        <w:rPr>
          <w:rFonts w:ascii="Times New Roman" w:eastAsia="STKaiti" w:hAnsi="Times New Roman" w:cs="Times New Roman"/>
          <w:color w:val="000000" w:themeColor="text1"/>
        </w:rPr>
        <w:t xml:space="preserve"> a maximal model was fitted. The predicted variable was the target tone offset/onset (continuous). The fixed effects were context tone offset/onset (continuous), language (categorical; sum-coded, with TSM represented as the negative sum of the other levels), and position (categorical; effects coded, with anticipatory as −0.5 and carryover as 0.5). Target tone (as surface tone after tone sandhi) identity (categorical; sum-coded, with the high-level (55) tone represented as the negative sum of the other levels) was also included as a </w:t>
        <w:lastRenderedPageBreak/>
        <w:t xml:space="preserve">controlled variable.</w:t>
      </w:r>
      <w:r>
        <w:rPr>
          <w:rStyle w:val="Appelnotedebasdep"/>
          <w:rFonts w:ascii="Times New Roman" w:eastAsia="STKaiti" w:hAnsi="Times New Roman" w:cs="Times New Roman"/>
          <w:color w:val="000000" w:themeColor="text1"/>
        </w:rPr>
        <w:footnoteReference w:id="14"/>
      </w:r>
      <w:r>
        <w:rPr>
          <w:rFonts w:ascii="Times New Roman" w:eastAsia="STKaiti" w:hAnsi="Times New Roman" w:cs="Times New Roman"/>
          <w:color w:val="000000" w:themeColor="text1"/>
        </w:rPr>
        <w:t xml:space="preserve"> It should be reminded that, as TM and TSM share a high degree of overlap in their lexical tone distributions, the inclusion of tone identity is possible and useful for a systematic comparison between the two languages. To account for the potential effects of using the mean values from different portions, portion index was also included as a continuous variable </w:t>
      </w:r>
      <w:r>
        <w:rPr>
          <w:rFonts w:ascii="Times New Roman" w:eastAsia="STKaiti" w:hAnsi="Times New Roman" w:cs="Times New Roman"/>
          <w:color w:val="000000" w:themeColor="text1"/>
          <w:highlight w:val="yellow"/>
        </w:rPr>
        <w:t>for the context tone and the target tone</w:t>
      </w:r>
      <w:r>
        <w:rPr>
          <w:rFonts w:ascii="Times New Roman" w:eastAsia="STKaiti" w:hAnsi="Times New Roman" w:cs="Times New Roman"/>
          <w:color w:val="000000" w:themeColor="text1"/>
        </w:rPr>
        <w:t xml:space="preserve">, with the portion closest to the syllable boundary labeled as 0 and the furthest portion labeled as 2. This was then z-scored </w:t>
      </w:r>
      <w:r>
        <w:rPr>
          <w:rFonts w:ascii="Times New Roman" w:eastAsia="STKaiti" w:hAnsi="Times New Roman" w:cs="Times New Roman"/>
          <w:color w:val="000000" w:themeColor="text1"/>
          <w:highlight w:val="yellow"/>
        </w:rPr>
        <w:t>within tokens</w:t>
      </w:r>
      <w:r>
        <w:rPr>
          <w:rFonts w:ascii="Times New Roman" w:eastAsia="STKaiti" w:hAnsi="Times New Roman" w:cs="Times New Roman"/>
          <w:color w:val="000000" w:themeColor="text1"/>
        </w:rPr>
        <w:t xml:space="preserve"> for the reference level to be at the mean. Participant and onset/offset segment type (vowel, liquid, nasal, or obstruent) were taken as the grouping factors for random intercepts and random slopes for tone offset/onset. Follow-up models would be fitted if any interaction was found among context tone offset/onset, language, and position. Considering that several previous studies found inconsistent distributions for different tones (Huang 2013; Jeng 2012; Peng 1997), each tone from TM and TSM was also individually examined with two separate models for the carryover and anticipatory effects, respectively.</w:t>
      </w:r>
    </w:p>
    <w:p w14:paraId="2D153C81" w14:textId="1CCDDA4A" w:rsidR="00FB6E0B" w:rsidRPr="0032528B" w:rsidRDefault="006264CC" w:rsidP="002B35B9">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Following Chang and Hsieh (2012), </w:t>
      </w:r>
      <w:r>
        <w:rPr>
          <w:rFonts w:ascii="Times New Roman" w:eastAsia="STKaiti" w:hAnsi="Times New Roman" w:cs="Times New Roman"/>
          <w:color w:val="000000" w:themeColor="text1"/>
          <w:highlight w:val="yellow"/>
        </w:rPr>
        <w:t xml:space="preserve">coefficient estimates for context tone values (onsets/offsets), with target tone value as the dependent variable, were treated as an indicator of tonal coarticulation. An α-level of 0.05 was used for the significance threshold. P</w:t>
      </w:r>
      <w:r>
        <w:rPr>
          <w:rFonts w:ascii="Times New Roman" w:eastAsia="STKaiti" w:hAnsi="Times New Roman" w:cs="Times New Roman"/>
          <w:color w:val="000000" w:themeColor="text1"/>
        </w:rPr>
        <w:t xml:space="preserve">ositive coefficient </w:t>
      </w:r>
      <w:r>
        <w:rPr>
          <w:rFonts w:ascii="Times New Roman" w:eastAsia="STKaiti" w:hAnsi="Times New Roman" w:cs="Times New Roman"/>
          <w:color w:val="000000" w:themeColor="text1"/>
          <w:highlight w:val="yellow"/>
        </w:rPr>
        <w:t>estimates</w:t>
      </w:r>
      <w:r>
        <w:rPr>
          <w:rFonts w:ascii="Times New Roman" w:eastAsia="STKaiti" w:hAnsi="Times New Roman" w:cs="Times New Roman"/>
          <w:color w:val="000000" w:themeColor="text1"/>
        </w:rPr>
        <w:t xml:space="preserve"> were indicative of assimilatory effects, whereas negative ones were associated with dissimilatory effects. Larger absolute coefficient </w:t>
      </w:r>
      <w:r>
        <w:rPr>
          <w:rFonts w:ascii="Times New Roman" w:eastAsia="STKaiti" w:hAnsi="Times New Roman" w:cs="Times New Roman"/>
          <w:color w:val="000000" w:themeColor="text1"/>
          <w:highlight w:val="yellow"/>
        </w:rPr>
        <w:t>estimate</w:t>
      </w:r>
      <w:r>
        <w:rPr>
          <w:rFonts w:ascii="Times New Roman" w:eastAsia="STKaiti" w:hAnsi="Times New Roman" w:cs="Times New Roman"/>
          <w:color w:val="000000" w:themeColor="text1"/>
        </w:rPr>
        <w:t xml:space="preserve">s would indicate stronger magnitudes. As mentioned in the Introduction (Section 1.4), TSM may have more constrained coarticulation than TM under Hypothesis 1, where tone inventory sizes may lead to less/more constrained tonal coarticulation. In this case, an interaction would be found between TM (monolingual) vs. TSM (advanced) and the effects of context tone values on the target tone </w:t>
        <w:lastRenderedPageBreak/>
        <w:t xml:space="preserve">values. Specifically, such an interaction would be in the opposite direction with the effects of context tone values on the target tone values (i.e., less negative/dissimilatory effects in TSM when the overall coarticulatory effects are negative/dissimilatory; less positive/assimilatory effects in TSM when the overall coarticulatory effects are positive/assimilatory). Alternatively, comparable coarticulation between TSM and TM may be anticipated under Hypothesis 2, where perceptual mechanisms are adapted in lieu of changing production behaviors. </w:t>
      </w:r>
      <w:r>
        <w:rPr>
          <w:rFonts w:ascii="Times New Roman" w:eastAsia="STKaiti" w:hAnsi="Times New Roman" w:cs="Times New Roman"/>
          <w:color w:val="000000" w:themeColor="text1"/>
          <w:lang w:eastAsia="zh-TW"/>
        </w:rPr>
        <w:t>This would be indicated by the non-significance of t</w:t>
      </w:r>
      <w:r>
        <w:rPr>
          <w:rFonts w:ascii="Times New Roman" w:eastAsia="STKaiti" w:hAnsi="Times New Roman" w:cs="Times New Roman"/>
          <w:color w:val="000000" w:themeColor="text1"/>
        </w:rPr>
        <w:t xml:space="preserve">he interaction between TM (monolingual) vs. TSM (advanced) and the coarticulatory effects. Since language was sum-coded, to examine this interaction, we used the </w:t>
      </w:r>
      <w:r>
        <w:rPr>
          <w:rFonts w:ascii="Courier New" w:eastAsia="STKaiti" w:hAnsi="Courier New" w:cs="Courier New"/>
          <w:color w:val="000000" w:themeColor="text1"/>
        </w:rPr>
        <w:t>emtrends()</w:t>
      </w:r>
      <w:r>
        <w:rPr>
          <w:rFonts w:ascii="Times New Roman" w:eastAsia="STKaiti" w:hAnsi="Times New Roman" w:cs="Times New Roman"/>
          <w:color w:val="000000" w:themeColor="text1"/>
        </w:rPr>
        <w:t xml:space="preserve"> function from </w:t>
      </w:r>
      <w:r>
        <w:rPr>
          <w:rFonts w:ascii="Courier New" w:eastAsia="STKaiti" w:hAnsi="Courier New" w:cs="Courier New"/>
          <w:color w:val="000000" w:themeColor="text1"/>
        </w:rPr>
        <w:t>emmeans</w:t>
      </w:r>
      <w:r>
        <w:rPr>
          <w:rFonts w:ascii="Times New Roman" w:eastAsia="STKaiti" w:hAnsi="Times New Roman" w:cs="Times New Roman"/>
          <w:color w:val="000000" w:themeColor="text1"/>
        </w:rPr>
        <w:t xml:space="preserve"> (Lenth 2021).</w:t>
      </w:r>
    </w:p>
    <w:p w14:paraId="5FC39668" w14:textId="203BF83D" w:rsidR="005D314C" w:rsidRPr="0032528B" w:rsidRDefault="005D314C" w:rsidP="00A92DCC">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Lastly, a small portion of potential outliers were identified through residual analysis. We exclude</w:t>
      </w:r>
      <w:r>
        <w:rPr>
          <w:rFonts w:ascii="Times New Roman" w:eastAsia="STKaiti" w:hAnsi="Times New Roman" w:cs="Times New Roman"/>
          <w:color w:val="000000" w:themeColor="text1"/>
          <w:highlight w:val="yellow"/>
        </w:rPr>
        <w:t>d</w:t>
      </w:r>
      <w:r>
        <w:rPr>
          <w:rFonts w:ascii="Times New Roman" w:eastAsia="STKaiti" w:hAnsi="Times New Roman" w:cs="Times New Roman"/>
          <w:color w:val="000000" w:themeColor="text1"/>
        </w:rPr>
        <w:t xml:space="preserve"> outliers with absolute residuals larger than 2.5 standard deviations (3.</w:t>
      </w:r>
      <w:r>
        <w:rPr>
          <w:rFonts w:ascii="Times New Roman" w:eastAsia="STKaiti" w:hAnsi="Times New Roman" w:cs="Times New Roman"/>
          <w:color w:val="000000" w:themeColor="text1"/>
          <w:highlight w:val="yellow"/>
        </w:rPr>
        <w:t>3</w:t>
      </w:r>
      <w:r>
        <w:rPr>
          <w:rFonts w:ascii="Times New Roman" w:eastAsia="STKaiti" w:hAnsi="Times New Roman" w:cs="Times New Roman"/>
          <w:color w:val="000000" w:themeColor="text1"/>
        </w:rPr>
        <w:t xml:space="preserve">% of the data; Sonderegger 2023). </w:t>
      </w:r>
      <w:r>
        <w:rPr>
          <w:rFonts w:ascii="Times New Roman" w:eastAsia="STKaiti" w:hAnsi="Times New Roman" w:cs="Times New Roman"/>
          <w:color w:val="000000" w:themeColor="text1"/>
          <w:highlight w:val="yellow"/>
        </w:rPr>
        <w:t>The models reported below were thus fitted to 10,796 observations from 23 speakers.</w:t>
      </w:r>
    </w:p>
    <w:p w14:paraId="424D287C" w14:textId="691C666D" w:rsidR="00C348F1" w:rsidRPr="0032528B" w:rsidRDefault="00C348F1" w:rsidP="00C348F1">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To provide a direct qualitative examination of the global effects of tonal coarticulation, aside from regression analyses, we also included generalized additive mixed-effects modeling (GAMM) results that capture the overall F0 trajectories of the tone pairs based on all the 11 points in a contour. This is included in Appendix A.3. The effects of tonal coarticulation on the high tone in TM (monolingual) in the carryover position is shown here as an example (Figure 2), with the gray dashed lines roughly indicating the mid-points where the first/last three portions of the F0 contours were collected.</w:t>
      </w:r>
    </w:p>
    <w:p w14:paraId="13586005" w14:textId="7E06CBA0" w:rsidR="00C348F1" w:rsidRPr="0032528B" w:rsidRDefault="00C348F1" w:rsidP="00470DA9">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lastRenderedPageBreak/>
        <w:drawing>
          <wp:inline distT="0" distB="0" distL="0" distR="0" wp14:anchorId="3AEDE206" wp14:editId="63EFFC0E">
            <wp:extent cx="5943600" cy="2024380"/>
            <wp:effectExtent l="0" t="0" r="0" b="0"/>
            <wp:docPr id="1480880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008" name="Image 148088008"/>
                    <pic:cNvPicPr/>
                  </pic:nvPicPr>
                  <pic:blipFill>
                    <a:blip r:embed="rId12"/>
                    <a:stretch>
                      <a:fillRect/>
                    </a:stretch>
                  </pic:blipFill>
                  <pic:spPr>
                    <a:xfrm>
                      <a:off x="0" y="0"/>
                      <a:ext cx="5943600" cy="2024380"/>
                    </a:xfrm>
                    <a:prstGeom prst="rect">
                      <a:avLst/>
                    </a:prstGeom>
                  </pic:spPr>
                </pic:pic>
              </a:graphicData>
            </a:graphic>
          </wp:inline>
        </w:drawing>
      </w:r>
    </w:p>
    <w:p w14:paraId="4B22DEDF" w14:textId="369601E8" w:rsidR="00C348F1" w:rsidRPr="0032528B" w:rsidRDefault="00C348F1" w:rsidP="00470DA9">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2. The GAMM results of the tonal coarticulation effects on the high tone in TM (monolingual) in the carryover position. The gray dashed lines roughly indicate the mid-points where the first/last three portions of the F0 contours were collected.</w:t>
      </w:r>
    </w:p>
    <w:p w14:paraId="179145CD" w14:textId="430A3BCF" w:rsidR="007604F9"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2.2 Results</w:t>
      </w:r>
    </w:p>
    <w:p w14:paraId="68E12FBC" w14:textId="2B659325" w:rsidR="00B0057F"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2.2.1 Examination of tonal coarticulation across positions and languages</w:t>
      </w:r>
    </w:p>
    <w:p w14:paraId="4B410B8F" w14:textId="37AF0E35" w:rsidR="001D2594" w:rsidRPr="0032528B" w:rsidRDefault="00653E85" w:rsidP="001D259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The regression table of the maximal model is shown in Table 2.</w:t>
      </w:r>
      <w:r>
        <w:rPr>
          <w:rStyle w:val="Appelnotedebasdep"/>
          <w:rFonts w:ascii="Times New Roman" w:eastAsia="STKaiti" w:hAnsi="Times New Roman" w:cs="Times New Roman"/>
          <w:color w:val="000000" w:themeColor="text1"/>
        </w:rPr>
        <w:footnoteReference w:id="15"/>
      </w:r>
      <w:r>
        <w:rPr>
          <w:rFonts w:ascii="Times New Roman" w:eastAsia="STKaiti" w:hAnsi="Times New Roman" w:cs="Times New Roman"/>
          <w:color w:val="000000" w:themeColor="text1"/>
        </w:rPr>
        <w:t xml:space="preserve"> The raw data points of the tone onsets and offsets, along with the predicted </w:t>
      </w:r>
      <w:r>
        <w:rPr>
          <w:rFonts w:ascii="Times New Roman" w:eastAsia="STKaiti" w:hAnsi="Times New Roman" w:cs="Times New Roman"/>
          <w:color w:val="000000" w:themeColor="text1"/>
          <w:highlight w:val="yellow"/>
        </w:rPr>
        <w:t>trajectories</w:t>
      </w:r>
      <w:r>
        <w:rPr>
          <w:rFonts w:ascii="Times New Roman" w:eastAsia="STKaiti" w:hAnsi="Times New Roman" w:cs="Times New Roman"/>
          <w:color w:val="000000" w:themeColor="text1"/>
        </w:rPr>
        <w:t xml:space="preserve"> by the LMMs, can be found in Appendix A.4. Visualization of the tone contour trajectories based on generative additive mixed-effects models (GAMM) is also provided in Appendix A.3.</w:t>
      </w:r>
    </w:p>
    <w:p w14:paraId="13E9C561" w14:textId="77777777" w:rsidR="00FA40F7" w:rsidRPr="0032528B" w:rsidRDefault="00FA40F7" w:rsidP="00FA40F7">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2. Regression table of the maximal model examining the tonal coarticulation effects (only terms of interest, i.e., context tone onset/offset, language, and position, and their interactions are listed).</w:t>
      </w:r>
    </w:p>
    <w:tbl>
      <w:tblPr>
        <w:tblW w:w="9360" w:type="dxa"/>
        <w:tblBorders>
          <w:top w:val="double" w:sz="4" w:space="0" w:color="000000"/>
          <w:bottom w:val="double" w:sz="4" w:space="0" w:color="000000"/>
          <w:insideH w:val="single" w:sz="4" w:space="0" w:color="auto"/>
        </w:tblBorders>
        <w:tblLayout w:type="fixed"/>
        <w:tblCellMar>
          <w:top w:w="202" w:type="dxa"/>
          <w:left w:w="0" w:type="dxa"/>
          <w:bottom w:w="177" w:type="dxa"/>
          <w:right w:w="50" w:type="dxa"/>
        </w:tblCellMar>
        <w:tblLook w:val="04A0" w:firstRow="1" w:lastRow="0" w:firstColumn="1" w:lastColumn="0" w:noHBand="0" w:noVBand="1"/>
      </w:tblPr>
      <w:tblGrid>
        <w:gridCol w:w="4536"/>
        <w:gridCol w:w="1985"/>
        <w:gridCol w:w="1134"/>
        <w:gridCol w:w="1134"/>
        <w:gridCol w:w="571"/>
      </w:tblGrid>
      <w:tr w:rsidR="00FA40F7" w:rsidRPr="00EB73AF" w14:paraId="5772BEDD" w14:textId="77777777" w:rsidTr="009508DA">
        <w:trPr>
          <w:trHeight w:val="263"/>
        </w:trPr>
        <w:tc>
          <w:tcPr>
            <w:tcW w:w="4536" w:type="dxa"/>
            <w:tcMar>
              <w:top w:w="0" w:type="dxa"/>
              <w:bottom w:w="0" w:type="dxa"/>
              <w:right w:w="0" w:type="dxa"/>
            </w:tcMar>
          </w:tcPr>
          <w:p w14:paraId="0A45E7CB"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Effect</w:t>
            </w:r>
          </w:p>
        </w:tc>
        <w:tc>
          <w:tcPr>
            <w:tcW w:w="1985" w:type="dxa"/>
            <w:tcMar>
              <w:top w:w="0" w:type="dxa"/>
              <w:bottom w:w="0" w:type="dxa"/>
              <w:right w:w="0" w:type="dxa"/>
            </w:tcMar>
          </w:tcPr>
          <w:p w14:paraId="36DA0A26"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Est. (±SE)</w:t>
            </w:r>
          </w:p>
        </w:tc>
        <w:tc>
          <w:tcPr>
            <w:tcW w:w="1134" w:type="dxa"/>
            <w:tcMar>
              <w:top w:w="0" w:type="dxa"/>
              <w:bottom w:w="0" w:type="dxa"/>
              <w:right w:w="0" w:type="dxa"/>
            </w:tcMar>
          </w:tcPr>
          <w:p w14:paraId="65C41E82"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i/>
                <w:iCs/>
                <w:color w:val="000000" w:themeColor="text1"/>
                <w:highlight w:val="yellow"/>
              </w:rPr>
              <w:t>t</w:t>
            </w:r>
            <w:r>
              <w:rPr>
                <w:rFonts w:ascii="Times New Roman" w:eastAsia="STKaiti" w:hAnsi="Times New Roman" w:cs="Times New Roman"/>
                <w:color w:val="000000" w:themeColor="text1"/>
                <w:highlight w:val="yellow"/>
              </w:rPr>
              <w:t>-value</w:t>
            </w:r>
          </w:p>
        </w:tc>
        <w:tc>
          <w:tcPr>
            <w:tcW w:w="1134" w:type="dxa"/>
            <w:tcMar>
              <w:top w:w="0" w:type="dxa"/>
              <w:bottom w:w="0" w:type="dxa"/>
              <w:right w:w="0" w:type="dxa"/>
            </w:tcMar>
          </w:tcPr>
          <w:p w14:paraId="2FD33EBD"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-value</w:t>
            </w:r>
          </w:p>
        </w:tc>
        <w:tc>
          <w:tcPr>
            <w:tcW w:w="571" w:type="dxa"/>
            <w:tcMar>
              <w:top w:w="0" w:type="dxa"/>
              <w:bottom w:w="0" w:type="dxa"/>
              <w:right w:w="0" w:type="dxa"/>
            </w:tcMar>
          </w:tcPr>
          <w:p w14:paraId="561AA682" w14:textId="77777777" w:rsidR="00FA40F7" w:rsidRPr="00EB73AF" w:rsidRDefault="00FA40F7" w:rsidP="009508DA">
            <w:pPr>
              <w:pStyle w:val="JASABodyText"/>
              <w:spacing w:line="240" w:lineRule="auto"/>
              <w:jc w:val="right"/>
              <w:rPr>
                <w:rFonts w:ascii="Times New Roman" w:eastAsia="STKaiti" w:hAnsi="Times New Roman" w:cs="Times New Roman"/>
                <w:color w:val="000000" w:themeColor="text1"/>
                <w:highlight w:val="yellow"/>
              </w:rPr>
            </w:pPr>
          </w:p>
        </w:tc>
      </w:tr>
      <w:tr w:rsidR="000150A4" w:rsidRPr="00EB73AF" w14:paraId="6BB0A819" w14:textId="77777777" w:rsidTr="009508DA">
        <w:trPr>
          <w:trHeight w:val="175"/>
        </w:trPr>
        <w:tc>
          <w:tcPr>
            <w:tcW w:w="4536" w:type="dxa"/>
            <w:tcMar>
              <w:top w:w="0" w:type="dxa"/>
              <w:bottom w:w="0" w:type="dxa"/>
              <w:right w:w="0" w:type="dxa"/>
            </w:tcMar>
          </w:tcPr>
          <w:p w14:paraId="681104DE"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intercept</w:t>
            </w:r>
          </w:p>
        </w:tc>
        <w:tc>
          <w:tcPr>
            <w:tcW w:w="1985" w:type="dxa"/>
            <w:tcMar>
              <w:top w:w="0" w:type="dxa"/>
              <w:bottom w:w="0" w:type="dxa"/>
              <w:right w:w="0" w:type="dxa"/>
            </w:tcMar>
          </w:tcPr>
          <w:p w14:paraId="6FF497A8" w14:textId="1342890C"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−0.123±0.064</w:t>
            </w:r>
          </w:p>
        </w:tc>
        <w:tc>
          <w:tcPr>
            <w:tcW w:w="1134" w:type="dxa"/>
            <w:tcMar>
              <w:top w:w="0" w:type="dxa"/>
              <w:bottom w:w="0" w:type="dxa"/>
              <w:right w:w="0" w:type="dxa"/>
            </w:tcMar>
          </w:tcPr>
          <w:p w14:paraId="156AEE29" w14:textId="447A33FF"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−1.922</w:t>
            </w:r>
          </w:p>
        </w:tc>
        <w:tc>
          <w:tcPr>
            <w:tcW w:w="1134" w:type="dxa"/>
            <w:tcMar>
              <w:top w:w="0" w:type="dxa"/>
              <w:bottom w:w="0" w:type="dxa"/>
              <w:right w:w="0" w:type="dxa"/>
            </w:tcMar>
          </w:tcPr>
          <w:p w14:paraId="423F648D" w14:textId="66793085"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0.081</w:t>
            </w:r>
          </w:p>
        </w:tc>
        <w:tc>
          <w:tcPr>
            <w:tcW w:w="571" w:type="dxa"/>
            <w:tcMar>
              <w:top w:w="0" w:type="dxa"/>
              <w:bottom w:w="0" w:type="dxa"/>
              <w:right w:w="0" w:type="dxa"/>
            </w:tcMar>
          </w:tcPr>
          <w:p w14:paraId="15013DE8"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p>
        </w:tc>
      </w:tr>
      <w:tr w:rsidR="000150A4" w:rsidRPr="00EB73AF" w14:paraId="70B83A87" w14:textId="77777777" w:rsidTr="009508DA">
        <w:trPr>
          <w:trHeight w:val="117"/>
        </w:trPr>
        <w:tc>
          <w:tcPr>
            <w:tcW w:w="4536" w:type="dxa"/>
            <w:tcMar>
              <w:top w:w="0" w:type="dxa"/>
              <w:bottom w:w="0" w:type="dxa"/>
              <w:right w:w="0" w:type="dxa"/>
            </w:tcMar>
          </w:tcPr>
          <w:p w14:paraId="732DB779"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context tone onset/offset</w:t>
            </w:r>
          </w:p>
        </w:tc>
        <w:tc>
          <w:tcPr>
            <w:tcW w:w="1985" w:type="dxa"/>
            <w:tcMar>
              <w:top w:w="0" w:type="dxa"/>
              <w:bottom w:w="0" w:type="dxa"/>
              <w:right w:w="0" w:type="dxa"/>
            </w:tcMar>
          </w:tcPr>
          <w:p w14:paraId="3BE4887B" w14:textId="1C53F616"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0.320±0.064</w:t>
            </w:r>
          </w:p>
        </w:tc>
        <w:tc>
          <w:tcPr>
            <w:tcW w:w="1134" w:type="dxa"/>
            <w:tcMar>
              <w:top w:w="0" w:type="dxa"/>
              <w:bottom w:w="0" w:type="dxa"/>
              <w:right w:w="0" w:type="dxa"/>
            </w:tcMar>
          </w:tcPr>
          <w:p w14:paraId="4954A356" w14:textId="16216172"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5.037</w:t>
            </w:r>
          </w:p>
        </w:tc>
        <w:tc>
          <w:tcPr>
            <w:tcW w:w="1134" w:type="dxa"/>
            <w:tcMar>
              <w:top w:w="0" w:type="dxa"/>
              <w:bottom w:w="0" w:type="dxa"/>
              <w:right w:w="0" w:type="dxa"/>
            </w:tcMar>
          </w:tcPr>
          <w:p w14:paraId="4F0AED1D" w14:textId="7777777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71" w:type="dxa"/>
            <w:tcMar>
              <w:top w:w="0" w:type="dxa"/>
              <w:bottom w:w="0" w:type="dxa"/>
              <w:right w:w="0" w:type="dxa"/>
            </w:tcMar>
          </w:tcPr>
          <w:p w14:paraId="71374753"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0150A4" w:rsidRPr="00EB73AF" w14:paraId="750E59CD" w14:textId="77777777" w:rsidTr="009508DA">
        <w:trPr>
          <w:trHeight w:val="141"/>
        </w:trPr>
        <w:tc>
          <w:tcPr>
            <w:tcW w:w="4536" w:type="dxa"/>
            <w:tcMar>
              <w:top w:w="0" w:type="dxa"/>
              <w:bottom w:w="0" w:type="dxa"/>
              <w:right w:w="0" w:type="dxa"/>
            </w:tcMar>
          </w:tcPr>
          <w:p w14:paraId="66AA4527"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(contrast 1)</w:t>
            </w:r>
          </w:p>
        </w:tc>
        <w:tc>
          <w:tcPr>
            <w:tcW w:w="1985" w:type="dxa"/>
            <w:tcMar>
              <w:top w:w="0" w:type="dxa"/>
              <w:bottom w:w="0" w:type="dxa"/>
              <w:right w:w="0" w:type="dxa"/>
            </w:tcMar>
          </w:tcPr>
          <w:p w14:paraId="2D2BC99A" w14:textId="487F3F9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0.041±0.037</w:t>
            </w:r>
          </w:p>
        </w:tc>
        <w:tc>
          <w:tcPr>
            <w:tcW w:w="1134" w:type="dxa"/>
            <w:tcMar>
              <w:top w:w="0" w:type="dxa"/>
              <w:bottom w:w="0" w:type="dxa"/>
              <w:right w:w="0" w:type="dxa"/>
            </w:tcMar>
          </w:tcPr>
          <w:p w14:paraId="03E1EA06" w14:textId="18BAB10A"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1.097</w:t>
            </w:r>
          </w:p>
        </w:tc>
        <w:tc>
          <w:tcPr>
            <w:tcW w:w="1134" w:type="dxa"/>
            <w:tcMar>
              <w:top w:w="0" w:type="dxa"/>
              <w:bottom w:w="0" w:type="dxa"/>
              <w:right w:w="0" w:type="dxa"/>
            </w:tcMar>
          </w:tcPr>
          <w:p w14:paraId="0CDB89D3" w14:textId="1CAD2FC1"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0.278</w:t>
            </w:r>
          </w:p>
        </w:tc>
        <w:tc>
          <w:tcPr>
            <w:tcW w:w="571" w:type="dxa"/>
            <w:tcMar>
              <w:top w:w="0" w:type="dxa"/>
              <w:bottom w:w="0" w:type="dxa"/>
              <w:right w:w="0" w:type="dxa"/>
            </w:tcMar>
          </w:tcPr>
          <w:p w14:paraId="5D432C7B" w14:textId="77777777" w:rsidR="000150A4" w:rsidRPr="00EB73AF" w:rsidRDefault="000150A4" w:rsidP="000150A4">
            <w:pPr>
              <w:pStyle w:val="JASABodyText"/>
              <w:spacing w:line="240" w:lineRule="auto"/>
              <w:rPr>
                <w:rFonts w:ascii="Times New Roman" w:eastAsia="STKaiti" w:hAnsi="Times New Roman" w:cs="Times New Roman"/>
                <w:color w:val="000000" w:themeColor="text1"/>
                <w:highlight w:val="yellow"/>
              </w:rPr>
            </w:pPr>
          </w:p>
        </w:tc>
      </w:tr>
      <w:tr w:rsidR="000150A4" w:rsidRPr="00EB73AF" w14:paraId="1E87C533" w14:textId="77777777" w:rsidTr="009508DA">
        <w:trPr>
          <w:trHeight w:val="12"/>
        </w:trPr>
        <w:tc>
          <w:tcPr>
            <w:tcW w:w="4536" w:type="dxa"/>
            <w:tcMar>
              <w:top w:w="0" w:type="dxa"/>
              <w:bottom w:w="0" w:type="dxa"/>
              <w:right w:w="0" w:type="dxa"/>
            </w:tcMar>
          </w:tcPr>
          <w:p w14:paraId="4297F5A0"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(contrast 2)</w:t>
            </w:r>
          </w:p>
        </w:tc>
        <w:tc>
          <w:tcPr>
            <w:tcW w:w="1985" w:type="dxa"/>
            <w:tcMar>
              <w:top w:w="0" w:type="dxa"/>
              <w:bottom w:w="0" w:type="dxa"/>
              <w:right w:w="0" w:type="dxa"/>
            </w:tcMar>
          </w:tcPr>
          <w:p w14:paraId="5AB6C108" w14:textId="5EDB5258"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−0.076±0.027</w:t>
            </w:r>
          </w:p>
        </w:tc>
        <w:tc>
          <w:tcPr>
            <w:tcW w:w="1134" w:type="dxa"/>
            <w:tcMar>
              <w:top w:w="0" w:type="dxa"/>
              <w:bottom w:w="0" w:type="dxa"/>
              <w:right w:w="0" w:type="dxa"/>
            </w:tcMar>
          </w:tcPr>
          <w:p w14:paraId="30183BCE" w14:textId="404D21C6"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−2.824</w:t>
            </w:r>
          </w:p>
        </w:tc>
        <w:tc>
          <w:tcPr>
            <w:tcW w:w="1134" w:type="dxa"/>
            <w:tcMar>
              <w:top w:w="0" w:type="dxa"/>
              <w:bottom w:w="0" w:type="dxa"/>
              <w:right w:w="0" w:type="dxa"/>
            </w:tcMar>
          </w:tcPr>
          <w:p w14:paraId="2CBB16E4" w14:textId="730DBCFB"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0.005</w:t>
            </w:r>
          </w:p>
        </w:tc>
        <w:tc>
          <w:tcPr>
            <w:tcW w:w="571" w:type="dxa"/>
            <w:tcMar>
              <w:top w:w="0" w:type="dxa"/>
              <w:bottom w:w="0" w:type="dxa"/>
              <w:right w:w="0" w:type="dxa"/>
            </w:tcMar>
          </w:tcPr>
          <w:p w14:paraId="206A067E" w14:textId="5C13C88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0150A4" w:rsidRPr="00EB73AF" w14:paraId="66149D82" w14:textId="77777777" w:rsidTr="009508DA">
        <w:trPr>
          <w:trHeight w:val="20"/>
        </w:trPr>
        <w:tc>
          <w:tcPr>
            <w:tcW w:w="4536" w:type="dxa"/>
            <w:tcMar>
              <w:top w:w="0" w:type="dxa"/>
              <w:bottom w:w="0" w:type="dxa"/>
              <w:right w:w="0" w:type="dxa"/>
            </w:tcMar>
          </w:tcPr>
          <w:p w14:paraId="59A4FC8F"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position</w:t>
            </w:r>
          </w:p>
        </w:tc>
        <w:tc>
          <w:tcPr>
            <w:tcW w:w="1985" w:type="dxa"/>
            <w:tcMar>
              <w:top w:w="0" w:type="dxa"/>
              <w:bottom w:w="0" w:type="dxa"/>
              <w:right w:w="0" w:type="dxa"/>
            </w:tcMar>
          </w:tcPr>
          <w:p w14:paraId="2979DB48" w14:textId="5809DCEF"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0.248±0.053</w:t>
            </w:r>
          </w:p>
        </w:tc>
        <w:tc>
          <w:tcPr>
            <w:tcW w:w="1134" w:type="dxa"/>
            <w:tcMar>
              <w:top w:w="0" w:type="dxa"/>
              <w:bottom w:w="0" w:type="dxa"/>
              <w:right w:w="0" w:type="dxa"/>
            </w:tcMar>
          </w:tcPr>
          <w:p w14:paraId="42DE311F" w14:textId="40EEE148"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4.649</w:t>
            </w:r>
          </w:p>
        </w:tc>
        <w:tc>
          <w:tcPr>
            <w:tcW w:w="1134" w:type="dxa"/>
            <w:tcMar>
              <w:top w:w="0" w:type="dxa"/>
              <w:bottom w:w="0" w:type="dxa"/>
              <w:right w:w="0" w:type="dxa"/>
            </w:tcMar>
          </w:tcPr>
          <w:p w14:paraId="610F558A" w14:textId="7777777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71" w:type="dxa"/>
            <w:tcMar>
              <w:top w:w="0" w:type="dxa"/>
              <w:bottom w:w="0" w:type="dxa"/>
              <w:right w:w="0" w:type="dxa"/>
            </w:tcMar>
          </w:tcPr>
          <w:p w14:paraId="245182D3"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0150A4" w:rsidRPr="00EB73AF" w14:paraId="79A2AB4D" w14:textId="77777777" w:rsidTr="009508DA">
        <w:trPr>
          <w:trHeight w:val="12"/>
        </w:trPr>
        <w:tc>
          <w:tcPr>
            <w:tcW w:w="4536" w:type="dxa"/>
            <w:tcMar>
              <w:top w:w="0" w:type="dxa"/>
              <w:bottom w:w="0" w:type="dxa"/>
              <w:right w:w="0" w:type="dxa"/>
            </w:tcMar>
          </w:tcPr>
          <w:p w14:paraId="3FEB81A8"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context tone onset/offset:language (contrast 1)</w:t>
            </w:r>
          </w:p>
        </w:tc>
        <w:tc>
          <w:tcPr>
            <w:tcW w:w="1985" w:type="dxa"/>
            <w:tcMar>
              <w:top w:w="0" w:type="dxa"/>
              <w:bottom w:w="0" w:type="dxa"/>
              <w:right w:w="0" w:type="dxa"/>
            </w:tcMar>
          </w:tcPr>
          <w:p w14:paraId="48D9E66B" w14:textId="6A3FB5BB"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−0.044±0.040</w:t>
            </w:r>
          </w:p>
        </w:tc>
        <w:tc>
          <w:tcPr>
            <w:tcW w:w="1134" w:type="dxa"/>
            <w:tcMar>
              <w:top w:w="0" w:type="dxa"/>
              <w:bottom w:w="0" w:type="dxa"/>
              <w:right w:w="0" w:type="dxa"/>
            </w:tcMar>
          </w:tcPr>
          <w:p w14:paraId="6A696F49" w14:textId="4D478D82"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−1.104</w:t>
            </w:r>
          </w:p>
        </w:tc>
        <w:tc>
          <w:tcPr>
            <w:tcW w:w="1134" w:type="dxa"/>
            <w:tcMar>
              <w:top w:w="0" w:type="dxa"/>
              <w:bottom w:w="0" w:type="dxa"/>
              <w:right w:w="0" w:type="dxa"/>
            </w:tcMar>
          </w:tcPr>
          <w:p w14:paraId="69DF2A3E" w14:textId="737BDC08"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0.276</w:t>
            </w:r>
          </w:p>
        </w:tc>
        <w:tc>
          <w:tcPr>
            <w:tcW w:w="571" w:type="dxa"/>
            <w:tcMar>
              <w:top w:w="0" w:type="dxa"/>
              <w:bottom w:w="0" w:type="dxa"/>
              <w:right w:w="0" w:type="dxa"/>
            </w:tcMar>
          </w:tcPr>
          <w:p w14:paraId="31648DDA"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p>
        </w:tc>
      </w:tr>
      <w:tr w:rsidR="000150A4" w:rsidRPr="00EB73AF" w14:paraId="7ED490B6" w14:textId="77777777" w:rsidTr="009508DA">
        <w:trPr>
          <w:trHeight w:val="12"/>
        </w:trPr>
        <w:tc>
          <w:tcPr>
            <w:tcW w:w="4536" w:type="dxa"/>
            <w:tcMar>
              <w:top w:w="0" w:type="dxa"/>
              <w:bottom w:w="0" w:type="dxa"/>
              <w:right w:w="0" w:type="dxa"/>
            </w:tcMar>
          </w:tcPr>
          <w:p w14:paraId="70929145"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lastRenderedPageBreak/>
              <w:t>context tone onset/offset:language (contrast 2)</w:t>
            </w:r>
          </w:p>
        </w:tc>
        <w:tc>
          <w:tcPr>
            <w:tcW w:w="1985" w:type="dxa"/>
            <w:tcMar>
              <w:top w:w="0" w:type="dxa"/>
              <w:bottom w:w="0" w:type="dxa"/>
              <w:right w:w="0" w:type="dxa"/>
            </w:tcMar>
          </w:tcPr>
          <w:p w14:paraId="41DBFE46" w14:textId="052C5BF4"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−0.047±0.027</w:t>
            </w:r>
          </w:p>
        </w:tc>
        <w:tc>
          <w:tcPr>
            <w:tcW w:w="1134" w:type="dxa"/>
            <w:tcMar>
              <w:top w:w="0" w:type="dxa"/>
              <w:bottom w:w="0" w:type="dxa"/>
              <w:right w:w="0" w:type="dxa"/>
            </w:tcMar>
          </w:tcPr>
          <w:p w14:paraId="2FB6A729" w14:textId="05BFFA10"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−1.719</w:t>
            </w:r>
          </w:p>
        </w:tc>
        <w:tc>
          <w:tcPr>
            <w:tcW w:w="1134" w:type="dxa"/>
            <w:tcMar>
              <w:top w:w="0" w:type="dxa"/>
              <w:bottom w:w="0" w:type="dxa"/>
              <w:right w:w="0" w:type="dxa"/>
            </w:tcMar>
          </w:tcPr>
          <w:p w14:paraId="0D37A0AC" w14:textId="7777777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0.088</w:t>
            </w:r>
          </w:p>
        </w:tc>
        <w:tc>
          <w:tcPr>
            <w:tcW w:w="571" w:type="dxa"/>
            <w:tcMar>
              <w:top w:w="0" w:type="dxa"/>
              <w:bottom w:w="0" w:type="dxa"/>
              <w:right w:w="0" w:type="dxa"/>
            </w:tcMar>
          </w:tcPr>
          <w:p w14:paraId="2A1B929E" w14:textId="77777777" w:rsidR="000150A4" w:rsidRPr="00EB73AF" w:rsidRDefault="000150A4" w:rsidP="000150A4">
            <w:pPr>
              <w:pStyle w:val="JASABodyText"/>
              <w:spacing w:line="240" w:lineRule="auto"/>
              <w:rPr>
                <w:rFonts w:ascii="Times New Roman" w:eastAsia="STKaiti" w:hAnsi="Times New Roman" w:cs="Times New Roman"/>
                <w:color w:val="000000" w:themeColor="text1"/>
                <w:highlight w:val="yellow"/>
              </w:rPr>
            </w:pPr>
          </w:p>
        </w:tc>
      </w:tr>
      <w:tr w:rsidR="000150A4" w:rsidRPr="00EB73AF" w14:paraId="7E575D7D" w14:textId="77777777" w:rsidTr="009508DA">
        <w:trPr>
          <w:trHeight w:val="12"/>
        </w:trPr>
        <w:tc>
          <w:tcPr>
            <w:tcW w:w="4536" w:type="dxa"/>
            <w:tcMar>
              <w:top w:w="0" w:type="dxa"/>
              <w:bottom w:w="0" w:type="dxa"/>
              <w:right w:w="0" w:type="dxa"/>
            </w:tcMar>
          </w:tcPr>
          <w:p w14:paraId="3BC083BD"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context tone onset/offset:position </w:t>
            </w:r>
          </w:p>
        </w:tc>
        <w:tc>
          <w:tcPr>
            <w:tcW w:w="1985" w:type="dxa"/>
            <w:tcMar>
              <w:top w:w="0" w:type="dxa"/>
              <w:bottom w:w="0" w:type="dxa"/>
              <w:right w:w="0" w:type="dxa"/>
            </w:tcMar>
          </w:tcPr>
          <w:p w14:paraId="638AB99B" w14:textId="70F0C610"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0.203±0.048</w:t>
            </w:r>
          </w:p>
        </w:tc>
        <w:tc>
          <w:tcPr>
            <w:tcW w:w="1134" w:type="dxa"/>
            <w:tcMar>
              <w:top w:w="0" w:type="dxa"/>
              <w:bottom w:w="0" w:type="dxa"/>
              <w:right w:w="0" w:type="dxa"/>
            </w:tcMar>
          </w:tcPr>
          <w:p w14:paraId="5BFF683E" w14:textId="62F0147E"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4.214</w:t>
            </w:r>
          </w:p>
        </w:tc>
        <w:tc>
          <w:tcPr>
            <w:tcW w:w="1134" w:type="dxa"/>
            <w:tcMar>
              <w:top w:w="0" w:type="dxa"/>
              <w:bottom w:w="0" w:type="dxa"/>
              <w:right w:w="0" w:type="dxa"/>
            </w:tcMar>
          </w:tcPr>
          <w:p w14:paraId="704EF2CE" w14:textId="7777777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71" w:type="dxa"/>
            <w:tcMar>
              <w:top w:w="0" w:type="dxa"/>
              <w:bottom w:w="0" w:type="dxa"/>
              <w:right w:w="0" w:type="dxa"/>
            </w:tcMar>
          </w:tcPr>
          <w:p w14:paraId="1FC5B256"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0150A4" w:rsidRPr="00EB73AF" w14:paraId="48F265BA" w14:textId="77777777" w:rsidTr="009508DA">
        <w:trPr>
          <w:trHeight w:val="12"/>
        </w:trPr>
        <w:tc>
          <w:tcPr>
            <w:tcW w:w="4536" w:type="dxa"/>
            <w:tcMar>
              <w:top w:w="0" w:type="dxa"/>
              <w:bottom w:w="0" w:type="dxa"/>
              <w:right w:w="0" w:type="dxa"/>
            </w:tcMar>
          </w:tcPr>
          <w:p w14:paraId="78AA72DA"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language (contrast 1):position </w:t>
            </w:r>
          </w:p>
        </w:tc>
        <w:tc>
          <w:tcPr>
            <w:tcW w:w="1985" w:type="dxa"/>
            <w:tcMar>
              <w:top w:w="0" w:type="dxa"/>
              <w:bottom w:w="0" w:type="dxa"/>
              <w:right w:w="0" w:type="dxa"/>
            </w:tcMar>
          </w:tcPr>
          <w:p w14:paraId="3E050B5C" w14:textId="05F00D5B"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0.157±0.047</w:t>
            </w:r>
          </w:p>
        </w:tc>
        <w:tc>
          <w:tcPr>
            <w:tcW w:w="1134" w:type="dxa"/>
            <w:tcMar>
              <w:top w:w="0" w:type="dxa"/>
              <w:bottom w:w="0" w:type="dxa"/>
              <w:right w:w="0" w:type="dxa"/>
            </w:tcMar>
          </w:tcPr>
          <w:p w14:paraId="62918D21" w14:textId="72E8A82C"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3.326</w:t>
            </w:r>
          </w:p>
        </w:tc>
        <w:tc>
          <w:tcPr>
            <w:tcW w:w="1134" w:type="dxa"/>
            <w:tcMar>
              <w:top w:w="0" w:type="dxa"/>
              <w:bottom w:w="0" w:type="dxa"/>
              <w:right w:w="0" w:type="dxa"/>
            </w:tcMar>
          </w:tcPr>
          <w:p w14:paraId="04E01A7C" w14:textId="7777777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71" w:type="dxa"/>
            <w:tcMar>
              <w:top w:w="0" w:type="dxa"/>
              <w:bottom w:w="0" w:type="dxa"/>
              <w:right w:w="0" w:type="dxa"/>
            </w:tcMar>
          </w:tcPr>
          <w:p w14:paraId="2464C550"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0150A4" w:rsidRPr="00EB73AF" w14:paraId="5D941953" w14:textId="77777777" w:rsidTr="009508DA">
        <w:trPr>
          <w:trHeight w:val="12"/>
        </w:trPr>
        <w:tc>
          <w:tcPr>
            <w:tcW w:w="4536" w:type="dxa"/>
            <w:tcMar>
              <w:top w:w="0" w:type="dxa"/>
              <w:bottom w:w="0" w:type="dxa"/>
              <w:right w:w="0" w:type="dxa"/>
            </w:tcMar>
          </w:tcPr>
          <w:p w14:paraId="16357E58"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language (contrast 2):position </w:t>
            </w:r>
          </w:p>
        </w:tc>
        <w:tc>
          <w:tcPr>
            <w:tcW w:w="1985" w:type="dxa"/>
            <w:tcMar>
              <w:top w:w="0" w:type="dxa"/>
              <w:bottom w:w="0" w:type="dxa"/>
              <w:right w:w="0" w:type="dxa"/>
            </w:tcMar>
          </w:tcPr>
          <w:p w14:paraId="1D3CAD6B" w14:textId="2B42E7F8"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−0.009±0.045</w:t>
            </w:r>
          </w:p>
        </w:tc>
        <w:tc>
          <w:tcPr>
            <w:tcW w:w="1134" w:type="dxa"/>
            <w:tcMar>
              <w:top w:w="0" w:type="dxa"/>
              <w:bottom w:w="0" w:type="dxa"/>
              <w:right w:w="0" w:type="dxa"/>
            </w:tcMar>
          </w:tcPr>
          <w:p w14:paraId="3BD5A53B" w14:textId="1B9892C0"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−0.192</w:t>
            </w:r>
          </w:p>
        </w:tc>
        <w:tc>
          <w:tcPr>
            <w:tcW w:w="1134" w:type="dxa"/>
            <w:tcMar>
              <w:top w:w="0" w:type="dxa"/>
              <w:bottom w:w="0" w:type="dxa"/>
              <w:right w:w="0" w:type="dxa"/>
            </w:tcMar>
          </w:tcPr>
          <w:p w14:paraId="0E30AD97" w14:textId="088D2680"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0.848</w:t>
            </w:r>
          </w:p>
        </w:tc>
        <w:tc>
          <w:tcPr>
            <w:tcW w:w="571" w:type="dxa"/>
            <w:tcMar>
              <w:top w:w="0" w:type="dxa"/>
              <w:bottom w:w="0" w:type="dxa"/>
              <w:right w:w="0" w:type="dxa"/>
            </w:tcMar>
          </w:tcPr>
          <w:p w14:paraId="7C803592"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p>
        </w:tc>
      </w:tr>
      <w:tr w:rsidR="000150A4" w:rsidRPr="00EB73AF" w14:paraId="26AD6DEC" w14:textId="77777777" w:rsidTr="009508DA">
        <w:trPr>
          <w:trHeight w:val="87"/>
        </w:trPr>
        <w:tc>
          <w:tcPr>
            <w:tcW w:w="4536" w:type="dxa"/>
            <w:tcMar>
              <w:top w:w="0" w:type="dxa"/>
              <w:bottom w:w="0" w:type="dxa"/>
              <w:right w:w="0" w:type="dxa"/>
            </w:tcMar>
          </w:tcPr>
          <w:p w14:paraId="159C6597"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context tone onset/offset:language (contrast 1):position </w:t>
            </w:r>
          </w:p>
        </w:tc>
        <w:tc>
          <w:tcPr>
            <w:tcW w:w="1985" w:type="dxa"/>
            <w:tcMar>
              <w:top w:w="0" w:type="dxa"/>
              <w:bottom w:w="0" w:type="dxa"/>
              <w:right w:w="0" w:type="dxa"/>
            </w:tcMar>
          </w:tcPr>
          <w:p w14:paraId="2BF1FC91" w14:textId="6243051B"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0.247±0.044</w:t>
            </w:r>
          </w:p>
        </w:tc>
        <w:tc>
          <w:tcPr>
            <w:tcW w:w="1134" w:type="dxa"/>
            <w:tcMar>
              <w:top w:w="0" w:type="dxa"/>
              <w:bottom w:w="0" w:type="dxa"/>
              <w:right w:w="0" w:type="dxa"/>
            </w:tcMar>
          </w:tcPr>
          <w:p w14:paraId="7D730EAE" w14:textId="50209E42"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5.603</w:t>
            </w:r>
          </w:p>
        </w:tc>
        <w:tc>
          <w:tcPr>
            <w:tcW w:w="1134" w:type="dxa"/>
            <w:tcMar>
              <w:top w:w="0" w:type="dxa"/>
              <w:bottom w:w="0" w:type="dxa"/>
              <w:right w:w="0" w:type="dxa"/>
            </w:tcMar>
          </w:tcPr>
          <w:p w14:paraId="42071868" w14:textId="77777777"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71" w:type="dxa"/>
            <w:tcMar>
              <w:top w:w="0" w:type="dxa"/>
              <w:bottom w:w="0" w:type="dxa"/>
              <w:right w:w="0" w:type="dxa"/>
            </w:tcMar>
          </w:tcPr>
          <w:p w14:paraId="2540168A"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0150A4" w:rsidRPr="0032528B" w14:paraId="20F77BFC" w14:textId="77777777" w:rsidTr="009508DA">
        <w:trPr>
          <w:trHeight w:val="492"/>
        </w:trPr>
        <w:tc>
          <w:tcPr>
            <w:tcW w:w="4536" w:type="dxa"/>
            <w:tcMar>
              <w:top w:w="0" w:type="dxa"/>
              <w:bottom w:w="0" w:type="dxa"/>
              <w:right w:w="0" w:type="dxa"/>
            </w:tcMar>
          </w:tcPr>
          <w:p w14:paraId="665EBCA4" w14:textId="77777777" w:rsidR="000150A4" w:rsidRPr="00EB73AF" w:rsidRDefault="000150A4" w:rsidP="000150A4">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context tone onset/offset:language (contrast 2):position </w:t>
            </w:r>
          </w:p>
        </w:tc>
        <w:tc>
          <w:tcPr>
            <w:tcW w:w="1985" w:type="dxa"/>
            <w:tcMar>
              <w:top w:w="0" w:type="dxa"/>
              <w:bottom w:w="0" w:type="dxa"/>
              <w:right w:w="0" w:type="dxa"/>
            </w:tcMar>
          </w:tcPr>
          <w:p w14:paraId="5B77CB79" w14:textId="3F1077C6"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−0.113±0.043</w:t>
            </w:r>
          </w:p>
        </w:tc>
        <w:tc>
          <w:tcPr>
            <w:tcW w:w="1134" w:type="dxa"/>
            <w:tcMar>
              <w:top w:w="0" w:type="dxa"/>
              <w:bottom w:w="0" w:type="dxa"/>
              <w:right w:w="0" w:type="dxa"/>
            </w:tcMar>
          </w:tcPr>
          <w:p w14:paraId="1DC5D061" w14:textId="72F2ED7C"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hAnsi="Times New Roman"/>
                <w:highlight w:val="yellow"/>
              </w:rPr>
              <w:t>−2.598</w:t>
            </w:r>
          </w:p>
        </w:tc>
        <w:tc>
          <w:tcPr>
            <w:tcW w:w="1134" w:type="dxa"/>
            <w:tcMar>
              <w:top w:w="0" w:type="dxa"/>
              <w:bottom w:w="0" w:type="dxa"/>
              <w:right w:w="0" w:type="dxa"/>
            </w:tcMar>
          </w:tcPr>
          <w:p w14:paraId="48D7D089" w14:textId="574336CD" w:rsidR="000150A4" w:rsidRPr="00EB73AF" w:rsidRDefault="000150A4" w:rsidP="000150A4">
            <w:pPr>
              <w:pStyle w:val="JASABodyText"/>
              <w:spacing w:line="240" w:lineRule="auto"/>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0.009</w:t>
            </w:r>
          </w:p>
        </w:tc>
        <w:tc>
          <w:tcPr>
            <w:tcW w:w="571" w:type="dxa"/>
            <w:tcMar>
              <w:top w:w="0" w:type="dxa"/>
              <w:bottom w:w="0" w:type="dxa"/>
              <w:right w:w="0" w:type="dxa"/>
            </w:tcMar>
          </w:tcPr>
          <w:p w14:paraId="1A67F38F" w14:textId="36E6D77A" w:rsidR="000150A4" w:rsidRPr="0032528B" w:rsidRDefault="000150A4" w:rsidP="000150A4">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w:t>
            </w:r>
          </w:p>
        </w:tc>
      </w:tr>
    </w:tbl>
    <w:p w14:paraId="515C2D84" w14:textId="77777777" w:rsidR="00FA40F7" w:rsidRPr="0032528B" w:rsidRDefault="00FA40F7" w:rsidP="00FA40F7">
      <w:pPr>
        <w:pStyle w:val="JASABodyText"/>
        <w:ind w:firstLine="0"/>
        <w:jc w:val="both"/>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Formula: target tone onset/offset </w:t>
      </w:r>
      <w:r>
        <w:rPr>
          <w:rFonts w:ascii="Cambria Math" w:eastAsia="STKaiti" w:hAnsi="Cambria Math" w:cs="Cambria Math"/>
          <w:color w:val="000000" w:themeColor="text1"/>
        </w:rPr>
        <w:t>∼</w:t>
      </w:r>
      <w:r>
        <w:rPr>
          <w:rFonts w:ascii="Times New Roman" w:eastAsia="STKaiti" w:hAnsi="Times New Roman" w:cs="Times New Roman"/>
          <w:color w:val="000000" w:themeColor="text1"/>
        </w:rPr>
        <w:t xml:space="preserve"> context tone onset/offset * language * target tone identity * position * </w:t>
      </w:r>
      <w:r>
        <w:rPr>
          <w:rFonts w:ascii="Times New Roman" w:eastAsia="STKaiti" w:hAnsi="Times New Roman" w:cs="Times New Roman"/>
          <w:color w:val="000000" w:themeColor="text1"/>
          <w:highlight w:val="yellow"/>
        </w:rPr>
        <w:t>target tone onset/offset portion index * context tone onset/offset portion index</w:t>
      </w:r>
      <w:r>
        <w:rPr>
          <w:rFonts w:ascii="Times New Roman" w:eastAsia="STKaiti" w:hAnsi="Times New Roman" w:cs="Times New Roman"/>
          <w:color w:val="000000" w:themeColor="text1"/>
        </w:rPr>
        <w:t xml:space="preserve"> + (1 + context tone onset/offset | onset segment type) + (1 + context tone onset/offset | offset segment type) + (1 + context tone onset/offset | participant)</w:t>
      </w:r>
    </w:p>
    <w:p w14:paraId="51A1ECE0" w14:textId="12E7C1AA" w:rsidR="001D2594" w:rsidRPr="0032528B" w:rsidRDefault="001D2594" w:rsidP="00EB73AF">
      <w:pPr>
        <w:pStyle w:val="JASABodyText"/>
        <w:ind w:firstLine="0"/>
        <w:jc w:val="both"/>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contrasts: 1 (TM [monolingual]=1, TSM=−1); 2 (TM [bilingual]=1, TSM=−1)</w:t>
      </w:r>
    </w:p>
    <w:p w14:paraId="0858E562" w14:textId="109BB309" w:rsidR="00196027" w:rsidRPr="0032528B" w:rsidRDefault="00196027" w:rsidP="00653E85">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the LMM results </w:t>
      </w:r>
      <w:r>
        <w:rPr>
          <w:rFonts w:ascii="Times New Roman" w:eastAsia="STKaiti" w:hAnsi="Times New Roman" w:cs="Times New Roman"/>
          <w:color w:val="000000" w:themeColor="text1"/>
          <w:highlight w:val="yellow"/>
        </w:rPr>
        <w:t xml:space="preserve">(Table 2), the</w:t>
      </w:r>
      <w:r>
        <w:rPr>
          <w:rFonts w:ascii="Times New Roman" w:eastAsia="STKaiti" w:hAnsi="Times New Roman" w:cs="Times New Roman"/>
          <w:color w:val="000000" w:themeColor="text1"/>
        </w:rPr>
        <w:t xml:space="preserve"> coefficient </w:t>
      </w:r>
      <w:r>
        <w:rPr>
          <w:rFonts w:ascii="Times New Roman" w:eastAsia="STKaiti" w:hAnsi="Times New Roman" w:cs="Times New Roman"/>
          <w:color w:val="000000" w:themeColor="text1"/>
          <w:highlight w:val="yellow"/>
        </w:rPr>
        <w:t>estimate for the context tone value is significantly positive</w:t>
      </w:r>
      <w:r>
        <w:rPr>
          <w:rFonts w:ascii="Times New Roman" w:eastAsia="STKaiti" w:hAnsi="Times New Roman" w:cs="Times New Roman"/>
          <w:color w:val="000000" w:themeColor="text1"/>
        </w:rPr>
        <w:t xml:space="preserv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=0.320</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&lt;0.001). When the context tone onset/offset was higher, the target tone offset/onset would also be raised. Likewise, lower context tone is also associated with lowered target tone.  This suggests that coarticulatory effects were present and that such effects were assimilatory.</w:t>
      </w:r>
    </w:p>
    <w:p w14:paraId="592494EB" w14:textId="185A30C4" w:rsidR="00196027" w:rsidRPr="0032528B" w:rsidRDefault="00777F53" w:rsidP="00A1648F">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addition, the coarticulatory effects of the context tone values on the target tone values were also found to be influenced by position. The </w:t>
      </w:r>
      <w:r>
        <w:rPr>
          <w:rFonts w:ascii="Times New Roman" w:eastAsia="STKaiti" w:hAnsi="Times New Roman" w:cs="Times New Roman"/>
          <w:color w:val="000000" w:themeColor="text1"/>
          <w:highlight w:val="yellow"/>
        </w:rPr>
        <w:t>effect of</w:t>
      </w:r>
      <w:r>
        <w:rPr>
          <w:rFonts w:ascii="Times New Roman" w:eastAsia="STKaiti" w:hAnsi="Times New Roman" w:cs="Times New Roman"/>
          <w:color w:val="000000" w:themeColor="text1"/>
        </w:rPr>
        <w:t xml:space="preserve"> the context tone </w:t>
      </w:r>
      <w:r>
        <w:rPr>
          <w:rFonts w:ascii="Times New Roman" w:eastAsia="STKaiti" w:hAnsi="Times New Roman" w:cs="Times New Roman"/>
          <w:color w:val="000000" w:themeColor="text1"/>
          <w:highlight w:val="yellow"/>
        </w:rPr>
        <w:t>on</w:t>
      </w:r>
      <w:r>
        <w:rPr>
          <w:rFonts w:ascii="Times New Roman" w:eastAsia="STKaiti" w:hAnsi="Times New Roman" w:cs="Times New Roman"/>
          <w:color w:val="000000" w:themeColor="text1"/>
        </w:rPr>
        <w:t xml:space="preserve"> target tone values was stronger in the carryover position than in the anticipatory position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=0.203</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&lt;0.001). This suggests that compared to the effects of the following tone onsets on the preceding tone offsets (anticipatory effects), the effects of the preceding tone offsets on the following tone offsets (carryover effects) are stronger.</w:t>
      </w:r>
    </w:p>
    <w:p w14:paraId="6276703D" w14:textId="6C41A81D" w:rsidR="00A413BE" w:rsidRPr="0032528B" w:rsidRDefault="00D43CCB" w:rsidP="000C35D7">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This positional difference was more positive/stronger in TM (monolingual) than the grand mean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=0.247; p&lt;0.001</w:t>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highlight w:val="yellow"/>
        </w:rPr>
        <w:t>and less positive in TM (bilingual) than the grand mean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=−0.113; </w:t>
        <w:lastRenderedPageBreak/>
        <w:t>p=0.009)</w:t>
      </w:r>
      <w:r>
        <w:rPr>
          <w:rFonts w:ascii="Times New Roman" w:eastAsia="STKaiti" w:hAnsi="Times New Roman" w:cs="Times New Roman"/>
          <w:color w:val="000000" w:themeColor="text1"/>
        </w:rPr>
        <w:t xml:space="preserve">. Follow-up within-language comparison models</w:t>
      </w:r>
      <w:r>
        <w:rPr>
          <w:rStyle w:val="Appelnotedebasdep"/>
          <w:rFonts w:eastAsia="STKaiti" w:cs="Times New Roman"/>
          <w:color w:val="000000" w:themeColor="text1"/>
        </w:rPr>
        <w:footnoteReference w:id="16"/>
      </w:r>
      <w:r>
        <w:rPr>
          <w:rFonts w:ascii="Times New Roman" w:eastAsia="STKaiti" w:hAnsi="Times New Roman" w:cs="Times New Roman"/>
          <w:color w:val="000000" w:themeColor="text1"/>
        </w:rPr>
        <w:t xml:space="preserve"> further showed that this positional difference was only significant for the TM (monolingual) group (TSM [advanced]: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=−0.040; </w:t>
      </w:r>
      <w:r>
        <w:rPr>
          <w:rFonts w:ascii="Times New Roman" w:eastAsia="STKaiti" w:hAnsi="Times New Roman" w:cs="Times New Roman"/>
          <w:i/>
          <w:color w:val="000000" w:themeColor="text1"/>
          <w:highlight w:val="yellow"/>
        </w:rPr>
        <w:t>p</w:t>
      </w:r>
      <w:r>
        <w:rPr>
          <w:rFonts w:ascii="Times New Roman" w:eastAsia="STKaiti" w:hAnsi="Times New Roman" w:cs="Times New Roman"/>
          <w:color w:val="000000" w:themeColor="text1"/>
          <w:highlight w:val="yellow"/>
        </w:rPr>
        <w:t>=0</w:t>
      </w:r>
      <w:r>
        <w:rPr>
          <w:rFonts w:ascii="Times New Roman" w:eastAsia="STKaiti" w:hAnsi="Times New Roman" w:cs="Times New Roman"/>
          <w:i/>
          <w:color w:val="000000" w:themeColor="text1"/>
          <w:highlight w:val="yellow"/>
        </w:rPr>
        <w:t>.</w:t>
      </w:r>
      <w:r>
        <w:rPr>
          <w:rFonts w:ascii="Times New Roman" w:eastAsia="STKaiti" w:hAnsi="Times New Roman" w:cs="Times New Roman"/>
          <w:color w:val="000000" w:themeColor="text1"/>
          <w:highlight w:val="yellow"/>
        </w:rPr>
        <w:t>463</w:t>
      </w:r>
      <w:r>
        <w:rPr>
          <w:rFonts w:ascii="Times New Roman" w:eastAsia="STKaiti" w:hAnsi="Times New Roman" w:cs="Times New Roman"/>
          <w:color w:val="000000" w:themeColor="text1"/>
        </w:rPr>
        <w:t xml:space="preserve">; TM [monolingual]: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=0.078; </w:t>
      </w:r>
      <w:r>
        <w:rPr>
          <w:rFonts w:ascii="Times New Roman" w:eastAsia="STKaiti" w:hAnsi="Times New Roman" w:cs="Times New Roman"/>
          <w:i/>
          <w:color w:val="000000" w:themeColor="text1"/>
          <w:highlight w:val="yellow"/>
        </w:rPr>
        <w:t>p</w:t>
      </w:r>
      <w:r>
        <w:rPr>
          <w:rFonts w:ascii="Times New Roman" w:eastAsia="STKaiti" w:hAnsi="Times New Roman" w:cs="Times New Roman"/>
          <w:color w:val="000000" w:themeColor="text1"/>
          <w:highlight w:val="yellow"/>
        </w:rPr>
        <w:t>=0</w:t>
      </w:r>
      <w:r>
        <w:rPr>
          <w:rFonts w:ascii="Times New Roman" w:eastAsia="STKaiti" w:hAnsi="Times New Roman" w:cs="Times New Roman"/>
          <w:i/>
          <w:color w:val="000000" w:themeColor="text1"/>
          <w:highlight w:val="yellow"/>
        </w:rPr>
        <w:t>.</w:t>
      </w:r>
      <w:r>
        <w:rPr>
          <w:rFonts w:ascii="Times New Roman" w:eastAsia="STKaiti" w:hAnsi="Times New Roman" w:cs="Times New Roman"/>
          <w:color w:val="000000" w:themeColor="text1"/>
          <w:highlight w:val="yellow"/>
        </w:rPr>
        <w:t>010</w:t>
      </w:r>
      <w:r>
        <w:rPr>
          <w:rFonts w:ascii="Times New Roman" w:eastAsia="STKaiti" w:hAnsi="Times New Roman" w:cs="Times New Roman"/>
          <w:color w:val="000000" w:themeColor="text1"/>
        </w:rPr>
        <w:t xml:space="preserve">; TM [bilingual]: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=0.055; </w:t>
      </w:r>
      <w:r>
        <w:rPr>
          <w:rFonts w:ascii="Times New Roman" w:eastAsia="STKaiti" w:hAnsi="Times New Roman" w:cs="Times New Roman"/>
          <w:i/>
          <w:color w:val="000000" w:themeColor="text1"/>
          <w:highlight w:val="yellow"/>
        </w:rPr>
        <w:t>p</w:t>
      </w:r>
      <w:r>
        <w:rPr>
          <w:rFonts w:ascii="Times New Roman" w:eastAsia="STKaiti" w:hAnsi="Times New Roman" w:cs="Times New Roman"/>
          <w:color w:val="000000" w:themeColor="text1"/>
          <w:highlight w:val="yellow"/>
        </w:rPr>
        <w:t>=0</w:t>
      </w:r>
      <w:r>
        <w:rPr>
          <w:rFonts w:ascii="Times New Roman" w:eastAsia="STKaiti" w:hAnsi="Times New Roman" w:cs="Times New Roman"/>
          <w:i/>
          <w:color w:val="000000" w:themeColor="text1"/>
          <w:highlight w:val="yellow"/>
        </w:rPr>
        <w:t>.</w:t>
      </w:r>
      <w:r>
        <w:rPr>
          <w:rFonts w:ascii="Times New Roman" w:eastAsia="STKaiti" w:hAnsi="Times New Roman" w:cs="Times New Roman"/>
          <w:color w:val="000000" w:themeColor="text1"/>
          <w:highlight w:val="yellow"/>
        </w:rPr>
        <w:t>144</w:t>
      </w:r>
      <w:r>
        <w:rPr>
          <w:rFonts w:ascii="Times New Roman" w:eastAsia="STKaiti" w:hAnsi="Times New Roman" w:cs="Times New Roman"/>
          <w:color w:val="000000" w:themeColor="text1"/>
        </w:rPr>
        <w:t xml:space="preserve">). This suggests that while positional differences exist between carryover effects and anticipatory effects in TM (monolingual), such differences were less robust in TSM </w:t>
      </w:r>
      <w:r>
        <w:rPr>
          <w:rFonts w:ascii="Times New Roman" w:eastAsia="STKaiti" w:hAnsi="Times New Roman" w:cs="Times New Roman"/>
          <w:color w:val="000000" w:themeColor="text1"/>
          <w:highlight w:val="yellow"/>
        </w:rPr>
        <w:t>and TM (bilingual)</w:t>
      </w:r>
      <w:r>
        <w:rPr>
          <w:rFonts w:ascii="Times New Roman" w:eastAsia="STKaiti" w:hAnsi="Times New Roman" w:cs="Times New Roman"/>
          <w:color w:val="000000" w:themeColor="text1"/>
        </w:rPr>
        <w:t xml:space="preserve">. To examine whether the directionality of tonal coarticulation flips in the anticipatory position in TM (monolingual) due to this positional difference, </w:t>
      </w:r>
      <w:r>
        <w:rPr>
          <w:rFonts w:ascii="Times New Roman" w:eastAsia="STKaiti" w:hAnsi="Times New Roman" w:cs="Times New Roman"/>
          <w:color w:val="000000" w:themeColor="text1"/>
          <w:highlight w:val="yellow"/>
        </w:rPr>
        <w:t>a</w:t>
      </w:r>
      <w:r>
        <w:rPr>
          <w:rFonts w:ascii="Times New Roman" w:eastAsia="STKaiti" w:hAnsi="Times New Roman" w:cs="Times New Roman"/>
          <w:color w:val="000000" w:themeColor="text1"/>
        </w:rPr>
        <w:t xml:space="preserve"> follow-up model</w:t>
      </w:r>
      <w:r>
        <w:rPr>
          <w:rStyle w:val="Appelnotedebasdep"/>
          <w:rFonts w:eastAsia="STKaiti" w:cs="Times New Roman"/>
          <w:color w:val="000000" w:themeColor="text1"/>
        </w:rPr>
        <w:footnoteReference w:id="17"/>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highlight w:val="yellow"/>
        </w:rPr>
        <w:t>was</w:t>
      </w:r>
      <w:r>
        <w:rPr>
          <w:rFonts w:ascii="Times New Roman" w:eastAsia="STKaiti" w:hAnsi="Times New Roman" w:cs="Times New Roman"/>
          <w:color w:val="000000" w:themeColor="text1"/>
        </w:rPr>
        <w:t xml:space="preserve"> conducted. In TM (monolingual), the effects remained assimilatory in both positions (carryover: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=0.331</w:t>
      </w:r>
      <w:r>
        <w:rPr>
          <w:rFonts w:ascii="Times New Roman" w:eastAsia="STKaiti" w:hAnsi="Times New Roman" w:cs="Times New Roman"/>
          <w:color w:val="000000" w:themeColor="text1"/>
        </w:rPr>
        <w:t xml:space="preserve">; </w:t>
      </w: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&lt;0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anticipatory: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=0.274; </w:t>
      </w:r>
      <w:r>
        <w:rPr>
          <w:rFonts w:ascii="Times New Roman" w:eastAsia="STKaiti" w:hAnsi="Times New Roman" w:cs="Times New Roman"/>
          <w:i/>
          <w:color w:val="000000" w:themeColor="text1"/>
          <w:highlight w:val="yellow"/>
        </w:rPr>
        <w:t>p</w:t>
      </w:r>
      <w:r>
        <w:rPr>
          <w:rFonts w:ascii="Times New Roman" w:eastAsia="STKaiti" w:hAnsi="Times New Roman" w:cs="Times New Roman"/>
          <w:color w:val="000000" w:themeColor="text1"/>
          <w:highlight w:val="yellow"/>
        </w:rPr>
        <w:t>=0</w:t>
      </w:r>
      <w:r>
        <w:rPr>
          <w:rFonts w:ascii="Times New Roman" w:eastAsia="STKaiti" w:hAnsi="Times New Roman" w:cs="Times New Roman"/>
          <w:i/>
          <w:color w:val="000000" w:themeColor="text1"/>
          <w:highlight w:val="yellow"/>
        </w:rPr>
        <w:t>.</w:t>
      </w:r>
      <w:r>
        <w:rPr>
          <w:rFonts w:ascii="Times New Roman" w:eastAsia="STKaiti" w:hAnsi="Times New Roman" w:cs="Times New Roman"/>
          <w:color w:val="000000" w:themeColor="text1"/>
          <w:highlight w:val="yellow"/>
        </w:rPr>
        <w:t>011</w:t>
      </w:r>
      <w:r>
        <w:rPr>
          <w:rFonts w:ascii="Times New Roman" w:eastAsia="STKaiti" w:hAnsi="Times New Roman" w:cs="Times New Roman"/>
          <w:color w:val="000000" w:themeColor="text1"/>
        </w:rPr>
        <w:t>).</w:t>
      </w:r>
    </w:p>
    <w:p w14:paraId="61B20A3D" w14:textId="5E10CF53" w:rsidR="00214697" w:rsidRPr="0032528B" w:rsidRDefault="000C35D7" w:rsidP="000C35D7">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Lastly, a central question this experiment seeks to answer is whether a difference in tone inventory sizes would lead TSM to have lower magnitudes of tonal coarticulation. As mentioned previously, lower magnitudes of tonal coarticulation can be indicated through a significant interaction between TM (monolingual) vs. TSM (advanced) and the coarticulatory effects. A pairwise contrast of the estimated marginal trends through </w:t>
      </w:r>
      <w:r>
        <w:rPr>
          <w:rFonts w:ascii="Courier New" w:eastAsia="STKaiti" w:hAnsi="Courier New" w:cs="Courier New"/>
          <w:color w:val="000000" w:themeColor="text1"/>
        </w:rPr>
        <w:t>emtrends</w:t>
      </w:r>
      <w:r>
        <w:rPr>
          <w:rFonts w:ascii="Courier New" w:eastAsia="STKaiti" w:hAnsi="Courier New" w:cs="Courier New"/>
          <w:color w:val="000000" w:themeColor="text1"/>
          <w:highlight w:val="yellow"/>
        </w:rPr>
        <w:t>()</w:t>
      </w:r>
      <w:r>
        <w:rPr>
          <w:rFonts w:ascii="Times New Roman" w:eastAsia="STKaiti" w:hAnsi="Times New Roman" w:cs="Times New Roman"/>
          <w:color w:val="000000" w:themeColor="text1"/>
          <w:highlight w:val="yellow"/>
        </w:rPr>
        <w:t xml:space="preserve">, evaluated at the mean portion index, showed that the effect of context tone value is significantly stronger in TSM than in TM (monolingual) (TM [monolingual]−TSM;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=−0.139;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 xml:space="preserve">=0.025). Within the bilingual speakers, such linguistic differences were likewise attested (TM [bilingual]−TSM;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=−0.174; </w:t>
      </w:r>
      <w:r>
        <w:rPr>
          <w:rFonts w:ascii="Times New Roman" w:eastAsia="STKaiti" w:hAnsi="Times New Roman" w:cs="Times New Roman"/>
          <w:i/>
          <w:iCs/>
          <w:color w:val="000000" w:themeColor="text1"/>
          <w:highlight w:val="yellow"/>
        </w:rPr>
        <w:lastRenderedPageBreak/>
        <w:t>p</w:t>
      </w:r>
      <w:r>
        <w:rPr>
          <w:rFonts w:ascii="Times New Roman" w:eastAsia="STKaiti" w:hAnsi="Times New Roman" w:cs="Times New Roman"/>
          <w:color w:val="000000" w:themeColor="text1"/>
          <w:highlight w:val="yellow"/>
        </w:rPr>
        <w:t xml:space="preserve">&lt;0.001). Lastly, the magnitude differences were not reliable between TM (monolingual) and TM (bilingual) (TM [monolingual]−TM [bilingual];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=0.036;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=0.779).</w:t>
      </w:r>
    </w:p>
    <w:p w14:paraId="5D03DFC0" w14:textId="60733C1A" w:rsidR="00FB6E0B" w:rsidRPr="0032528B" w:rsidRDefault="000C35D7" w:rsidP="000C35D7">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lang w:eastAsia="zh-TW"/>
        </w:rPr>
        <w:t xml:space="preserve">Taken together, the regression model results suggest: 1) tonal coarticulation (</w:t>
      </w:r>
      <w:r>
        <w:rPr>
          <w:rFonts w:ascii="Times New Roman" w:eastAsia="STKaiti" w:hAnsi="Times New Roman" w:cs="Times New Roman"/>
          <w:color w:val="000000" w:themeColor="text1"/>
        </w:rPr>
        <w:t>regression coefficient</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highlight w:val="yellow"/>
          <w:lang w:eastAsia="zh-TW"/>
        </w:rPr>
        <w:t>of</w:t>
      </w:r>
      <w:r>
        <w:rPr>
          <w:rFonts w:ascii="Times New Roman" w:eastAsia="STKaiti" w:hAnsi="Times New Roman" w:cs="Times New Roman"/>
          <w:color w:val="000000" w:themeColor="text1"/>
          <w:lang w:eastAsia="zh-TW"/>
        </w:rPr>
        <w:t xml:space="preserve"> context tone values </w:t>
      </w:r>
      <w:r>
        <w:rPr>
          <w:rFonts w:ascii="Times New Roman" w:eastAsia="STKaiti" w:hAnsi="Times New Roman" w:cs="Times New Roman"/>
          <w:color w:val="000000" w:themeColor="text1"/>
          <w:highlight w:val="yellow"/>
          <w:lang w:eastAsia="zh-TW"/>
        </w:rPr>
        <w:t>for</w:t>
      </w:r>
      <w:r>
        <w:rPr>
          <w:rFonts w:ascii="Times New Roman" w:eastAsia="STKaiti" w:hAnsi="Times New Roman" w:cs="Times New Roman"/>
          <w:color w:val="000000" w:themeColor="text1"/>
          <w:lang w:eastAsia="zh-TW"/>
        </w:rPr>
        <w:t xml:space="preserve"> target tone values) exists in the tone pair production produced by the speakers in this experiment, 2) these coarticulatory effects are assimilatory (positive </w:t>
      </w:r>
      <w:r>
        <w:rPr>
          <w:rFonts w:ascii="Times New Roman" w:eastAsia="STKaiti" w:hAnsi="Times New Roman" w:cs="Times New Roman"/>
          <w:color w:val="000000" w:themeColor="text1"/>
        </w:rPr>
        <w:t>regression coefficient</w:t>
      </w:r>
      <w:r>
        <w:rPr>
          <w:rFonts w:ascii="Times New Roman" w:eastAsia="STKaiti" w:hAnsi="Times New Roman" w:cs="Times New Roman"/>
          <w:color w:val="000000" w:themeColor="text1"/>
          <w:lang w:eastAsia="zh-TW"/>
        </w:rPr>
        <w:t xml:space="preserve">), 3) carryover effects are stronger than anticipatory effects in TM, and 4) </w:t>
      </w:r>
      <w:r>
        <w:rPr>
          <w:rFonts w:ascii="Times New Roman" w:eastAsia="STKaiti" w:hAnsi="Times New Roman" w:cs="Times New Roman"/>
          <w:color w:val="000000" w:themeColor="text1"/>
          <w:highlight w:val="yellow"/>
          <w:lang w:eastAsia="zh-TW"/>
        </w:rPr>
        <w:t>the directionality of tonal coarticulation is comparable across language groups, while the magnitude is stronger in TSM.</w:t>
      </w:r>
      <w:bookmarkStart w:id="1" w:name="_buq8cckebxy8" w:colFirst="0" w:colLast="0"/>
      <w:bookmarkEnd w:id="1"/>
    </w:p>
    <w:p w14:paraId="295F9424" w14:textId="78FF4089" w:rsidR="0088597B" w:rsidRPr="0032528B" w:rsidRDefault="0088597B" w:rsidP="00A1648F">
      <w:pPr>
        <w:pStyle w:val="JASABodyText"/>
        <w:ind w:firstLine="0"/>
        <w:rPr>
          <w:rFonts w:ascii="Times New Roman" w:eastAsia="STKaiti" w:hAnsi="Times New Roman" w:cs="Times New Roman"/>
          <w:color w:val="000000" w:themeColor="text1"/>
        </w:rPr>
      </w:pPr>
    </w:p>
    <w:p w14:paraId="5F0A1A22" w14:textId="0F1C98E1" w:rsidR="00FB6E0B"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2.2.2 Comparison of individual tones</w:t>
      </w:r>
    </w:p>
    <w:p w14:paraId="79F2536E" w14:textId="0943A8BC" w:rsidR="00FB6E0B" w:rsidRPr="0032528B" w:rsidRDefault="009A2AF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While largely comparable results were found for the general patterns of tonal coarticulation across the three language groups, it was observed that different tones had different distributions, especially different magnitudes (cf. Appendix A.4). Six follow-up models</w:t>
      </w:r>
      <w:r>
        <w:rPr>
          <w:rStyle w:val="Appelnotedebasdep"/>
          <w:rFonts w:eastAsia="STKaiti" w:cs="Times New Roman"/>
          <w:color w:val="000000" w:themeColor="text1"/>
        </w:rPr>
        <w:footnoteReference w:id="18"/>
      </w:r>
      <w:r>
        <w:rPr>
          <w:rFonts w:ascii="Times New Roman" w:eastAsia="STKaiti" w:hAnsi="Times New Roman" w:cs="Times New Roman"/>
          <w:color w:val="000000" w:themeColor="text1"/>
        </w:rPr>
        <w:t xml:space="preserve"> from each language group matched with each of the two positions (carryover vs. anticipatory) were therefore fitted. Within each model, the target tone identities were sum-coded, with the high-level (55) tone represented as the negative sum of the other levels. The fixed effects included the context tone onsets/offsets and the target tone identity. The same random structure from the maximal model was used.</w:t>
      </w:r>
    </w:p>
    <w:p w14:paraId="4B8C1E4E" w14:textId="29424B5C" w:rsidR="009A2AFC" w:rsidRPr="0032528B" w:rsidRDefault="009A2AFC" w:rsidP="005732E2">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rPr>
        <w:t xml:space="preserve">To assess whether the effects of context tone values on target tone values varied across different target tones, estimated marginal trends (i.e., the slopes of the context tone values accounting for random effects) were extracted using the </w:t>
      </w:r>
      <w:r>
        <w:rPr>
          <w:rFonts w:ascii="Courier New" w:eastAsia="STKaiti" w:hAnsi="Courier New" w:cs="Courier New"/>
          <w:color w:val="000000" w:themeColor="text1"/>
        </w:rPr>
        <w:t>emtrends()</w:t>
      </w:r>
      <w:r>
        <w:rPr>
          <w:rFonts w:ascii="Times New Roman" w:eastAsia="STKaiti" w:hAnsi="Times New Roman" w:cs="Times New Roman"/>
          <w:color w:val="000000" w:themeColor="text1"/>
        </w:rPr>
        <w:t xml:space="preserve"> function from </w:t>
      </w:r>
      <w:r>
        <w:rPr>
          <w:rFonts w:ascii="Courier New" w:eastAsia="STKaiti" w:hAnsi="Courier New" w:cs="Courier New"/>
          <w:color w:val="000000" w:themeColor="text1"/>
        </w:rPr>
        <w:t>emmeans</w:t>
      </w:r>
      <w:r>
        <w:rPr>
          <w:rFonts w:ascii="Times New Roman" w:eastAsia="STKaiti" w:hAnsi="Times New Roman" w:cs="Times New Roman"/>
          <w:color w:val="000000" w:themeColor="text1"/>
        </w:rPr>
        <w:t xml:space="preserve"> </w:t>
        <w:lastRenderedPageBreak/>
        <w:t xml:space="preserve">(Lenth 2021). Post-hoc pairwise comparisons of these trends were then conducted with Tukey’s adjustment for multiple comparisons.</w:t>
      </w:r>
    </w:p>
    <w:p w14:paraId="52E99EA4" w14:textId="0DF2E025" w:rsidR="009A2AFC" w:rsidRPr="0032528B" w:rsidRDefault="009A2AFC" w:rsidP="00DE745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all six models, the effects of the context tone values on the target tone values remained positive. This suggests that the directionality of the coarticulatory effects is consistently assimilatory in both the carryover and anticipatory positions across the three language groups. The effects of the context tone values, however, became insignificant for the TM (bilingual) group. This may also be due to the smaller number of data points. Post-hoc pairwise comparisons revealed magnitude differences in some of the tone contexts (</w:t>
      </w:r>
      <w:r>
        <w:rPr>
          <w:rFonts w:ascii="Times New Roman" w:eastAsia="STKaiti" w:hAnsi="Times New Roman" w:cs="Times New Roman"/>
          <w:color w:val="000000" w:themeColor="text1"/>
          <w:lang w:eastAsia="zh-TW"/>
        </w:rPr>
        <w:t xml:space="preserve">cf. Appendix A.5</w:t>
      </w:r>
      <w:r>
        <w:rPr>
          <w:rFonts w:ascii="Times New Roman" w:eastAsia="STKaiti" w:hAnsi="Times New Roman" w:cs="Times New Roman"/>
          <w:color w:val="000000" w:themeColor="text1"/>
        </w:rPr>
        <w:t xml:space="preserve">). In the pairwise comparisons, tone-specific magnitude differences were found in all three language groups. Specifically, the high-level (55) tone and the rising (35) tone seem to be often subject to weaker tonal coarticulation than the low (21) tone, the mid-level (33) tone, and the falling (51) tone. </w:t>
      </w:r>
    </w:p>
    <w:p w14:paraId="68E9F68F" w14:textId="2B3BEA9B" w:rsidR="003B4B6F" w:rsidRPr="0032528B" w:rsidRDefault="003B4B6F" w:rsidP="008A3F3B">
      <w:pPr>
        <w:pStyle w:val="JASAthird-levelheading"/>
        <w:numPr>
          <w:ilvl w:val="0"/>
          <w:numId w:val="0"/>
        </w:numPr>
        <w:rPr>
          <w:rFonts w:ascii="Times New Roman" w:eastAsia="STKaiti" w:hAnsi="Times New Roman" w:cs="Times New Roman"/>
        </w:rPr>
      </w:pPr>
      <w:r>
        <w:rPr>
          <w:rFonts w:ascii="Times New Roman" w:eastAsia="STKaiti" w:hAnsi="Times New Roman" w:cs="Times New Roman"/>
          <w:i w:val="0"/>
          <w:iCs w:val="0"/>
        </w:rPr>
        <w:t xml:space="preserve">2.2.3 The potential effects of different ways of measuring tonal coarticulation </w:t>
      </w:r>
    </w:p>
    <w:p w14:paraId="56A0BD98" w14:textId="737CF86F" w:rsidR="00296EBC" w:rsidRPr="0032528B" w:rsidRDefault="00296EBC" w:rsidP="00A11D80">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lang w:eastAsia="zh-TW"/>
        </w:rPr>
        <w:t>As the distribution of tonal coarticulation is bound by how it is measured, a potential concern is that different measurements could lead to different results.</w:t>
      </w:r>
      <w:r>
        <w:rPr>
          <w:rStyle w:val="Appelnotedebasdep"/>
          <w:rFonts w:eastAsia="STKaiti" w:cs="Times New Roman"/>
          <w:color w:val="000000" w:themeColor="text1"/>
          <w:lang w:eastAsia="zh-TW"/>
        </w:rPr>
        <w:footnoteReference w:id="19"/>
      </w:r>
      <w:r>
        <w:rPr>
          <w:rFonts w:ascii="Times New Roman" w:eastAsia="STKaiti" w:hAnsi="Times New Roman" w:cs="Times New Roman"/>
          <w:color w:val="000000" w:themeColor="text1"/>
          <w:lang w:eastAsia="zh-TW"/>
        </w:rPr>
        <w:t xml:space="preserve"> </w:t>
      </w:r>
    </w:p>
    <w:p w14:paraId="68C34672" w14:textId="58025E7D" w:rsidR="00624678" w:rsidRPr="0032528B" w:rsidRDefault="003B4B6F" w:rsidP="000C6ECD">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lang w:eastAsia="zh-TW"/>
        </w:rPr>
        <w:t xml:space="preserve">In this study, we get the mean values of the 11 portions from each trajectory, a number also used in Chang and Hsieh (2012), the only difference being Chang and Hsieh extracted only the raw data points. Mean values were used instead to alleviate the problem of failing to extract F0 or occasional incorrect extraction by </w:t>
      </w:r>
      <w:r>
        <w:rPr>
          <w:rFonts w:ascii="Times New Roman" w:eastAsia="STKaiti" w:hAnsi="Times New Roman" w:cs="Times New Roman"/>
          <w:i/>
          <w:iCs/>
          <w:color w:val="000000" w:themeColor="text1"/>
          <w:lang w:eastAsia="zh-TW"/>
        </w:rPr>
        <w:t>Praat</w:t>
      </w:r>
      <w:r>
        <w:rPr>
          <w:rFonts w:ascii="Times New Roman" w:eastAsia="STKaiti" w:hAnsi="Times New Roman" w:cs="Times New Roman"/>
          <w:color w:val="000000" w:themeColor="text1"/>
          <w:lang w:eastAsia="zh-TW"/>
        </w:rPr>
        <w:t xml:space="preserve">. To allow for our analysis to be as generalizable as possible, we also included the portion index in the regression models. As expected, the effects of tonal coarticulation decreased as the selected point moved further away from the syllable boundary (</w:t>
      </w:r>
      <w:r>
        <w:rPr>
          <w:rFonts w:ascii="Times New Roman" w:eastAsia="STKaiti" w:hAnsi="Times New Roman" w:cs="Times New Roman"/>
          <w:color w:val="000000" w:themeColor="text1"/>
          <w:highlight w:val="yellow"/>
          <w:lang w:eastAsia="zh-TW"/>
        </w:rPr>
        <w:t xml:space="preserve">target tone onset/offset portion index: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=−0.277; </w:t>
      </w:r>
      <w:r>
        <w:rPr>
          <w:rFonts w:ascii="Times New Roman" w:eastAsia="STKaiti" w:hAnsi="Times New Roman" w:cs="Times New Roman"/>
          <w:color w:val="000000" w:themeColor="text1"/>
          <w:highlight w:val="yellow"/>
          <w:lang w:eastAsia="zh-TW"/>
        </w:rPr>
        <w:t xml:space="preserve">context tone onset/offset portion index: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=−0.115; both</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’s&lt;0.001</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highlight w:val="yellow"/>
          <w:lang w:eastAsia="zh-TW"/>
        </w:rPr>
        <w:t xml:space="preserve">In addition, the cross-linguistic differences become unreliable </w:t>
        <w:lastRenderedPageBreak/>
        <w:t xml:space="preserve">(TM [monolingual]−TSM;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lang w:eastAsia="zh-TW"/>
        </w:rPr>
        <w:t xml:space="preserve">=0.080; </w:t>
      </w:r>
      <w:r>
        <w:rPr>
          <w:rFonts w:ascii="Times New Roman" w:eastAsia="STKaiti" w:hAnsi="Times New Roman" w:cs="Times New Roman"/>
          <w:i/>
          <w:iCs/>
          <w:color w:val="000000" w:themeColor="text1"/>
          <w:highlight w:val="yellow"/>
          <w:lang w:eastAsia="zh-TW"/>
        </w:rPr>
        <w:t>p</w:t>
      </w:r>
      <w:r>
        <w:rPr>
          <w:rFonts w:ascii="Times New Roman" w:eastAsia="STKaiti" w:hAnsi="Times New Roman" w:cs="Times New Roman"/>
          <w:color w:val="000000" w:themeColor="text1"/>
          <w:highlight w:val="yellow"/>
          <w:lang w:eastAsia="zh-TW"/>
        </w:rPr>
        <w:t xml:space="preserve">=0.825; TM [bilingual]−TSM;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lang w:eastAsia="zh-TW"/>
        </w:rPr>
        <w:t xml:space="preserve">=−0.258; </w:t>
      </w:r>
      <w:r>
        <w:rPr>
          <w:rFonts w:ascii="Times New Roman" w:eastAsia="STKaiti" w:hAnsi="Times New Roman" w:cs="Times New Roman"/>
          <w:i/>
          <w:iCs/>
          <w:color w:val="000000" w:themeColor="text1"/>
          <w:highlight w:val="yellow"/>
          <w:lang w:eastAsia="zh-TW"/>
        </w:rPr>
        <w:t>p</w:t>
      </w:r>
      <w:r>
        <w:rPr>
          <w:rFonts w:ascii="Times New Roman" w:eastAsia="STKaiti" w:hAnsi="Times New Roman" w:cs="Times New Roman"/>
          <w:color w:val="000000" w:themeColor="text1"/>
          <w:highlight w:val="yellow"/>
          <w:lang w:eastAsia="zh-TW"/>
        </w:rPr>
        <w:t>=0.162). This suggests that the cross-linguistic difference does not survive the diminishing coarticulatory effects as the point of evaluation moves away from the boundary.</w:t>
      </w:r>
    </w:p>
    <w:p w14:paraId="1C565592" w14:textId="239A54C4" w:rsidR="003B4B6F" w:rsidRPr="0032528B" w:rsidRDefault="00EF3867" w:rsidP="00B462FB">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lang w:eastAsia="zh-TW"/>
        </w:rPr>
        <w:t xml:space="preserve">We note, however, that other measurement methods have also been used in previous studies to examine tonal coarticulation. Overall, there are three common ways of measuring tonal coarticulation. The first, and the most common, is to get the raw/mean F0 values at different temporal points at the contours. This is the measurement used in the current study, as well as Xu (1997), Chang and Hsieh (2012), Huang (2013), Jeng (2012), Lin (1989), Peng (1997), and Wang (2002). The second way is to prespecify the tonal environments (e.g., raising vs. lowering; Huang 2025 or compatible [larger F0 onset-offset change] vs. conflicting [smaller F0 onset-offset change]; Xu 1994), and measure the mean values or the slopes of the F0 contours. Lastly, a global way of measuring tonal coarticulation is to use curve trajectory methods such as generative additive mixed-effects models (Sun and Shih 2021; Burroni and Kirby 2025) or SS-ANOVA (Ren and Mok 2025) to visualize the whole F0 contours. As the last method is principally used as a complementary qualitative analysis, we did not adopt this method. Among the first two methods, we adopted the first one, as it is the most widely used measurement. In the literature, however, the studies that adopt the second method (i.e., Xu 1997; Huang 2025) rendered similar results as the ones that adopt the first method. It is therefore suggested that while the choice of different measurements could potentially lead to different results, the general trends likely still hold.</w:t>
      </w:r>
    </w:p>
    <w:p w14:paraId="26B84089" w14:textId="5CECC127" w:rsidR="003575D7" w:rsidRPr="0032528B" w:rsidRDefault="003575D7" w:rsidP="003575D7">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 summary of the results in this experiment is provided in Table 3. In the next section, we discuss these findings.</w:t>
      </w:r>
    </w:p>
    <w:p w14:paraId="30715A0E" w14:textId="7282E2A9" w:rsidR="00464354" w:rsidRPr="0032528B" w:rsidRDefault="00464354" w:rsidP="00A1648F">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Table 3. Summary of the tonal coarticulation results in Experiment 1.</w:t>
      </w:r>
    </w:p>
    <w:tbl>
      <w:tblPr>
        <w:tblStyle w:val="Grilledutableau"/>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68"/>
        <w:gridCol w:w="3261"/>
        <w:gridCol w:w="3821"/>
      </w:tblGrid>
      <w:tr w:rsidR="0006295E" w:rsidRPr="0032528B" w14:paraId="6398DCF8" w14:textId="77777777" w:rsidTr="00F70529">
        <w:tc>
          <w:tcPr>
            <w:tcW w:w="2268" w:type="dxa"/>
            <w:tcMar>
              <w:left w:w="0" w:type="dxa"/>
              <w:right w:w="0" w:type="dxa"/>
            </w:tcMar>
            <w:vAlign w:val="center"/>
          </w:tcPr>
          <w:p w14:paraId="26200704" w14:textId="537B5827"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Language group</w:t>
            </w:r>
          </w:p>
        </w:tc>
        <w:tc>
          <w:tcPr>
            <w:tcW w:w="3261" w:type="dxa"/>
            <w:tcMar>
              <w:left w:w="0" w:type="dxa"/>
              <w:right w:w="0" w:type="dxa"/>
            </w:tcMar>
            <w:vAlign w:val="center"/>
          </w:tcPr>
          <w:p w14:paraId="35B9EAF6" w14:textId="423587A2"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Directionality</w:t>
            </w:r>
          </w:p>
        </w:tc>
        <w:tc>
          <w:tcPr>
            <w:tcW w:w="3821" w:type="dxa"/>
            <w:tcMar>
              <w:left w:w="0" w:type="dxa"/>
              <w:right w:w="0" w:type="dxa"/>
            </w:tcMar>
            <w:vAlign w:val="center"/>
          </w:tcPr>
          <w:p w14:paraId="3877B649" w14:textId="5CF7F188"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Magnitude</w:t>
            </w:r>
          </w:p>
        </w:tc>
      </w:tr>
      <w:tr w:rsidR="0006295E" w:rsidRPr="0032528B" w14:paraId="5FAA0597" w14:textId="77777777" w:rsidTr="00F70529">
        <w:tc>
          <w:tcPr>
            <w:tcW w:w="2268" w:type="dxa"/>
            <w:tcMar>
              <w:left w:w="0" w:type="dxa"/>
              <w:right w:w="0" w:type="dxa"/>
            </w:tcMar>
            <w:vAlign w:val="center"/>
          </w:tcPr>
          <w:p w14:paraId="7A61F6BF" w14:textId="55E8E08F" w:rsidR="00464354" w:rsidRPr="0032528B" w:rsidRDefault="00B92A65"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TM (monolingual)</w:t>
            </w:r>
          </w:p>
        </w:tc>
        <w:tc>
          <w:tcPr>
            <w:tcW w:w="3261" w:type="dxa"/>
            <w:vMerge w:val="restart"/>
            <w:tcMar>
              <w:left w:w="0" w:type="dxa"/>
              <w:right w:w="0" w:type="dxa"/>
            </w:tcMar>
            <w:vAlign w:val="center"/>
          </w:tcPr>
          <w:p w14:paraId="1B4409BB" w14:textId="31CDCE14"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Assimilatory in both positions</w:t>
            </w:r>
          </w:p>
        </w:tc>
        <w:tc>
          <w:tcPr>
            <w:tcW w:w="3821" w:type="dxa"/>
            <w:tcMar>
              <w:left w:w="0" w:type="dxa"/>
              <w:right w:w="0" w:type="dxa"/>
            </w:tcMar>
            <w:vAlign w:val="center"/>
          </w:tcPr>
          <w:p w14:paraId="1C3606A7" w14:textId="60022D6D"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Carryover&gt;anticipatory</w:t>
            </w:r>
          </w:p>
        </w:tc>
      </w:tr>
      <w:tr w:rsidR="0006295E" w:rsidRPr="0032528B" w14:paraId="527C57EB" w14:textId="77777777" w:rsidTr="00F70529">
        <w:tc>
          <w:tcPr>
            <w:tcW w:w="2268" w:type="dxa"/>
            <w:tcMar>
              <w:left w:w="0" w:type="dxa"/>
              <w:right w:w="0" w:type="dxa"/>
            </w:tcMar>
            <w:vAlign w:val="center"/>
          </w:tcPr>
          <w:p w14:paraId="18A5524A" w14:textId="58B32511" w:rsidR="00464354" w:rsidRPr="0032528B" w:rsidRDefault="00B92A65"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TM (bilingual)</w:t>
            </w:r>
          </w:p>
        </w:tc>
        <w:tc>
          <w:tcPr>
            <w:tcW w:w="3261" w:type="dxa"/>
            <w:vMerge/>
            <w:tcMar>
              <w:left w:w="0" w:type="dxa"/>
              <w:right w:w="0" w:type="dxa"/>
            </w:tcMar>
            <w:vAlign w:val="center"/>
          </w:tcPr>
          <w:p w14:paraId="1952B1F5" w14:textId="77777777"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p>
        </w:tc>
        <w:tc>
          <w:tcPr>
            <w:tcW w:w="3821" w:type="dxa"/>
            <w:tcMar>
              <w:left w:w="0" w:type="dxa"/>
              <w:right w:w="0" w:type="dxa"/>
            </w:tcMar>
            <w:vAlign w:val="center"/>
          </w:tcPr>
          <w:p w14:paraId="1481CC03" w14:textId="6DEFC669"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Carryover</w:t>
            </w:r>
            <w:r>
              <w:rPr>
                <w:rFonts w:ascii="Cambria Math" w:eastAsia="STKaiti" w:hAnsi="Cambria Math" w:cs="Cambria Math"/>
                <w:color w:val="000000" w:themeColor="text1"/>
                <w:highlight w:val="yellow"/>
              </w:rPr>
              <w:t>≅</w:t>
            </w:r>
            <w:r>
              <w:rPr>
                <w:rFonts w:ascii="Times New Roman" w:eastAsia="STKaiti" w:hAnsi="Times New Roman" w:cs="Times New Roman"/>
                <w:color w:val="000000" w:themeColor="text1"/>
              </w:rPr>
              <w:t>anticipatory</w:t>
            </w:r>
          </w:p>
        </w:tc>
      </w:tr>
      <w:tr w:rsidR="0006295E" w:rsidRPr="0032528B" w14:paraId="0A3EC23E" w14:textId="77777777" w:rsidTr="00F70529">
        <w:tc>
          <w:tcPr>
            <w:tcW w:w="2268" w:type="dxa"/>
            <w:tcBorders>
              <w:bottom w:val="double" w:sz="4" w:space="0" w:color="auto"/>
            </w:tcBorders>
            <w:tcMar>
              <w:left w:w="0" w:type="dxa"/>
              <w:right w:w="0" w:type="dxa"/>
            </w:tcMar>
            <w:vAlign w:val="center"/>
          </w:tcPr>
          <w:p w14:paraId="0745C17E" w14:textId="6D718EC3" w:rsidR="00464354" w:rsidRPr="0032528B" w:rsidRDefault="00B92A65"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TSM (advanced)</w:t>
            </w:r>
          </w:p>
        </w:tc>
        <w:tc>
          <w:tcPr>
            <w:tcW w:w="3261" w:type="dxa"/>
            <w:vMerge/>
            <w:tcBorders>
              <w:bottom w:val="double" w:sz="4" w:space="0" w:color="auto"/>
            </w:tcBorders>
            <w:tcMar>
              <w:left w:w="0" w:type="dxa"/>
              <w:right w:w="0" w:type="dxa"/>
            </w:tcMar>
            <w:vAlign w:val="center"/>
          </w:tcPr>
          <w:p w14:paraId="1A1CC090" w14:textId="77777777"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p>
        </w:tc>
        <w:tc>
          <w:tcPr>
            <w:tcW w:w="3821" w:type="dxa"/>
            <w:tcBorders>
              <w:bottom w:val="double" w:sz="4" w:space="0" w:color="auto"/>
            </w:tcBorders>
            <w:tcMar>
              <w:left w:w="0" w:type="dxa"/>
              <w:right w:w="0" w:type="dxa"/>
            </w:tcMar>
            <w:vAlign w:val="center"/>
          </w:tcPr>
          <w:p w14:paraId="5C141A38" w14:textId="4447F0A5"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Carryover</w:t>
            </w:r>
            <w:r>
              <w:rPr>
                <w:rFonts w:ascii="Cambria Math" w:eastAsia="STKaiti" w:hAnsi="Cambria Math" w:cs="Cambria Math"/>
                <w:color w:val="000000" w:themeColor="text1"/>
              </w:rPr>
              <w:t>≅</w:t>
            </w:r>
            <w:r>
              <w:rPr>
                <w:rFonts w:ascii="Times New Roman" w:eastAsia="STKaiti" w:hAnsi="Times New Roman" w:cs="Times New Roman"/>
                <w:color w:val="000000" w:themeColor="text1"/>
              </w:rPr>
              <w:t>anticipatory</w:t>
            </w:r>
          </w:p>
        </w:tc>
      </w:tr>
      <w:tr w:rsidR="00464354" w:rsidRPr="0032528B" w14:paraId="4A7A908E" w14:textId="77777777" w:rsidTr="00F70529">
        <w:tc>
          <w:tcPr>
            <w:tcW w:w="9350" w:type="dxa"/>
            <w:gridSpan w:val="3"/>
            <w:tcBorders>
              <w:top w:val="double" w:sz="4" w:space="0" w:color="auto"/>
              <w:bottom w:val="double" w:sz="4" w:space="0" w:color="auto"/>
            </w:tcBorders>
            <w:tcMar>
              <w:left w:w="0" w:type="dxa"/>
              <w:right w:w="0" w:type="dxa"/>
            </w:tcMar>
            <w:vAlign w:val="center"/>
          </w:tcPr>
          <w:p w14:paraId="2B17C8AE" w14:textId="5E209084" w:rsidR="00464354" w:rsidRPr="0032528B" w:rsidRDefault="00464354" w:rsidP="00DB1E76">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Magnitude: TSM (advanced)&gt;TM (monolingual)</w:t>
            </w:r>
            <w:r>
              <w:rPr>
                <w:rFonts w:ascii="Cambria Math" w:eastAsia="STKaiti" w:hAnsi="Cambria Math" w:cs="Cambria Math"/>
                <w:color w:val="000000" w:themeColor="text1"/>
              </w:rPr>
              <w:t>≅</w:t>
            </w:r>
            <w:r>
              <w:rPr>
                <w:rFonts w:ascii="Times New Roman" w:eastAsia="STKaiti" w:hAnsi="Times New Roman" w:cs="Times New Roman"/>
                <w:color w:val="000000" w:themeColor="text1"/>
              </w:rPr>
              <w:t>TM (bilingual)</w:t>
            </w:r>
          </w:p>
        </w:tc>
      </w:tr>
    </w:tbl>
    <w:p w14:paraId="0D9F0554" w14:textId="77777777" w:rsidR="009A2AFC" w:rsidRPr="0032528B" w:rsidRDefault="009A2AFC" w:rsidP="00A1648F">
      <w:pPr>
        <w:pStyle w:val="JASABodyText"/>
        <w:ind w:firstLine="0"/>
        <w:rPr>
          <w:rFonts w:ascii="Times New Roman" w:eastAsia="STKaiti" w:hAnsi="Times New Roman" w:cs="Times New Roman"/>
          <w:color w:val="000000" w:themeColor="text1"/>
        </w:rPr>
      </w:pPr>
    </w:p>
    <w:p w14:paraId="7347965A" w14:textId="127EC68B" w:rsidR="007604F9"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2.3 Discussion</w:t>
      </w:r>
    </w:p>
    <w:p w14:paraId="5D29B69A" w14:textId="2324AC6E" w:rsidR="001B66C2" w:rsidRPr="0032528B" w:rsidRDefault="00FB6E0B" w:rsidP="001B66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One major finding of the first experiment was that TM and TSM demonstrated rather symmetric (in Chang and Hsieh’s terms) distributions of tonal coarticulation. Both the carryover and anticipatory effects were assimilatory in TM and TSM. The magnitudes of the two types of coarticulatory effects were also rather comparable in TSM. In addition, carryover effects were found to be stronger than anticipatory effects in both the monolingual and bilingual speakers’ TM.</w:t>
      </w:r>
    </w:p>
    <w:p w14:paraId="37792588" w14:textId="2254FFE1" w:rsidR="0058634B" w:rsidRPr="0032528B" w:rsidRDefault="0053501D" w:rsidP="000E7B41">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Our findings</w:t>
      </w:r>
      <w:r>
        <w:rPr>
          <w:rFonts w:ascii="Times New Roman" w:eastAsia="STKaiti" w:hAnsi="Times New Roman" w:cs="Times New Roman"/>
          <w:color w:val="000000" w:themeColor="text1"/>
          <w:lang w:eastAsia="zh-TW"/>
        </w:rPr>
        <w:t>, especially the directionality results,</w:t>
      </w:r>
      <w:r>
        <w:rPr>
          <w:rFonts w:ascii="Times New Roman" w:eastAsia="STKaiti" w:hAnsi="Times New Roman" w:cs="Times New Roman"/>
          <w:color w:val="000000" w:themeColor="text1"/>
        </w:rPr>
        <w:t xml:space="preserve"> are therefore largely in alignment with the conclusions of previous studies on TM and TSM. Be reminded that the putative typological distribution suggests that tonal coarticulation is asymmetric, with carryover effects being stronger and assimilatory, and anticipatory effects being weaker and dissimilatory. Our results </w:t>
      </w:r>
      <w:r>
        <w:rPr>
          <w:rFonts w:ascii="Times New Roman" w:eastAsia="STKaiti" w:hAnsi="Times New Roman" w:cs="Times New Roman"/>
          <w:color w:val="000000" w:themeColor="text1"/>
          <w:highlight w:val="yellow"/>
        </w:rPr>
        <w:t>instead</w:t>
      </w:r>
      <w:r>
        <w:rPr>
          <w:rFonts w:ascii="Times New Roman" w:eastAsia="STKaiti" w:hAnsi="Times New Roman" w:cs="Times New Roman"/>
          <w:color w:val="000000" w:themeColor="text1"/>
        </w:rPr>
        <w:t xml:space="preserve"> suggest that both TM and TSM serve as counterexamples to the putative typological distribution, exhibiting a generally more symmetric distribution of tonal coarticulation, despite stronger carryover effects in the monolingual and bilingual speakers’ TM. As mentioned in Section 1.1, Chang and Hsieh (2012) propose that the symmetric tonal coarticulation in Malaysian Southern Min could be due to the final prominence coming from Southern Min tone sandhi. As another variant of Southern Min, the symmetry attested in TSM may also be potentially due to such final prominence. On the flip side, the discrepancy between TM and BM may be the result of the long-term interaction between TM and TSM. It has been established that </w:t>
        <w:lastRenderedPageBreak/>
        <w:t xml:space="preserve">TM and TSM, as the two frequently used languages in Taiwan, have mutual influence on each other, attested in different linguistic levels, including both phonology and phonetics, among others (cf. Chuang and Fon 2010; Li 2010). Such mutual interaction may further influence the distribution of tonal coarticulation in TM. This, however, would require further investigation.</w:t>
      </w:r>
    </w:p>
    <w:p w14:paraId="19D857F0" w14:textId="5EAD6719" w:rsidR="007604F9" w:rsidRPr="0032528B" w:rsidRDefault="00FB6E0B" w:rsidP="001B66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It should also be noted that while the general distributions of tonal coarticulation in TM and TSM are symmetric, individual tone differences exist for anticipatory effects (cf. </w:t>
      </w:r>
      <w:r>
        <w:rPr>
          <w:rFonts w:ascii="Times New Roman" w:eastAsia="STKaiti" w:hAnsi="Times New Roman" w:cs="Times New Roman"/>
          <w:color w:val="000000" w:themeColor="text1"/>
          <w:lang w:eastAsia="zh-TW"/>
        </w:rPr>
        <w:t>Appendix A.5</w:t>
      </w:r>
      <w:r>
        <w:rPr>
          <w:rFonts w:ascii="Times New Roman" w:eastAsia="STKaiti" w:hAnsi="Times New Roman" w:cs="Times New Roman"/>
          <w:color w:val="000000" w:themeColor="text1"/>
        </w:rPr>
        <w:t xml:space="preserve">). Such a finding has also been found in previous studies of TM (Huang 2013; Jeng 2012) and TSM (Peng 1997). It is worth noticing that it was the high (55) tone and the rising (35) tone that were subject to weaker effects. In Xu (2001), the peaks of the rising tones and occasionally the high tones in Mandarin were found to be delayed to the following syllable, potentially due to biomechanical constraints of the vocal fold and laryngeal movements. In the anticipatory position, such peak delays might well contribute to the weaker assimilatory effects observed in the results, which may not be contributed by tonal coarticulation per se. Such an account, however, cannot explain why the high-level tone is less susceptible to coarticulation even in the carryover position, where it is the following tone, not the preceding tone. An overall observation of the individual tone differences seems to suggest a distinction between the general high tones (high-level and rising tones) vs. the non-high tones (falling and low tones). This high-offset vs. low-offset tone distinction aligns with the tone-specific distinction found in BM by Huang (2025). The effects, however, were the opposite. In BM, the high-offset tones are more subject to tonal coarticulation, while in the current study, they are less affected by the context tone values. This could well be due to the position of the target. In Huang (2025), the target is the second syllable in a tri-syllabic word, which is a prosodically weaker position (Hao et al. 2018).  </w:t>
        <w:lastRenderedPageBreak/>
        <w:t xml:space="preserve">Alternatively, this could also be a language-specific difference. Future studies may be required to see whether a typological distinction exists between these two general tone types.</w:t>
      </w:r>
    </w:p>
    <w:p w14:paraId="1A60CAF5" w14:textId="5A3407B4" w:rsidR="00FB6E0B" w:rsidRPr="0032528B" w:rsidRDefault="00FB6E0B"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Lastly, a finding more crucial to the tenet of this study is that tonal coarticulation in TSM was not found to be weaker than TM. In fact, in the present analysis, the magnitude of tonal coarticulation was stronger in TSM than in TM, </w:t>
      </w:r>
      <w:r>
        <w:rPr>
          <w:rFonts w:ascii="Times New Roman" w:eastAsia="STKaiti" w:hAnsi="Times New Roman" w:cs="Times New Roman"/>
          <w:color w:val="000000" w:themeColor="text1"/>
          <w:highlight w:val="yellow"/>
        </w:rPr>
        <w:t xml:space="preserve">though such a difference was not reliable when the effects were estimated further away from the boundary</w:t>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highlight w:val="yellow"/>
        </w:rPr>
        <w:t xml:space="preserve">This is, therefore</w:t>
      </w:r>
      <w:r>
        <w:rPr>
          <w:rFonts w:ascii="Times New Roman" w:eastAsia="STKaiti" w:hAnsi="Times New Roman" w:cs="Times New Roman"/>
          <w:color w:val="000000" w:themeColor="text1"/>
        </w:rPr>
        <w:t xml:space="preserve">, contrary to the prediction that a larger tone inventory would lead to more constrained coarticulation. Given that TSM had a larger tone inventory than TM, the odds of confusing one lexical tone with another could potentially be higher for TSM than for TM. The magnitudes of tonal coarticulation in TSM and TM are thus more compatible with the conception that tonal coarticulation is a universal constraint on the production level, which cannot be conditioned by phonological contrasts (This, however, requires further scrutiny, as will be discussed in Section 5.2). If tonal coarticulation is consistent for languages with different sizes of tone inventory, successful identification and accurate perception of coarticulated tones (i.e., the perceptual compensation for tonal coarticulation) is then predicted to be language-dependent under Hypothesis 2. While both languages may apply perceptual compensation, due to the aforementioned lower recoverability in TSM, the magnitude of perceptual compensation for tonal coarticulation is predicted to be lower in TSM than in TM. In contrast, TSM may have to resort to other mechanisms, such as maintaining stricter tone boundaries to filter out the coarticulated tones. The next two experiments will investigate how TM and TSM listeners perceive and identify coarticulated tones.</w:t>
      </w:r>
    </w:p>
    <w:p w14:paraId="73AEDBF3" w14:textId="0DEEDFF9" w:rsidR="006C5DBB" w:rsidRPr="0032528B" w:rsidRDefault="006C5DBB" w:rsidP="006C5DBB">
      <w:pPr>
        <w:pStyle w:val="JASABodyText"/>
        <w:ind w:firstLine="0"/>
        <w:rPr>
          <w:rFonts w:ascii="Times New Roman" w:eastAsia="STKaiti" w:hAnsi="Times New Roman" w:cs="Times New Roman"/>
          <w:b/>
          <w:bCs/>
          <w:color w:val="000000" w:themeColor="text1"/>
        </w:rPr>
      </w:pPr>
      <w:r>
        <w:rPr>
          <w:rFonts w:ascii="Times New Roman" w:eastAsia="STKaiti" w:hAnsi="Times New Roman" w:cs="Times New Roman"/>
          <w:b/>
          <w:bCs/>
          <w:color w:val="000000" w:themeColor="text1"/>
        </w:rPr>
        <w:t>3 Experiment 2: perceptual compensation for tonal coarticulation</w:t>
      </w:r>
    </w:p>
    <w:p w14:paraId="261256BC" w14:textId="1348783C"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As seen in Experiment 1, both TM and TSM show robust tonal coarticulation. This therefore disfavors our first hypothesis proposed in Section 1.4, that is, compared with TM, the larger and more complex tone inventory in TSM may lead to a weaker magnitude of tonal coarticulation in favor of phonological contrasts. Regardless, we are left with another possibility, that is, such a difference in tonal inventory may be reflected on the perceptual level. To address this issue, Experiments 2 and 3 seek to compare 1) the degree of perceptual compensation for tonal coarticulation and 2) the tone acceptance ranges in TM and TSM, respectively.</w:t>
      </w:r>
    </w:p>
    <w:p w14:paraId="28962BDC" w14:textId="24836282"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As proposed in Section 1.4, a larger and more complex tonal distribution and the subsequent larger number of potential candidates could urge TSM to avoid perceptual compensation, therefore leading to a smaller degree of perceptual compensation. In this experiment, we measure and compare the degrees of perceptual compensation for tonal coarticulation in the two languages.</w:t>
      </w:r>
    </w:p>
    <w:p w14:paraId="55D93D48" w14:textId="24EE89F8" w:rsidR="007604F9"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3.1 Methods</w:t>
      </w:r>
    </w:p>
    <w:p w14:paraId="5FB531A6" w14:textId="40DE61AA" w:rsidR="00E26015"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3.1.1 Participants</w:t>
      </w:r>
    </w:p>
    <w:p w14:paraId="56F94C22" w14:textId="08A6B501"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All 43 participants </w:t>
      </w:r>
      <w:r>
        <w:rPr>
          <w:rFonts w:ascii="Times New Roman" w:eastAsia="STKaiti" w:hAnsi="Times New Roman" w:cs="Times New Roman"/>
          <w:color w:val="000000" w:themeColor="text1"/>
          <w:lang w:eastAsia="zh-TW"/>
        </w:rPr>
        <w:t xml:space="preserve">in Section 2.1.1 </w:t>
      </w:r>
      <w:r>
        <w:rPr>
          <w:rFonts w:ascii="Times New Roman" w:eastAsia="STKaiti" w:hAnsi="Times New Roman" w:cs="Times New Roman"/>
          <w:color w:val="000000" w:themeColor="text1"/>
        </w:rPr>
        <w:t>participated in the perceptual compensation experiment. The monolingual TM speakers only participated in the TM version; the bilingual TSM speakers participated in both the TM version and the TSM version. For the monolingual speakers, Experiments 2 and 3</w:t>
      </w:r>
      <w:r>
        <w:rPr>
          <w:rStyle w:val="Appelnotedebasdep"/>
          <w:rFonts w:eastAsia="STKaiti" w:cs="Times New Roman"/>
          <w:color w:val="000000" w:themeColor="text1"/>
        </w:rPr>
        <w:footnoteReference w:id="20"/>
      </w:r>
      <w:r>
        <w:rPr>
          <w:rFonts w:ascii="Times New Roman" w:eastAsia="STKaiti" w:hAnsi="Times New Roman" w:cs="Times New Roman"/>
          <w:color w:val="000000" w:themeColor="text1"/>
        </w:rPr>
        <w:t xml:space="preserve"> were performed after Experiment 1. For the intermediate bilingual speakers, the TM versions of Experiments 2 and 3 were conducted first, then the TSM versions. </w:t>
        <w:lastRenderedPageBreak/>
        <w:t xml:space="preserve">For the advanced bilingual speakers, the TM versions of the three experiments were carried out first, followed by the TSM versions.</w:t>
      </w:r>
      <w:r>
        <w:rPr>
          <w:rStyle w:val="Appelnotedebasdep"/>
          <w:rFonts w:ascii="Times New Roman" w:eastAsia="STKaiti" w:hAnsi="Times New Roman" w:cs="Times New Roman"/>
          <w:color w:val="000000" w:themeColor="text1"/>
        </w:rPr>
        <w:footnoteReference w:id="21"/>
      </w:r>
      <w:r>
        <w:rPr>
          <w:rFonts w:ascii="Times New Roman" w:eastAsia="STKaiti" w:hAnsi="Times New Roman" w:cs="Times New Roman"/>
          <w:color w:val="000000" w:themeColor="text1"/>
        </w:rPr>
        <w:t xml:space="preserve"> Experiments 1 and 2 were done with a 10-minute break in between. Experiments 2 and 3 were done with a minimal 1-minute break in between.</w:t>
      </w:r>
    </w:p>
    <w:p w14:paraId="163B4141" w14:textId="6CF3465B" w:rsidR="00E26015"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3.1.2 Stimuli</w:t>
      </w:r>
    </w:p>
    <w:p w14:paraId="2D42C2E2" w14:textId="191872B0"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Three pairs of TM disyllabic words and four pairs of TSM disyllabic words</w:t>
      </w:r>
      <w:r>
        <w:rPr>
          <w:rStyle w:val="Appelnotedebasdep"/>
          <w:rFonts w:ascii="Times New Roman" w:eastAsia="STKaiti" w:hAnsi="Times New Roman" w:cs="Times New Roman"/>
          <w:color w:val="000000" w:themeColor="text1"/>
        </w:rPr>
        <w:footnoteReference w:id="22"/>
      </w:r>
      <w:r>
        <w:rPr>
          <w:rFonts w:ascii="Times New Roman" w:eastAsia="STKaiti" w:hAnsi="Times New Roman" w:cs="Times New Roman"/>
          <w:color w:val="000000" w:themeColor="text1"/>
        </w:rPr>
        <w:t xml:space="preserve"> were chosen as stimuli. These pairs were minimal pairs that only differed in the tones of the second syllables, and were completely identical on the segmental level. For each pair, the first syllables were consistent and served as the preceding contexts, and the second syllables were the targets, matched with either a low tone or a falling tone, following Zhang et al.’s (2022) design. In the TM version, T3 (21) was excluded due to tone sandhi,</w:t>
      </w:r>
      <w:r>
        <w:rPr>
          <w:rStyle w:val="Appelnotedebasdep"/>
          <w:rFonts w:ascii="Times New Roman" w:eastAsia="STKaiti" w:hAnsi="Times New Roman" w:cs="Times New Roman"/>
          <w:color w:val="000000" w:themeColor="text1"/>
        </w:rPr>
        <w:footnoteReference w:id="23"/>
      </w:r>
      <w:r>
        <w:rPr>
          <w:rFonts w:ascii="Times New Roman" w:eastAsia="STKaiti" w:hAnsi="Times New Roman" w:cs="Times New Roman"/>
          <w:color w:val="000000" w:themeColor="text1"/>
        </w:rPr>
        <w:t xml:space="preserve"> leaving only T1 (55), T2 (35), and T4 (51) as the preceding tones. In the TSM version, T2’ (35) was also excluded since not all dialects apply such a sandhi rule,</w:t>
      </w:r>
      <w:r>
        <w:rPr>
          <w:rStyle w:val="Appelnotedebasdep"/>
          <w:rFonts w:ascii="Times New Roman" w:eastAsia="STKaiti" w:hAnsi="Times New Roman" w:cs="Times New Roman"/>
          <w:color w:val="000000" w:themeColor="text1"/>
        </w:rPr>
        <w:footnoteReference w:id="24"/>
      </w:r>
      <w:r>
        <w:rPr>
          <w:rFonts w:ascii="Times New Roman" w:eastAsia="STKaiti" w:hAnsi="Times New Roman" w:cs="Times New Roman"/>
          <w:color w:val="000000" w:themeColor="text1"/>
        </w:rPr>
        <w:t xml:space="preserve"> leaving only T2’ (55), T5’ (33), and T3’ (51), T7’ (21) as the preceding tones. See Appendix B.1 for the full list of the words used.</w:t>
      </w:r>
    </w:p>
    <w:p w14:paraId="0F0B1A8C" w14:textId="5524A677"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These words were produced by one male TM native speaker (25 y.o.) and one male TSM native speaker (24 y.o.). Recording was conducted using the same apparatus as Experiment 1. Following Zhang et al. (2022), the recordings were synthesized into continua with the preceding context staying the same and the F0 values of the target ranging from a low contour to a falling contour, with 10 steps in between (see Figure 3).</w:t>
      </w:r>
    </w:p>
    <w:p w14:paraId="380630AC" w14:textId="74F3AFF6"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Disyllabic words were produced naturally by the model speakers and then excised into separate syllables using </w:t>
      </w:r>
      <w:r>
        <w:rPr>
          <w:rFonts w:ascii="Times New Roman" w:eastAsia="STKaiti" w:hAnsi="Times New Roman" w:cs="Times New Roman"/>
          <w:i/>
          <w:iCs/>
          <w:color w:val="000000" w:themeColor="text1"/>
        </w:rPr>
        <w:t>Praat</w:t>
      </w:r>
      <w:r>
        <w:rPr>
          <w:rFonts w:ascii="Times New Roman" w:eastAsia="STKaiti" w:hAnsi="Times New Roman" w:cs="Times New Roman"/>
          <w:color w:val="000000" w:themeColor="text1"/>
        </w:rPr>
        <w:t xml:space="preserve"> (Boersma and Weenink 2018). The F0 contours of the preceding contexts were synthesized with </w:t>
      </w:r>
      <w:r>
        <w:rPr>
          <w:rFonts w:ascii="Times New Roman" w:eastAsia="STKaiti" w:hAnsi="Times New Roman" w:cs="Times New Roman"/>
          <w:i/>
          <w:iCs/>
          <w:color w:val="000000" w:themeColor="text1"/>
        </w:rPr>
        <w:t>Praat</w:t>
      </w:r>
      <w:r>
        <w:rPr>
          <w:rFonts w:ascii="Times New Roman" w:eastAsia="STKaiti" w:hAnsi="Times New Roman" w:cs="Times New Roman"/>
          <w:color w:val="000000" w:themeColor="text1"/>
        </w:rPr>
        <w:t xml:space="preserve">, based on the calculated corresponding F0 values at the five-level tone scales, following Fon and Chiang’s (1999) equation in Eq. (1):</w:t>
      </w:r>
    </w:p>
    <w:p w14:paraId="6085F8B8" w14:textId="63E8806B" w:rsidR="00E26015" w:rsidRPr="0032528B" w:rsidRDefault="00A81AFE" w:rsidP="00EB73AF">
      <w:pPr>
        <w:pStyle w:val="JASABodyText"/>
        <w:ind w:right="120"/>
        <w:jc w:val="right"/>
        <w:rPr>
          <w:rFonts w:ascii="Times New Roman" w:eastAsia="STKaiti" w:hAnsi="Times New Roman" w:cs="Times New Roman"/>
          <w:color w:val="000000" w:themeColor="text1"/>
        </w:rPr>
      </w:pPr>
      <m:oMath>
        <m:r>
          <w:rPr>
            <w:rFonts w:ascii="Cambria Math" w:eastAsia="STKaiti" w:hAnsi="Cambria Math" w:cs="Times New Roman"/>
            <w:color w:val="000000" w:themeColor="text1"/>
          </w:rPr>
          <m:t>scale=</m:t>
        </m:r>
        <m:f>
          <m:fPr>
            <m:ctrlPr>
              <w:rPr>
                <w:rFonts w:ascii="Cambria Math" w:eastAsia="STKaiti" w:hAnsi="Cambria Math" w:cs="Times New Roman"/>
                <w:color w:val="000000" w:themeColor="text1"/>
              </w:rPr>
            </m:ctrlPr>
          </m:fPr>
          <m:num>
            <m:r>
              <w:rPr>
                <w:rFonts w:ascii="Cambria Math" w:eastAsia="STKaiti" w:hAnsi="Cambria Math" w:cs="Times New Roman"/>
                <w:color w:val="000000" w:themeColor="text1"/>
              </w:rPr>
              <m:t>1</m:t>
            </m:r>
          </m:num>
          <m:den>
            <m:r>
              <w:rPr>
                <w:rFonts w:ascii="Cambria Math" w:eastAsia="STKaiti" w:hAnsi="Cambria Math" w:cs="Times New Roman"/>
                <w:color w:val="000000" w:themeColor="text1"/>
              </w:rPr>
              <m:t>2</m:t>
            </m:r>
          </m:den>
        </m:f>
        <m:r>
          <w:rPr>
            <w:rFonts w:ascii="Cambria Math" w:eastAsia="STKaiti" w:hAnsi="Cambria Math" w:cs="Times New Roman"/>
            <w:color w:val="000000" w:themeColor="text1"/>
          </w:rPr>
          <m:t>(39.86×log</m:t>
        </m:r>
        <m:f>
          <m:fPr>
            <m:ctrlPr>
              <w:rPr>
                <w:rFonts w:ascii="Cambria Math" w:eastAsia="STKaiti" w:hAnsi="Cambria Math" w:cs="Times New Roman"/>
                <w:color w:val="000000" w:themeColor="text1"/>
              </w:rPr>
            </m:ctrlPr>
          </m:fPr>
          <m:num>
            <m:sSub>
              <m:sSubPr>
                <m:ctrlPr>
                  <w:rPr>
                    <w:rFonts w:ascii="Cambria Math" w:eastAsia="STKaiti" w:hAnsi="Cambria Math" w:cs="Times New Roman"/>
                    <w:color w:val="000000" w:themeColor="text1"/>
                  </w:rPr>
                </m:ctrlPr>
              </m:sSubPr>
              <m:e>
                <m:r>
                  <w:rPr>
                    <w:rFonts w:ascii="Cambria Math" w:eastAsia="STKaiti" w:hAnsi="Cambria Math" w:cs="Times New Roman"/>
                    <w:color w:val="000000" w:themeColor="text1"/>
                  </w:rPr>
                  <m:t>f</m:t>
                </m:r>
              </m:e>
              <m:sub>
                <m:r>
                  <w:rPr>
                    <w:rFonts w:ascii="Cambria Math" w:eastAsia="STKaiti" w:hAnsi="Cambria Math" w:cs="Times New Roman"/>
                    <w:color w:val="000000" w:themeColor="text1"/>
                  </w:rPr>
                  <m:t>i</m:t>
                </m:r>
              </m:sub>
            </m:sSub>
          </m:num>
          <m:den>
            <m:sSub>
              <m:sSubPr>
                <m:ctrlPr>
                  <w:rPr>
                    <w:rFonts w:ascii="Cambria Math" w:eastAsia="STKaiti" w:hAnsi="Cambria Math" w:cs="Times New Roman"/>
                    <w:color w:val="000000" w:themeColor="text1"/>
                  </w:rPr>
                </m:ctrlPr>
              </m:sSubPr>
              <m:e>
                <m:r>
                  <w:rPr>
                    <w:rFonts w:ascii="Cambria Math" w:eastAsia="STKaiti" w:hAnsi="Cambria Math" w:cs="Times New Roman"/>
                    <w:color w:val="000000" w:themeColor="text1"/>
                  </w:rPr>
                  <m:t>f</m:t>
                </m:r>
              </m:e>
              <m:sub>
                <m:r>
                  <w:rPr>
                    <w:rFonts w:ascii="Cambria Math" w:eastAsia="STKaiti" w:hAnsi="Cambria Math" w:cs="Times New Roman"/>
                    <w:color w:val="000000" w:themeColor="text1"/>
                  </w:rPr>
                  <m:t>min</m:t>
                </m:r>
              </m:sub>
            </m:sSub>
          </m:den>
        </m:f>
        <m:r>
          <w:rPr>
            <w:rFonts w:ascii="Cambria Math" w:eastAsia="STKaiti" w:hAnsi="Cambria Math" w:cs="Times New Roman"/>
            <w:color w:val="000000" w:themeColor="text1"/>
          </w:rPr>
          <m:t>)+1</m:t>
        </m:r>
      </m:oMath>
      <w:r>
        <w:rPr>
          <w:rFonts w:ascii="Times New Roman" w:eastAsia="STKaiti" w:hAnsi="Times New Roman" w:cs="Times New Roman"/>
          <w:color w:val="000000" w:themeColor="text1"/>
        </w:rPr>
        <w:tab/>
        <w:tab/>
        <w:tab/>
        <w:tab/>
        <w:t>(1)</w:t>
      </w:r>
    </w:p>
    <w:p w14:paraId="0EA39A91" w14:textId="325182AD"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this study, </w:t>
      </w:r>
      <w:r>
        <w:rPr>
          <w:rFonts w:ascii="Times New Roman" w:eastAsia="STKaiti" w:hAnsi="Times New Roman" w:cs="Times New Roman"/>
          <w:i/>
          <w:color w:val="000000" w:themeColor="text1"/>
        </w:rPr>
        <w:t>f</w:t>
      </w:r>
      <w:r>
        <w:rPr>
          <w:rFonts w:ascii="Times New Roman" w:eastAsia="STKaiti" w:hAnsi="Times New Roman" w:cs="Times New Roman"/>
          <w:i/>
          <w:color w:val="000000" w:themeColor="text1"/>
          <w:vertAlign w:val="subscript"/>
        </w:rPr>
        <w:t>min</w:t>
      </w:r>
      <w:r>
        <w:rPr>
          <w:rFonts w:ascii="Times New Roman" w:eastAsia="STKaiti" w:hAnsi="Times New Roman" w:cs="Times New Roman"/>
          <w:color w:val="000000" w:themeColor="text1"/>
        </w:rPr>
        <w:t xml:space="preserve"> was set at 100 Hz. This was approximately the lowest pitch of the two model speakers in their natural utterances. The converted F0 values from the scales one to five were 100, 112.25, 125.99, 141.43, and 158.75 Hz. The F0 contour for each preceding context was interpolated linearly from the corresponding starting frequency to the corresponding ending frequency. For example, a </w:t>
      </w:r>
      <w:r>
        <w:rPr>
          <w:rFonts w:ascii="Times New Roman" w:eastAsia="STKaiti" w:hAnsi="Times New Roman" w:cs="Times New Roman"/>
          <w:color w:val="000000" w:themeColor="text1"/>
          <w:lang w:eastAsia="zh-TW"/>
        </w:rPr>
        <w:t xml:space="preserve">rising </w:t>
      </w:r>
      <w:r>
        <w:rPr>
          <w:rFonts w:ascii="Times New Roman" w:eastAsia="STKaiti" w:hAnsi="Times New Roman" w:cs="Times New Roman"/>
          <w:color w:val="000000" w:themeColor="text1"/>
        </w:rPr>
        <w:t xml:space="preserve">(35) tone value on the five-level scale is translated into a contour starting at 125.99 Hz and ending at 158.75 Hz.</w:t>
      </w:r>
    </w:p>
    <w:p w14:paraId="356D597C" w14:textId="438D5443"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F0 contours of the targets were determined as follows. The starting F0 values of the targets were divided into 10 levels on the Bark scale, with a minimum of 0.9, a maximum of 1.9 on the Bark scale, and a step interval of 1/9. All the ending F0 values were set to be at the minimum (i.e., 0.9). As such, a continuum going from a low F0 contour to a falling F0 contour was created. The corresponding F0 values of these 10 levels in Hz were: 90.34, 101.59, 112.88, 124.2, 135.57, 146.99, 158.45, 169.97, 181.55, and 193.19, respectively.</w:t>
      </w:r>
    </w:p>
    <w:p w14:paraId="3F0EB55A" w14:textId="2E1F49A1"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Aside from F0 values, all other suprasegmental properties of the preceding contexts and targets were set to be identical. The average intensities were all scaled to be at 65 dB, and the duration of each syllable was set at 0.3 second by speeding up/down the audio, using </w:t>
      </w:r>
      <w:r>
        <w:rPr>
          <w:rFonts w:ascii="Times New Roman" w:eastAsia="STKaiti" w:hAnsi="Times New Roman" w:cs="Times New Roman"/>
          <w:i/>
          <w:color w:val="000000" w:themeColor="text1"/>
        </w:rPr>
        <w:t>FFmpeg</w:t>
      </w:r>
      <w:r>
        <w:rPr>
          <w:rFonts w:ascii="Times New Roman" w:eastAsia="STKaiti" w:hAnsi="Times New Roman" w:cs="Times New Roman"/>
          <w:color w:val="000000" w:themeColor="text1"/>
        </w:rPr>
        <w:t xml:space="preserve"> (Tomar 2006). The synthesized syllables were then concatenated back into a single audio file with Python’s </w:t>
      </w:r>
      <w:r>
        <w:rPr>
          <w:rFonts w:ascii="Times New Roman" w:eastAsia="STKaiti" w:hAnsi="Times New Roman" w:cs="Times New Roman"/>
          <w:i/>
          <w:color w:val="000000" w:themeColor="text1"/>
        </w:rPr>
        <w:t>wave</w:t>
      </w:r>
      <w:r>
        <w:rPr>
          <w:rFonts w:ascii="Times New Roman" w:eastAsia="STKaiti" w:hAnsi="Times New Roman" w:cs="Times New Roman"/>
          <w:color w:val="000000" w:themeColor="text1"/>
        </w:rPr>
        <w:t xml:space="preserve"> package.</w:t>
      </w:r>
    </w:p>
    <w:p w14:paraId="2DC540A4" w14:textId="7A13065B" w:rsidR="00E26015" w:rsidRPr="0032528B" w:rsidRDefault="00E260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Together, each preceding context and target pair was combined into a 0.6-second-long disyllabic stimulus. See Figure 3 for illustration. All stimuli have been checked auditorily by the first author to ensure the naturalness of the stimuli.</w:t>
      </w:r>
    </w:p>
    <w:p w14:paraId="2A7D69E8" w14:textId="1BB9829F" w:rsidR="00E26015" w:rsidRPr="0032528B" w:rsidRDefault="00F64953" w:rsidP="005732E2">
      <w:pPr>
        <w:pStyle w:val="JASABodyText"/>
        <w:ind w:firstLine="0"/>
        <w:jc w:val="center"/>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drawing>
          <wp:inline distT="0" distB="0" distL="0" distR="0" wp14:anchorId="36D4D758" wp14:editId="43C4B583">
            <wp:extent cx="4196219" cy="3712488"/>
            <wp:effectExtent l="0" t="0" r="0" b="0"/>
            <wp:docPr id="2076162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2792" name="Image 2076162792"/>
                    <pic:cNvPicPr/>
                  </pic:nvPicPr>
                  <pic:blipFill>
                    <a:blip r:embed="rId13"/>
                    <a:stretch>
                      <a:fillRect/>
                    </a:stretch>
                  </pic:blipFill>
                  <pic:spPr>
                    <a:xfrm>
                      <a:off x="0" y="0"/>
                      <a:ext cx="4219819" cy="3733368"/>
                    </a:xfrm>
                    <a:prstGeom prst="rect">
                      <a:avLst/>
                    </a:prstGeom>
                  </pic:spPr>
                </pic:pic>
              </a:graphicData>
            </a:graphic>
          </wp:inline>
        </w:drawing>
      </w:r>
    </w:p>
    <w:p w14:paraId="5239AD15" w14:textId="46E7DD2D" w:rsidR="0094539C" w:rsidRPr="0032528B" w:rsidRDefault="00153D93" w:rsidP="00BE6D25">
      <w:pPr>
        <w:pStyle w:val="JASAFigureCaptionsandEndnotes"/>
        <w:rPr>
          <w:rFonts w:ascii="Times New Roman" w:hAnsi="Times New Roman" w:cs="Times New Roman"/>
          <w:color w:val="000000" w:themeColor="text1"/>
        </w:rPr>
      </w:pPr>
      <w:r>
        <w:rPr>
          <w:rFonts w:ascii="Times New Roman" w:hAnsi="Times New Roman" w:cs="Times New Roman"/>
          <w:color w:val="000000" w:themeColor="text1"/>
        </w:rPr>
        <w:t xml:space="preserve">Figure 3. Illustrations of synthesized pitch contours (top: TM; bottom: TSM). The preceding contexts are presented on the left (blue: high-level [55]; green: falling [51]; orange: rising [35]; red: mid-level [33]; purple: low [21]). The targets of 10 levels are presented on the right; ranging from a low tone (green) to a falling tone (blue).</w:t>
      </w:r>
    </w:p>
    <w:p w14:paraId="2CC9EB68" w14:textId="45312D3A" w:rsidR="0094539C"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3.1.3 Procedure</w:t>
      </w:r>
    </w:p>
    <w:p w14:paraId="4BD4F552" w14:textId="7E2BD8A6" w:rsidR="0094539C" w:rsidRPr="0032528B" w:rsidRDefault="00FA2AC6"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 xml:space="preserve">In Experiments 2 and 3, PsychoPy (Peirce </w:t>
      </w:r>
      <w:r>
        <w:rPr>
          <w:rFonts w:ascii="Times New Roman" w:eastAsia="STKaiti" w:hAnsi="Times New Roman" w:cs="Times New Roman"/>
          <w:i/>
          <w:iCs/>
          <w:color w:val="000000" w:themeColor="text1"/>
          <w:highlight w:val="yellow"/>
        </w:rPr>
        <w:t>et al</w:t>
      </w:r>
      <w:r>
        <w:rPr>
          <w:rFonts w:ascii="Times New Roman" w:eastAsia="STKaiti" w:hAnsi="Times New Roman" w:cs="Times New Roman"/>
          <w:color w:val="000000" w:themeColor="text1"/>
          <w:highlight w:val="yellow"/>
        </w:rPr>
        <w:t xml:space="preserve">. 2019) was used to present the stimuli and record the participant’s responses.</w:t>
      </w:r>
      <w:r>
        <w:rPr>
          <w:rFonts w:ascii="Times New Roman" w:eastAsia="STKaiti" w:hAnsi="Times New Roman" w:cs="Times New Roman"/>
          <w:color w:val="000000" w:themeColor="text1"/>
        </w:rPr>
        <w:t xml:space="preserve"> In each trial, participants would first see a fixation cross, lasting for one second. Immediately after that, a picture of an ear and the auditory stimulus were presented simultaneously. After another inter-stimulus interval of 0.4 second, a target minimal </w:t>
        <w:lastRenderedPageBreak/>
        <w:t xml:space="preserve">pair would appear. Participants were instructed to identify the word they heard by clicking on it. The trial ended upon the click, immediately followed by the next trial. For the TM section of the experiment, the words were presented in traditional Chinese; for the TSM section, both the traditional Chinese characters and their romanizations were presented. Stimuli were pseudo-randomly shuffled so that no words in the same pair would appear in two consecutive trials.</w:t>
      </w:r>
    </w:p>
    <w:p w14:paraId="64BEDD95" w14:textId="481CD473" w:rsidR="0094539C" w:rsidRPr="0032528B" w:rsidRDefault="0094539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 the TSM version, to ensure participants were familiar with the stimuli, slides with the orthographies of the stimuli, illustrative pictures, and the associated word meanings were presented before the practice and formal trials. This familiarization phase took no more than 2 minutes for all participants. Experiment 2 took around 10 minutes for each participant.</w:t>
      </w:r>
    </w:p>
    <w:p w14:paraId="008B61FB" w14:textId="6992EF77" w:rsidR="0094539C"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3.1.4 Analyses</w:t>
      </w:r>
    </w:p>
    <w:p w14:paraId="2AB73E63" w14:textId="7440B9C3" w:rsidR="00305FC9" w:rsidRPr="0032528B" w:rsidRDefault="00305FC9"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To examine how the level of the second tone (ranging from the most low-tone-like to the most falling-tone-like), the preceding tone, and the language would jointly affect participants’ choice between falling tones and low tones, a mixed-effects logistic regression model was fitted using the </w:t>
      </w:r>
      <w:r>
        <w:rPr>
          <w:rFonts w:ascii="Times New Roman" w:eastAsia="STKaiti" w:hAnsi="Times New Roman" w:cs="Times New Roman"/>
          <w:i/>
          <w:iCs/>
          <w:color w:val="000000" w:themeColor="text1"/>
        </w:rPr>
        <w:t>lme4</w:t>
      </w:r>
      <w:r>
        <w:rPr>
          <w:rFonts w:ascii="Times New Roman" w:eastAsia="STKaiti" w:hAnsi="Times New Roman" w:cs="Times New Roman"/>
          <w:color w:val="000000" w:themeColor="text1"/>
        </w:rPr>
        <w:t xml:space="preserve"> package (Bates et al. 2015).</w:t>
      </w:r>
    </w:p>
    <w:p w14:paraId="206269F8" w14:textId="6FE5F4BF" w:rsidR="00162AF0" w:rsidRDefault="0094539C" w:rsidP="00162AF0">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responses were coded as 1 (falling tone response) and 0 (low tone response), and taken as the predicted variable. Three variables and their interactions with language (categorical; dummy coded, with separate contrasts for TM [monolingual] vs. TSM and TM [monolingual] vs. TM [bilingual]) were taken as the predictors. Firstly, the level of the second tone was treated as a continuous predictor </w:t>
      </w:r>
      <w:r>
        <w:rPr>
          <w:rFonts w:ascii="Times New Roman" w:eastAsia="STKaiti" w:hAnsi="Times New Roman" w:cs="Times New Roman"/>
          <w:color w:val="000000" w:themeColor="text1"/>
          <w:highlight w:val="yellow"/>
        </w:rPr>
        <w:t>(i.e., 1, 2, 3, 4, 5, 6, 7, 8, 9, 10)</w:t>
      </w:r>
      <w:r>
        <w:rPr>
          <w:rFonts w:ascii="Times New Roman" w:eastAsia="STKaiti" w:hAnsi="Times New Roman" w:cs="Times New Roman"/>
          <w:color w:val="000000" w:themeColor="text1"/>
        </w:rPr>
        <w:t xml:space="preserve">. Secondly, the preceding tones were first converted to five-level tone values (as the 21, 33, 35, 51, 55 tones), and the offsets of these values (i.e., 1, 3, 5, 1, 5) were treated as another continuous predictor in the model. We note that the relationship between a preceding tone and the perception of the following tone in perceptual compensation may not be simply modulated by the preceding tone offset values. Indeed, a </w:t>
        <w:lastRenderedPageBreak/>
        <w:t xml:space="preserve">previous study (Zhang </w:t>
      </w:r>
      <w:r>
        <w:rPr>
          <w:rFonts w:ascii="Times New Roman" w:eastAsia="STKaiti" w:hAnsi="Times New Roman" w:cs="Times New Roman"/>
          <w:iCs/>
          <w:color w:val="000000" w:themeColor="text1"/>
        </w:rPr>
        <w:t>et al.</w:t>
      </w:r>
      <w:r>
        <w:rPr>
          <w:rFonts w:ascii="Times New Roman" w:eastAsia="STKaiti" w:hAnsi="Times New Roman" w:cs="Times New Roman"/>
          <w:color w:val="000000" w:themeColor="text1"/>
        </w:rPr>
        <w:t xml:space="preserve"> 2022) reported that tones with the same offsets (e.g., Mandarin T1 [55] and T2 [35]) induced different degrees of perceptual compensation, with the T2 (35) tone inducing an even higher degree of compensation. Therefore, to account for this potential tone-specific difference (i.e., the categorical effects), the identities of the preceding tones (i.e., the low (21), mid-level (33), rising (35), falling (51), high-level (55) tones) </w:t>
      </w:r>
      <w:r>
        <w:rPr>
          <w:rFonts w:ascii="Times New Roman" w:eastAsia="STKaiti" w:hAnsi="Times New Roman" w:cs="Times New Roman"/>
          <w:i/>
          <w:iCs/>
          <w:color w:val="000000" w:themeColor="text1"/>
        </w:rPr>
        <w:t>per se</w:t>
      </w:r>
      <w:r>
        <w:rPr>
          <w:rFonts w:ascii="Times New Roman" w:eastAsia="STKaiti" w:hAnsi="Times New Roman" w:cs="Times New Roman"/>
          <w:color w:val="000000" w:themeColor="text1"/>
        </w:rPr>
        <w:t xml:space="preserve"> were included as the third predictor (categorical; sum-coded with the high-level (55) tone represented as the negative sum of the other levels).</w:t>
      </w:r>
      <w:r>
        <w:rPr>
          <w:rStyle w:val="Appelnotedebasdep"/>
          <w:rFonts w:eastAsia="STKaiti" w:cs="Times New Roman"/>
          <w:color w:val="000000" w:themeColor="text1"/>
        </w:rPr>
        <w:footnoteReference w:id="25"/>
      </w:r>
      <w:r>
        <w:rPr>
          <w:rFonts w:ascii="Times New Roman" w:eastAsia="STKaiti" w:hAnsi="Times New Roman" w:cs="Times New Roman"/>
          <w:color w:val="000000" w:themeColor="text1"/>
        </w:rPr>
        <w:t xml:space="preserve"> As such, the magnitude of perceptual compensation was measured as the low-falling tone distinction as a function of the preceding tone offset, while also accounting for the potential tone-specific differences. </w:t>
      </w:r>
      <w:r>
        <w:rPr>
          <w:rFonts w:ascii="Times New Roman" w:eastAsia="STKaiti" w:hAnsi="Times New Roman" w:cs="Times New Roman"/>
          <w:color w:val="000000" w:themeColor="text1"/>
          <w:highlight w:val="yellow"/>
        </w:rPr>
        <w:t>Since in the model, only two tones (falling and high-level) were shared among the two languages, including all tones in the model would lead to certain terms being dropped (see footnote 26). To examine a more concise model where no terms were dropped, we also fitted another model where only the falling and high-level tones were examined. These are called the comprehensive model and the concise model.</w:t>
      </w:r>
      <w:r>
        <w:rPr>
          <w:rStyle w:val="Appelnotedebasdep"/>
          <w:rFonts w:eastAsia="STKaiti" w:cs="Times New Roman"/>
          <w:color w:val="000000" w:themeColor="text1"/>
          <w:highlight w:val="yellow"/>
        </w:rPr>
        <w:footnoteReference w:id="26"/>
      </w:r>
    </w:p>
    <w:p w14:paraId="296639E8" w14:textId="0825324D" w:rsidR="0023043E" w:rsidRPr="0032528B" w:rsidRDefault="0023043E" w:rsidP="0023043E">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entire fixed effects included these terms </w:t>
      </w:r>
      <w:r>
        <w:rPr>
          <w:rFonts w:ascii="Times New Roman" w:eastAsia="STKaiti" w:hAnsi="Times New Roman" w:cs="Times New Roman"/>
          <w:color w:val="000000" w:themeColor="text1"/>
          <w:highlight w:val="yellow"/>
        </w:rPr>
        <w:t>(with level and preceding tone offset centered)</w:t>
      </w:r>
      <w:r>
        <w:rPr>
          <w:rFonts w:ascii="Times New Roman" w:eastAsia="STKaiti" w:hAnsi="Times New Roman" w:cs="Times New Roman"/>
          <w:color w:val="000000" w:themeColor="text1"/>
        </w:rPr>
        <w:t xml:space="preserve">, their interactions with language, and the main effects of languages. Participant was considered as the grouping factor for the random intercepts.</w:t>
      </w:r>
    </w:p>
    <w:p w14:paraId="527CAFB2" w14:textId="2A069F2C" w:rsidR="0023043E" w:rsidRPr="0032528B" w:rsidRDefault="0023043E" w:rsidP="00AF00D7">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Lastly, to account for the frequency effects of the stimuli, the frequencies of the TM and TSM stimuli were extracted from the Academia Senica Balanced Corpus (Huang and Chen 1992) and the TAT MOE Corpus (Liao 2022). The frequency ratios</w:t>
      </w:r>
      <w:r>
        <w:rPr>
          <w:rStyle w:val="Appelnotedebasdep"/>
          <w:rFonts w:eastAsia="STKaiti" w:cs="Times New Roman"/>
          <w:color w:val="000000" w:themeColor="text1"/>
        </w:rPr>
        <w:footnoteReference w:id="27"/>
      </w:r>
      <w:r>
        <w:rPr>
          <w:rFonts w:ascii="Times New Roman" w:eastAsia="STKaiti" w:hAnsi="Times New Roman" w:cs="Times New Roman"/>
          <w:color w:val="000000" w:themeColor="text1"/>
        </w:rPr>
        <w:t xml:space="preserve"> between the preceding tone+falling (51) tone vs. preceding tone+low (21) tone minimal pairs (i.e., frequency of the </w:t>
        <w:lastRenderedPageBreak/>
        <w:t xml:space="preserve">preceding tone+falling tone word/frequency of the preceding tone+low tone word) were then log-transformed and standardized. A higher ratio indicates a relatively higher frequency of the falling tone stimulus compared to its low tone counterpart in the minimal pair. However, since for each stimulus in each language, the frequency count was unique, a direct inclusion of the frequency ratios in the regression model would induce ranking deficiency. To resolve this, we calculated the Pearson’s correlations of the frequency ratio with both the falling tone response (the predicted variable) and the preceding tone offset (the main predictor). The correlations of the frequency ratio with both variables were fairly low and negligible (the falling tone response: </w:t>
      </w:r>
      <w:r>
        <w:rPr>
          <w:rFonts w:ascii="Times New Roman" w:eastAsia="STKaiti" w:hAnsi="Times New Roman" w:cs="Times New Roman"/>
          <w:i/>
          <w:color w:val="000000" w:themeColor="text1"/>
        </w:rPr>
        <w:t>r=</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036; the preceding tone offsets: </w:t>
      </w:r>
      <w:r>
        <w:rPr>
          <w:rFonts w:ascii="Times New Roman" w:eastAsia="STKaiti" w:hAnsi="Times New Roman" w:cs="Times New Roman"/>
          <w:i/>
          <w:color w:val="000000" w:themeColor="text1"/>
        </w:rPr>
        <w:t>r=</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125). This suggests that the frequency ratio likely did not have much effect on the attested trends. Post-hoc regression analyses were also conducted to check the potential explained variance between the residuals of the fitted model and the frequency ratio. The effects of the frequency ratio were confirmed to be non-significant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=0.004; </w:t>
      </w: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521).</w:t>
      </w:r>
    </w:p>
    <w:p w14:paraId="5970FE70" w14:textId="11D4245B" w:rsidR="0094539C" w:rsidRPr="0032528B" w:rsidRDefault="0023043E"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this study, the influence of the preceding tone offset on the falling tone choice would be treated as an indicator of the magnitudes of perceptual compensation for tonal coarticulation (i.e., how much perceptual compensation is induced in response to tonal coarticulation). If a language has strong perceptual compensation for tonal coarticulation, the participants’ perception of the same target tone would be subject to the pitch height of the preceding tone offset, therefore rendering a lower (preceded by a higher pitch offset) or higher (preceded by a lower pitch offset) possibility of the falling tone response.</w:t>
      </w:r>
    </w:p>
    <w:p w14:paraId="50737250" w14:textId="77777777" w:rsidR="00C348F1" w:rsidRPr="0032528B" w:rsidRDefault="00C348F1" w:rsidP="003D64B7">
      <w:pPr>
        <w:pStyle w:val="JASABodyText"/>
        <w:ind w:firstLine="0"/>
        <w:rPr>
          <w:rFonts w:ascii="Times New Roman" w:eastAsia="STKaiti" w:hAnsi="Times New Roman" w:cs="Times New Roman"/>
          <w:color w:val="000000" w:themeColor="text1"/>
        </w:rPr>
      </w:pPr>
    </w:p>
    <w:p w14:paraId="199218DE" w14:textId="12837806" w:rsidR="000117C4" w:rsidRPr="0032528B" w:rsidRDefault="006C5DBB" w:rsidP="003D64B7">
      <w:pPr>
        <w:pStyle w:val="JASAsecond-levelheading"/>
      </w:pPr>
      <w:r>
        <w:rPr>
          <w:rFonts w:ascii="Times New Roman" w:eastAsia="STKaiti" w:hAnsi="Times New Roman" w:cs="Times New Roman"/>
        </w:rPr>
        <w:lastRenderedPageBreak/>
        <w:t xml:space="preserve">3.2 Results</w:t>
      </w:r>
    </w:p>
    <w:p w14:paraId="45307315" w14:textId="5B1532CD" w:rsidR="00521093" w:rsidRPr="0032528B" w:rsidRDefault="00E4188D" w:rsidP="00E4188D">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 visualization of the </w:t>
      </w:r>
      <w:r>
        <w:rPr>
          <w:rFonts w:ascii="Times New Roman" w:eastAsia="STKaiti" w:hAnsi="Times New Roman" w:cs="Times New Roman"/>
          <w:color w:val="000000" w:themeColor="text1"/>
          <w:highlight w:val="yellow"/>
        </w:rPr>
        <w:t>falling tone response across levels and following different preceding tones</w:t>
      </w:r>
      <w:r>
        <w:rPr>
          <w:rFonts w:ascii="Times New Roman" w:eastAsia="STKaiti" w:hAnsi="Times New Roman" w:cs="Times New Roman"/>
          <w:color w:val="000000" w:themeColor="text1"/>
        </w:rPr>
        <w:t xml:space="preserve"> is shown in Figure 4. As expected, the participants were more likely to give a falling tone response as the level of the tone onset increased. Specifically, the preceding tone before the target seemed to affect the rates of the target being taken as a falling tone vs. a low tone. </w:t>
      </w:r>
    </w:p>
    <w:p w14:paraId="5F8AF8EE" w14:textId="77777777" w:rsidR="00153926" w:rsidRPr="0032528B" w:rsidRDefault="00153926" w:rsidP="00153926">
      <w:pPr>
        <w:jc w:val="center"/>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drawing>
          <wp:inline distT="0" distB="0" distL="0" distR="0" wp14:anchorId="0020E8C1" wp14:editId="098DF049">
            <wp:extent cx="2661120" cy="2217600"/>
            <wp:effectExtent l="0" t="0" r="6350" b="5080"/>
            <wp:docPr id="883028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28625" name="Image 1"/>
                    <pic:cNvPicPr/>
                  </pic:nvPicPr>
                  <pic:blipFill>
                    <a:blip r:embed="rId14"/>
                    <a:stretch>
                      <a:fillRect/>
                    </a:stretch>
                  </pic:blipFill>
                  <pic:spPr>
                    <a:xfrm>
                      <a:off x="0" y="0"/>
                      <a:ext cx="2661120" cy="2217600"/>
                    </a:xfrm>
                    <a:prstGeom prst="rect">
                      <a:avLst/>
                    </a:prstGeom>
                  </pic:spPr>
                </pic:pic>
              </a:graphicData>
            </a:graphic>
          </wp:inline>
        </w:drawing>
        <w:drawing>
          <wp:inline distT="0" distB="0" distL="0" distR="0" wp14:anchorId="2547CE87" wp14:editId="4ECAE720">
            <wp:extent cx="2661120" cy="2217600"/>
            <wp:effectExtent l="0" t="0" r="6350" b="5080"/>
            <wp:docPr id="20052445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4581" name="Image 2"/>
                    <pic:cNvPicPr/>
                  </pic:nvPicPr>
                  <pic:blipFill>
                    <a:blip r:embed="rId15"/>
                    <a:stretch>
                      <a:fillRect/>
                    </a:stretch>
                  </pic:blipFill>
                  <pic:spPr>
                    <a:xfrm>
                      <a:off x="0" y="0"/>
                      <a:ext cx="2661120" cy="2217600"/>
                    </a:xfrm>
                    <a:prstGeom prst="rect">
                      <a:avLst/>
                    </a:prstGeom>
                  </pic:spPr>
                </pic:pic>
              </a:graphicData>
            </a:graphic>
          </wp:inline>
        </w:drawing>
      </w:r>
    </w:p>
    <w:p w14:paraId="717C9A20" w14:textId="77777777" w:rsidR="00153926" w:rsidRPr="0032528B" w:rsidRDefault="00153926" w:rsidP="00153926">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(a)</w:t>
        <w:tab/>
        <w:tab/>
        <w:tab/>
        <w:tab/>
        <w:tab/>
        <w:tab/>
        <w:t xml:space="preserve">       (b)</w:t>
      </w:r>
    </w:p>
    <w:p w14:paraId="5431AB65" w14:textId="77777777" w:rsidR="00153926" w:rsidRPr="0032528B" w:rsidRDefault="00153926" w:rsidP="00153926">
      <w:pPr>
        <w:jc w:val="center"/>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drawing>
          <wp:inline distT="0" distB="0" distL="0" distR="0" wp14:anchorId="59119C44" wp14:editId="13A4B293">
            <wp:extent cx="2661120" cy="2217600"/>
            <wp:effectExtent l="0" t="0" r="6350" b="5080"/>
            <wp:docPr id="5772380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38025" name="Image 3"/>
                    <pic:cNvPicPr/>
                  </pic:nvPicPr>
                  <pic:blipFill>
                    <a:blip r:embed="rId16"/>
                    <a:stretch>
                      <a:fillRect/>
                    </a:stretch>
                  </pic:blipFill>
                  <pic:spPr>
                    <a:xfrm>
                      <a:off x="0" y="0"/>
                      <a:ext cx="2661120" cy="2217600"/>
                    </a:xfrm>
                    <a:prstGeom prst="rect">
                      <a:avLst/>
                    </a:prstGeom>
                  </pic:spPr>
                </pic:pic>
              </a:graphicData>
            </a:graphic>
          </wp:inline>
        </w:drawing>
      </w:r>
    </w:p>
    <w:p w14:paraId="10891F94" w14:textId="77777777" w:rsidR="00153926" w:rsidRPr="0032528B" w:rsidRDefault="00153926" w:rsidP="00153926">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(c)</w:t>
      </w:r>
    </w:p>
    <w:p w14:paraId="778D3B17" w14:textId="62CBB5F9" w:rsidR="00153926" w:rsidRPr="0032528B" w:rsidRDefault="00153926" w:rsidP="00153926">
      <w:pPr>
        <w:pStyle w:val="JASAFigureCaptionsandEndnotes"/>
        <w:rPr>
          <w:rFonts w:ascii="Times New Roman" w:hAnsi="Times New Roman" w:cs="Times New Roman"/>
          <w:color w:val="000000" w:themeColor="text1"/>
        </w:rPr>
      </w:pPr>
      <w:r>
        <w:rPr>
          <w:rFonts w:ascii="Times New Roman" w:hAnsi="Times New Roman" w:cs="Times New Roman"/>
          <w:color w:val="000000" w:themeColor="text1"/>
        </w:rPr>
        <w:t xml:space="preserve">Figure 4. Logistic regression fits</w:t>
      </w:r>
      <w:r>
        <w:rPr>
          <w:rStyle w:val="Appelnotedebasdep"/>
          <w:rFonts w:cs="Times New Roman"/>
          <w:color w:val="000000" w:themeColor="text1"/>
        </w:rPr>
        <w:footnoteReference w:id="28"/>
      </w:r>
      <w:r>
        <w:rPr>
          <w:rFonts w:ascii="Times New Roman" w:hAnsi="Times New Roman" w:cs="Times New Roman"/>
          <w:color w:val="000000" w:themeColor="text1"/>
        </w:rPr>
        <w:t xml:space="preserve"> of falling tone response across different preceding tones (a: TM [monolingual]; b: TM [bilingual]; c: TSM). Dashed lines indicate confidence intervals.</w:t>
      </w:r>
    </w:p>
    <w:p w14:paraId="77F00589" w14:textId="511B65B2" w:rsidR="0098450A" w:rsidRPr="0032528B" w:rsidRDefault="0098450A" w:rsidP="0098450A">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The logistic regression results </w:t>
      </w:r>
      <w:r>
        <w:rPr>
          <w:rFonts w:ascii="Times New Roman" w:eastAsia="STKaiti" w:hAnsi="Times New Roman" w:cs="Times New Roman"/>
          <w:color w:val="000000" w:themeColor="text1"/>
          <w:highlight w:val="yellow"/>
        </w:rPr>
        <w:t xml:space="preserve">from the concise and comprehensive models</w:t>
      </w:r>
      <w:r>
        <w:rPr>
          <w:rFonts w:ascii="Times New Roman" w:eastAsia="STKaiti" w:hAnsi="Times New Roman" w:cs="Times New Roman"/>
          <w:color w:val="000000" w:themeColor="text1"/>
        </w:rPr>
        <w:t xml:space="preserve"> are shown below in </w:t>
      </w:r>
      <w:r>
        <w:rPr>
          <w:rFonts w:ascii="Times New Roman" w:eastAsia="STKaiti" w:hAnsi="Times New Roman" w:cs="Times New Roman"/>
          <w:color w:val="000000" w:themeColor="text1"/>
          <w:highlight w:val="yellow"/>
        </w:rPr>
        <w:t xml:space="preserve">Tables </w:t>
      </w:r>
      <w:r>
        <w:rPr>
          <w:rFonts w:ascii="Times New Roman" w:eastAsia="STKaiti" w:hAnsi="Times New Roman" w:cs="Times New Roman"/>
          <w:color w:val="000000" w:themeColor="text1"/>
          <w:highlight w:val="yellow"/>
          <w:lang w:eastAsia="zh-TW"/>
        </w:rPr>
        <w:t xml:space="preserve">4 and 5</w:t>
      </w:r>
      <w:r>
        <w:rPr>
          <w:rFonts w:ascii="Times New Roman" w:eastAsia="STKaiti" w:hAnsi="Times New Roman" w:cs="Times New Roman"/>
          <w:color w:val="000000" w:themeColor="text1"/>
        </w:rPr>
        <w:t>.</w:t>
      </w:r>
    </w:p>
    <w:p w14:paraId="4D674BFB" w14:textId="1714FB4C" w:rsidR="00162AF0" w:rsidRPr="0032528B" w:rsidRDefault="00162AF0" w:rsidP="00162AF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Table 4. Regression table of the logistic mixed-effects model.</w:t>
      </w:r>
    </w:p>
    <w:tbl>
      <w:tblPr>
        <w:tblW w:w="9141" w:type="dxa"/>
        <w:tblCellMar>
          <w:bottom w:w="177" w:type="dxa"/>
          <w:right w:w="50" w:type="dxa"/>
        </w:tblCellMar>
        <w:tblLook w:val="04A0" w:firstRow="1" w:lastRow="0" w:firstColumn="1" w:lastColumn="0" w:noHBand="0" w:noVBand="1"/>
      </w:tblPr>
      <w:tblGrid>
        <w:gridCol w:w="5387"/>
        <w:gridCol w:w="1559"/>
        <w:gridCol w:w="851"/>
        <w:gridCol w:w="850"/>
        <w:gridCol w:w="458"/>
        <w:gridCol w:w="36"/>
      </w:tblGrid>
      <w:tr w:rsidR="00162AF0" w:rsidRPr="00EB73AF" w14:paraId="672167DD" w14:textId="77777777" w:rsidTr="009508DA">
        <w:trPr>
          <w:gridAfter w:val="1"/>
          <w:wAfter w:w="36" w:type="dxa"/>
          <w:trHeight w:val="230"/>
        </w:trPr>
        <w:tc>
          <w:tcPr>
            <w:tcW w:w="5387" w:type="dxa"/>
            <w:tcBorders>
              <w:top w:val="double" w:sz="4" w:space="0" w:color="000000"/>
              <w:left w:val="nil"/>
              <w:bottom w:val="nil"/>
              <w:right w:val="nil"/>
            </w:tcBorders>
            <w:tcMar>
              <w:left w:w="0" w:type="dxa"/>
              <w:bottom w:w="0" w:type="dxa"/>
              <w:right w:w="0" w:type="dxa"/>
            </w:tcMar>
            <w:vAlign w:val="center"/>
          </w:tcPr>
          <w:p w14:paraId="0EDAACE2" w14:textId="77777777" w:rsidR="00162AF0" w:rsidRPr="00EB73AF" w:rsidRDefault="00162AF0"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Effect</w:t>
            </w:r>
          </w:p>
        </w:tc>
        <w:tc>
          <w:tcPr>
            <w:tcW w:w="1559" w:type="dxa"/>
            <w:tcBorders>
              <w:top w:val="double" w:sz="4" w:space="0" w:color="000000"/>
              <w:left w:val="nil"/>
              <w:bottom w:val="nil"/>
              <w:right w:val="nil"/>
            </w:tcBorders>
            <w:tcMar>
              <w:left w:w="0" w:type="dxa"/>
              <w:bottom w:w="0" w:type="dxa"/>
              <w:right w:w="0" w:type="dxa"/>
            </w:tcMar>
            <w:vAlign w:val="center"/>
          </w:tcPr>
          <w:p w14:paraId="762725A0" w14:textId="77777777" w:rsidR="00162AF0" w:rsidRPr="00EB73AF" w:rsidRDefault="00162AF0"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Est. (±SE)</w:t>
            </w:r>
          </w:p>
        </w:tc>
        <w:tc>
          <w:tcPr>
            <w:tcW w:w="851" w:type="dxa"/>
            <w:tcBorders>
              <w:top w:val="double" w:sz="4" w:space="0" w:color="000000"/>
              <w:left w:val="nil"/>
              <w:bottom w:val="nil"/>
              <w:right w:val="nil"/>
            </w:tcBorders>
            <w:tcMar>
              <w:left w:w="0" w:type="dxa"/>
              <w:bottom w:w="0" w:type="dxa"/>
              <w:right w:w="0" w:type="dxa"/>
            </w:tcMar>
            <w:vAlign w:val="center"/>
          </w:tcPr>
          <w:p w14:paraId="56DB6EEC" w14:textId="77777777" w:rsidR="00162AF0" w:rsidRPr="00EB73AF" w:rsidRDefault="00162AF0"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i/>
                <w:iCs/>
                <w:color w:val="000000" w:themeColor="text1"/>
                <w:highlight w:val="yellow"/>
              </w:rPr>
              <w:t>z</w:t>
            </w:r>
            <w:r>
              <w:rPr>
                <w:rFonts w:ascii="Times New Roman" w:eastAsia="STKaiti" w:hAnsi="Times New Roman" w:cs="Times New Roman"/>
                <w:color w:val="000000" w:themeColor="text1"/>
                <w:highlight w:val="yellow"/>
              </w:rPr>
              <w:t>-value</w:t>
            </w:r>
          </w:p>
        </w:tc>
        <w:tc>
          <w:tcPr>
            <w:tcW w:w="850" w:type="dxa"/>
            <w:tcBorders>
              <w:top w:val="double" w:sz="4" w:space="0" w:color="000000"/>
              <w:left w:val="nil"/>
              <w:bottom w:val="nil"/>
              <w:right w:val="nil"/>
            </w:tcBorders>
            <w:tcMar>
              <w:left w:w="0" w:type="dxa"/>
              <w:bottom w:w="0" w:type="dxa"/>
              <w:right w:w="0" w:type="dxa"/>
            </w:tcMar>
            <w:vAlign w:val="center"/>
          </w:tcPr>
          <w:p w14:paraId="3B3B410E" w14:textId="77777777" w:rsidR="00162AF0" w:rsidRPr="00EB73AF" w:rsidRDefault="00162AF0" w:rsidP="009508DA">
            <w:pPr>
              <w:pStyle w:val="JASABodyText"/>
              <w:spacing w:line="240" w:lineRule="auto"/>
              <w:ind w:firstLine="0"/>
              <w:jc w:val="right"/>
              <w:rPr>
                <w:rFonts w:ascii="Times New Roman" w:eastAsia="STKaiti" w:hAnsi="Times New Roman" w:cs="Times New Roman"/>
                <w:iCs/>
                <w:color w:val="000000" w:themeColor="text1"/>
                <w:highlight w:val="yellow"/>
              </w:rPr>
            </w:pPr>
            <w:r>
              <w:rPr>
                <w:rFonts w:ascii="Times New Roman" w:eastAsia="STKaiti" w:hAnsi="Times New Roman" w:cs="Times New Roman"/>
                <w:i/>
                <w:color w:val="000000" w:themeColor="text1"/>
                <w:highlight w:val="yellow"/>
              </w:rPr>
              <w:t>p</w:t>
            </w:r>
            <w:r>
              <w:rPr>
                <w:rFonts w:ascii="Times New Roman" w:eastAsia="STKaiti" w:hAnsi="Times New Roman" w:cs="Times New Roman"/>
                <w:iCs/>
                <w:color w:val="000000" w:themeColor="text1"/>
                <w:highlight w:val="yellow"/>
              </w:rPr>
              <w:t>-value</w:t>
            </w:r>
          </w:p>
        </w:tc>
        <w:tc>
          <w:tcPr>
            <w:tcW w:w="458" w:type="dxa"/>
            <w:tcBorders>
              <w:top w:val="double" w:sz="4" w:space="0" w:color="000000"/>
              <w:left w:val="nil"/>
              <w:bottom w:val="nil"/>
              <w:right w:val="nil"/>
            </w:tcBorders>
            <w:tcMar>
              <w:left w:w="0" w:type="dxa"/>
              <w:bottom w:w="0" w:type="dxa"/>
              <w:right w:w="0" w:type="dxa"/>
            </w:tcMar>
            <w:vAlign w:val="center"/>
          </w:tcPr>
          <w:p w14:paraId="6B3B9072" w14:textId="77777777" w:rsidR="00162AF0" w:rsidRPr="00EB73AF" w:rsidRDefault="00162AF0" w:rsidP="009508DA">
            <w:pPr>
              <w:pStyle w:val="JASABodyText"/>
              <w:spacing w:line="240" w:lineRule="auto"/>
              <w:ind w:firstLine="0"/>
              <w:rPr>
                <w:rFonts w:ascii="Times New Roman" w:eastAsia="STKaiti" w:hAnsi="Times New Roman" w:cs="Times New Roman"/>
                <w:iCs/>
                <w:color w:val="000000" w:themeColor="text1"/>
                <w:highlight w:val="yellow"/>
              </w:rPr>
            </w:pPr>
          </w:p>
        </w:tc>
      </w:tr>
      <w:tr w:rsidR="004A2C6B" w:rsidRPr="00EB73AF" w14:paraId="48911C37" w14:textId="77777777" w:rsidTr="009508DA">
        <w:trPr>
          <w:trHeight w:val="68"/>
        </w:trPr>
        <w:tc>
          <w:tcPr>
            <w:tcW w:w="5387" w:type="dxa"/>
            <w:tcBorders>
              <w:top w:val="single" w:sz="3" w:space="0" w:color="000000"/>
              <w:left w:val="nil"/>
              <w:bottom w:val="nil"/>
              <w:right w:val="nil"/>
            </w:tcBorders>
            <w:tcMar>
              <w:left w:w="0" w:type="dxa"/>
              <w:bottom w:w="0" w:type="dxa"/>
              <w:right w:w="0" w:type="dxa"/>
            </w:tcMar>
            <w:vAlign w:val="center"/>
          </w:tcPr>
          <w:p w14:paraId="079A6C45" w14:textId="726D75E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intercept</w:t>
            </w:r>
          </w:p>
        </w:tc>
        <w:tc>
          <w:tcPr>
            <w:tcW w:w="1559" w:type="dxa"/>
            <w:tcBorders>
              <w:top w:val="single" w:sz="3" w:space="0" w:color="000000"/>
              <w:left w:val="nil"/>
              <w:bottom w:val="nil"/>
              <w:right w:val="nil"/>
            </w:tcBorders>
            <w:tcMar>
              <w:left w:w="0" w:type="dxa"/>
              <w:bottom w:w="0" w:type="dxa"/>
              <w:right w:w="0" w:type="dxa"/>
            </w:tcMar>
            <w:vAlign w:val="center"/>
          </w:tcPr>
          <w:p w14:paraId="4A384485" w14:textId="28091F24"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−1.081±0.211</w:t>
            </w:r>
          </w:p>
        </w:tc>
        <w:tc>
          <w:tcPr>
            <w:tcW w:w="851" w:type="dxa"/>
            <w:tcBorders>
              <w:top w:val="single" w:sz="3" w:space="0" w:color="000000"/>
              <w:left w:val="nil"/>
              <w:bottom w:val="nil"/>
              <w:right w:val="nil"/>
            </w:tcBorders>
            <w:tcMar>
              <w:left w:w="0" w:type="dxa"/>
              <w:bottom w:w="0" w:type="dxa"/>
              <w:right w:w="0" w:type="dxa"/>
            </w:tcMar>
            <w:vAlign w:val="center"/>
          </w:tcPr>
          <w:p w14:paraId="6BA977A8" w14:textId="4A7BB74A"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−5.125</w:t>
            </w:r>
          </w:p>
        </w:tc>
        <w:tc>
          <w:tcPr>
            <w:tcW w:w="850" w:type="dxa"/>
            <w:tcBorders>
              <w:top w:val="single" w:sz="3" w:space="0" w:color="000000"/>
              <w:left w:val="nil"/>
              <w:bottom w:val="nil"/>
              <w:right w:val="nil"/>
            </w:tcBorders>
            <w:tcMar>
              <w:left w:w="0" w:type="dxa"/>
              <w:bottom w:w="0" w:type="dxa"/>
              <w:right w:w="0" w:type="dxa"/>
            </w:tcMar>
            <w:vAlign w:val="center"/>
          </w:tcPr>
          <w:p w14:paraId="5F6063F6" w14:textId="5D6A4AD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single" w:sz="3" w:space="0" w:color="000000"/>
              <w:left w:val="nil"/>
              <w:bottom w:val="nil"/>
              <w:right w:val="nil"/>
            </w:tcBorders>
            <w:tcMar>
              <w:left w:w="0" w:type="dxa"/>
              <w:bottom w:w="0" w:type="dxa"/>
              <w:right w:w="0" w:type="dxa"/>
            </w:tcMar>
            <w:vAlign w:val="center"/>
          </w:tcPr>
          <w:p w14:paraId="0FE7BED8" w14:textId="335D0EE1"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143FA3FD" w14:textId="77777777" w:rsidTr="009508DA">
        <w:trPr>
          <w:trHeight w:val="85"/>
        </w:trPr>
        <w:tc>
          <w:tcPr>
            <w:tcW w:w="5387" w:type="dxa"/>
            <w:tcBorders>
              <w:top w:val="nil"/>
              <w:left w:val="nil"/>
              <w:bottom w:val="nil"/>
              <w:right w:val="nil"/>
            </w:tcBorders>
            <w:tcMar>
              <w:left w:w="0" w:type="dxa"/>
              <w:bottom w:w="0" w:type="dxa"/>
              <w:right w:w="0" w:type="dxa"/>
            </w:tcMar>
            <w:vAlign w:val="center"/>
          </w:tcPr>
          <w:p w14:paraId="01F44938" w14:textId="5BAF44D2"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level</w:t>
            </w:r>
          </w:p>
        </w:tc>
        <w:tc>
          <w:tcPr>
            <w:tcW w:w="1559" w:type="dxa"/>
            <w:tcBorders>
              <w:top w:val="nil"/>
              <w:left w:val="nil"/>
              <w:bottom w:val="nil"/>
              <w:right w:val="nil"/>
            </w:tcBorders>
            <w:tcMar>
              <w:left w:w="0" w:type="dxa"/>
              <w:bottom w:w="0" w:type="dxa"/>
              <w:right w:w="0" w:type="dxa"/>
            </w:tcMar>
            <w:vAlign w:val="center"/>
          </w:tcPr>
          <w:p w14:paraId="13A997A7" w14:textId="2B983821"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2.893±0.218</w:t>
            </w:r>
          </w:p>
        </w:tc>
        <w:tc>
          <w:tcPr>
            <w:tcW w:w="851" w:type="dxa"/>
            <w:tcBorders>
              <w:top w:val="nil"/>
              <w:left w:val="nil"/>
              <w:bottom w:val="nil"/>
              <w:right w:val="nil"/>
            </w:tcBorders>
            <w:tcMar>
              <w:left w:w="0" w:type="dxa"/>
              <w:bottom w:w="0" w:type="dxa"/>
              <w:right w:w="0" w:type="dxa"/>
            </w:tcMar>
            <w:vAlign w:val="center"/>
          </w:tcPr>
          <w:p w14:paraId="6C2B9EE2" w14:textId="74F2781A"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13.272</w:t>
            </w:r>
          </w:p>
        </w:tc>
        <w:tc>
          <w:tcPr>
            <w:tcW w:w="850" w:type="dxa"/>
            <w:tcBorders>
              <w:top w:val="nil"/>
              <w:left w:val="nil"/>
              <w:bottom w:val="nil"/>
              <w:right w:val="nil"/>
            </w:tcBorders>
            <w:tcMar>
              <w:left w:w="0" w:type="dxa"/>
              <w:bottom w:w="0" w:type="dxa"/>
              <w:right w:w="0" w:type="dxa"/>
            </w:tcMar>
            <w:vAlign w:val="center"/>
          </w:tcPr>
          <w:p w14:paraId="607B444D" w14:textId="5086CC4F"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73F83614" w14:textId="0F3B80DA"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1B1AE27D" w14:textId="77777777" w:rsidTr="009508DA">
        <w:trPr>
          <w:trHeight w:val="85"/>
        </w:trPr>
        <w:tc>
          <w:tcPr>
            <w:tcW w:w="5387" w:type="dxa"/>
            <w:tcBorders>
              <w:top w:val="nil"/>
              <w:left w:val="nil"/>
              <w:bottom w:val="nil"/>
              <w:right w:val="nil"/>
            </w:tcBorders>
            <w:tcMar>
              <w:left w:w="0" w:type="dxa"/>
              <w:bottom w:w="0" w:type="dxa"/>
              <w:right w:w="0" w:type="dxa"/>
            </w:tcMar>
            <w:vAlign w:val="center"/>
          </w:tcPr>
          <w:p w14:paraId="6882EB03" w14:textId="1AD2D264"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(TM [bilingual])</w:t>
            </w:r>
          </w:p>
        </w:tc>
        <w:tc>
          <w:tcPr>
            <w:tcW w:w="1559" w:type="dxa"/>
            <w:tcBorders>
              <w:top w:val="nil"/>
              <w:left w:val="nil"/>
              <w:bottom w:val="nil"/>
              <w:right w:val="nil"/>
            </w:tcBorders>
            <w:tcMar>
              <w:left w:w="0" w:type="dxa"/>
              <w:bottom w:w="0" w:type="dxa"/>
              <w:right w:w="0" w:type="dxa"/>
            </w:tcMar>
            <w:vAlign w:val="center"/>
          </w:tcPr>
          <w:p w14:paraId="017EC496" w14:textId="7401574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0.725±0.248</w:t>
            </w:r>
          </w:p>
        </w:tc>
        <w:tc>
          <w:tcPr>
            <w:tcW w:w="851" w:type="dxa"/>
            <w:tcBorders>
              <w:top w:val="nil"/>
              <w:left w:val="nil"/>
              <w:bottom w:val="nil"/>
              <w:right w:val="nil"/>
            </w:tcBorders>
            <w:tcMar>
              <w:left w:w="0" w:type="dxa"/>
              <w:bottom w:w="0" w:type="dxa"/>
              <w:right w:w="0" w:type="dxa"/>
            </w:tcMar>
            <w:vAlign w:val="center"/>
          </w:tcPr>
          <w:p w14:paraId="77485095" w14:textId="71408300"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2.918</w:t>
            </w:r>
          </w:p>
        </w:tc>
        <w:tc>
          <w:tcPr>
            <w:tcW w:w="850" w:type="dxa"/>
            <w:tcBorders>
              <w:top w:val="nil"/>
              <w:left w:val="nil"/>
              <w:bottom w:val="nil"/>
              <w:right w:val="nil"/>
            </w:tcBorders>
            <w:tcMar>
              <w:left w:w="0" w:type="dxa"/>
              <w:bottom w:w="0" w:type="dxa"/>
              <w:right w:w="0" w:type="dxa"/>
            </w:tcMar>
            <w:vAlign w:val="center"/>
          </w:tcPr>
          <w:p w14:paraId="2C4856C6" w14:textId="248D8A43"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0.004</w:t>
            </w:r>
          </w:p>
        </w:tc>
        <w:tc>
          <w:tcPr>
            <w:tcW w:w="494" w:type="dxa"/>
            <w:gridSpan w:val="2"/>
            <w:tcBorders>
              <w:top w:val="nil"/>
              <w:left w:val="nil"/>
              <w:bottom w:val="nil"/>
              <w:right w:val="nil"/>
            </w:tcBorders>
            <w:tcMar>
              <w:left w:w="0" w:type="dxa"/>
              <w:bottom w:w="0" w:type="dxa"/>
              <w:right w:w="0" w:type="dxa"/>
            </w:tcMar>
            <w:vAlign w:val="center"/>
          </w:tcPr>
          <w:p w14:paraId="6E35A57F" w14:textId="7E2C1C4E"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768622A1" w14:textId="77777777" w:rsidTr="009508DA">
        <w:trPr>
          <w:trHeight w:val="85"/>
        </w:trPr>
        <w:tc>
          <w:tcPr>
            <w:tcW w:w="5387" w:type="dxa"/>
            <w:tcBorders>
              <w:top w:val="nil"/>
              <w:left w:val="nil"/>
              <w:bottom w:val="nil"/>
              <w:right w:val="nil"/>
            </w:tcBorders>
            <w:tcMar>
              <w:left w:w="0" w:type="dxa"/>
              <w:bottom w:w="0" w:type="dxa"/>
              <w:right w:w="0" w:type="dxa"/>
            </w:tcMar>
            <w:vAlign w:val="center"/>
          </w:tcPr>
          <w:p w14:paraId="716F97B8" w14:textId="21BB54FD"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(TSM)</w:t>
            </w:r>
          </w:p>
        </w:tc>
        <w:tc>
          <w:tcPr>
            <w:tcW w:w="1559" w:type="dxa"/>
            <w:tcBorders>
              <w:top w:val="nil"/>
              <w:left w:val="nil"/>
              <w:bottom w:val="nil"/>
              <w:right w:val="nil"/>
            </w:tcBorders>
            <w:tcMar>
              <w:left w:w="0" w:type="dxa"/>
              <w:bottom w:w="0" w:type="dxa"/>
              <w:right w:w="0" w:type="dxa"/>
            </w:tcMar>
            <w:vAlign w:val="center"/>
          </w:tcPr>
          <w:p w14:paraId="611C6487" w14:textId="7871FBC4"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1.433±0.245</w:t>
            </w:r>
          </w:p>
        </w:tc>
        <w:tc>
          <w:tcPr>
            <w:tcW w:w="851" w:type="dxa"/>
            <w:tcBorders>
              <w:top w:val="nil"/>
              <w:left w:val="nil"/>
              <w:bottom w:val="nil"/>
              <w:right w:val="nil"/>
            </w:tcBorders>
            <w:tcMar>
              <w:left w:w="0" w:type="dxa"/>
              <w:bottom w:w="0" w:type="dxa"/>
              <w:right w:w="0" w:type="dxa"/>
            </w:tcMar>
            <w:vAlign w:val="center"/>
          </w:tcPr>
          <w:p w14:paraId="19498475" w14:textId="40A73AAF"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5.844</w:t>
            </w:r>
          </w:p>
        </w:tc>
        <w:tc>
          <w:tcPr>
            <w:tcW w:w="850" w:type="dxa"/>
            <w:tcBorders>
              <w:top w:val="nil"/>
              <w:left w:val="nil"/>
              <w:bottom w:val="nil"/>
              <w:right w:val="nil"/>
            </w:tcBorders>
            <w:tcMar>
              <w:left w:w="0" w:type="dxa"/>
              <w:bottom w:w="0" w:type="dxa"/>
              <w:right w:w="0" w:type="dxa"/>
            </w:tcMar>
            <w:vAlign w:val="center"/>
          </w:tcPr>
          <w:p w14:paraId="346B482F" w14:textId="432291FC"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12BCF816" w14:textId="67D2C298"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5EB9D39F" w14:textId="77777777" w:rsidTr="009508DA">
        <w:trPr>
          <w:trHeight w:val="85"/>
        </w:trPr>
        <w:tc>
          <w:tcPr>
            <w:tcW w:w="5387" w:type="dxa"/>
            <w:tcBorders>
              <w:top w:val="nil"/>
              <w:left w:val="nil"/>
              <w:bottom w:val="nil"/>
              <w:right w:val="nil"/>
            </w:tcBorders>
            <w:tcMar>
              <w:left w:w="0" w:type="dxa"/>
              <w:bottom w:w="0" w:type="dxa"/>
              <w:right w:w="0" w:type="dxa"/>
            </w:tcMar>
            <w:vAlign w:val="center"/>
          </w:tcPr>
          <w:p w14:paraId="78EF980D" w14:textId="20BF906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preceding tone offset</w:t>
            </w:r>
          </w:p>
        </w:tc>
        <w:tc>
          <w:tcPr>
            <w:tcW w:w="1559" w:type="dxa"/>
            <w:tcBorders>
              <w:top w:val="nil"/>
              <w:left w:val="nil"/>
              <w:bottom w:val="nil"/>
              <w:right w:val="nil"/>
            </w:tcBorders>
            <w:tcMar>
              <w:left w:w="0" w:type="dxa"/>
              <w:bottom w:w="0" w:type="dxa"/>
              <w:right w:w="0" w:type="dxa"/>
            </w:tcMar>
            <w:vAlign w:val="center"/>
          </w:tcPr>
          <w:p w14:paraId="1AA9163F" w14:textId="7E03DE2D"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−1.792±0.151</w:t>
            </w:r>
          </w:p>
        </w:tc>
        <w:tc>
          <w:tcPr>
            <w:tcW w:w="851" w:type="dxa"/>
            <w:tcBorders>
              <w:top w:val="nil"/>
              <w:left w:val="nil"/>
              <w:bottom w:val="nil"/>
              <w:right w:val="nil"/>
            </w:tcBorders>
            <w:tcMar>
              <w:left w:w="0" w:type="dxa"/>
              <w:bottom w:w="0" w:type="dxa"/>
              <w:right w:w="0" w:type="dxa"/>
            </w:tcMar>
            <w:vAlign w:val="center"/>
          </w:tcPr>
          <w:p w14:paraId="63C73B89" w14:textId="4730978A"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−11.882</w:t>
            </w:r>
          </w:p>
        </w:tc>
        <w:tc>
          <w:tcPr>
            <w:tcW w:w="850" w:type="dxa"/>
            <w:tcBorders>
              <w:top w:val="nil"/>
              <w:left w:val="nil"/>
              <w:bottom w:val="nil"/>
              <w:right w:val="nil"/>
            </w:tcBorders>
            <w:tcMar>
              <w:left w:w="0" w:type="dxa"/>
              <w:bottom w:w="0" w:type="dxa"/>
              <w:right w:w="0" w:type="dxa"/>
            </w:tcMar>
            <w:vAlign w:val="center"/>
          </w:tcPr>
          <w:p w14:paraId="6D43F000" w14:textId="5E1FDB39" w:rsidR="004A2C6B" w:rsidRPr="00EB73AF" w:rsidRDefault="004A2C6B" w:rsidP="004A2C6B">
            <w:pPr>
              <w:pStyle w:val="JASABodyText"/>
              <w:spacing w:line="240" w:lineRule="auto"/>
              <w:ind w:firstLine="0"/>
              <w:jc w:val="right"/>
              <w:rPr>
                <w:rFonts w:ascii="Times New Roman" w:eastAsia="STKaiti" w:hAnsi="Times New Roman" w:cs="Times New Roman"/>
                <w:i/>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625B2C28" w14:textId="70CCE3E1"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2E6A50EC" w14:textId="77777777" w:rsidTr="009508DA">
        <w:trPr>
          <w:trHeight w:val="75"/>
        </w:trPr>
        <w:tc>
          <w:tcPr>
            <w:tcW w:w="5387" w:type="dxa"/>
            <w:tcBorders>
              <w:top w:val="nil"/>
              <w:left w:val="nil"/>
              <w:bottom w:val="nil"/>
              <w:right w:val="nil"/>
            </w:tcBorders>
            <w:tcMar>
              <w:left w:w="0" w:type="dxa"/>
              <w:bottom w:w="0" w:type="dxa"/>
              <w:right w:w="0" w:type="dxa"/>
            </w:tcMar>
            <w:vAlign w:val="center"/>
          </w:tcPr>
          <w:p w14:paraId="1CDC01F2" w14:textId="1BBA45DF"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level:language (TM [bilingual])</w:t>
            </w:r>
          </w:p>
        </w:tc>
        <w:tc>
          <w:tcPr>
            <w:tcW w:w="1559" w:type="dxa"/>
            <w:tcBorders>
              <w:top w:val="nil"/>
              <w:left w:val="nil"/>
              <w:bottom w:val="nil"/>
              <w:right w:val="nil"/>
            </w:tcBorders>
            <w:tcMar>
              <w:left w:w="0" w:type="dxa"/>
              <w:bottom w:w="0" w:type="dxa"/>
              <w:right w:w="0" w:type="dxa"/>
            </w:tcMar>
            <w:vAlign w:val="center"/>
          </w:tcPr>
          <w:p w14:paraId="3F436938" w14:textId="279ECD80"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−0.903±0.235</w:t>
            </w:r>
          </w:p>
        </w:tc>
        <w:tc>
          <w:tcPr>
            <w:tcW w:w="851" w:type="dxa"/>
            <w:tcBorders>
              <w:top w:val="nil"/>
              <w:left w:val="nil"/>
              <w:bottom w:val="nil"/>
              <w:right w:val="nil"/>
            </w:tcBorders>
            <w:tcMar>
              <w:left w:w="0" w:type="dxa"/>
              <w:bottom w:w="0" w:type="dxa"/>
              <w:right w:w="0" w:type="dxa"/>
            </w:tcMar>
            <w:vAlign w:val="center"/>
          </w:tcPr>
          <w:p w14:paraId="18286E0D" w14:textId="1D834878"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−3.844</w:t>
            </w:r>
          </w:p>
        </w:tc>
        <w:tc>
          <w:tcPr>
            <w:tcW w:w="850" w:type="dxa"/>
            <w:tcBorders>
              <w:top w:val="nil"/>
              <w:left w:val="nil"/>
              <w:bottom w:val="nil"/>
              <w:right w:val="nil"/>
            </w:tcBorders>
            <w:tcMar>
              <w:left w:w="0" w:type="dxa"/>
              <w:bottom w:w="0" w:type="dxa"/>
              <w:right w:w="0" w:type="dxa"/>
            </w:tcMar>
            <w:vAlign w:val="center"/>
          </w:tcPr>
          <w:p w14:paraId="6212A0FE" w14:textId="558706E6"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7FB719EB" w14:textId="50936512"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29E4BE8B" w14:textId="77777777" w:rsidTr="009508DA">
        <w:trPr>
          <w:trHeight w:val="85"/>
        </w:trPr>
        <w:tc>
          <w:tcPr>
            <w:tcW w:w="5387" w:type="dxa"/>
            <w:tcBorders>
              <w:top w:val="nil"/>
              <w:left w:val="nil"/>
              <w:bottom w:val="nil"/>
              <w:right w:val="nil"/>
            </w:tcBorders>
            <w:tcMar>
              <w:left w:w="0" w:type="dxa"/>
              <w:bottom w:w="0" w:type="dxa"/>
              <w:right w:w="0" w:type="dxa"/>
            </w:tcMar>
            <w:vAlign w:val="center"/>
          </w:tcPr>
          <w:p w14:paraId="3FAF2DA6" w14:textId="30FC6B15"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level:language (TSM)</w:t>
            </w:r>
          </w:p>
        </w:tc>
        <w:tc>
          <w:tcPr>
            <w:tcW w:w="1559" w:type="dxa"/>
            <w:tcBorders>
              <w:top w:val="nil"/>
              <w:left w:val="nil"/>
              <w:bottom w:val="nil"/>
              <w:right w:val="nil"/>
            </w:tcBorders>
            <w:tcMar>
              <w:left w:w="0" w:type="dxa"/>
              <w:bottom w:w="0" w:type="dxa"/>
              <w:right w:w="0" w:type="dxa"/>
            </w:tcMar>
            <w:vAlign w:val="center"/>
          </w:tcPr>
          <w:p w14:paraId="3E7710D2" w14:textId="4362F8BD"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−1.354±0.226</w:t>
            </w:r>
          </w:p>
        </w:tc>
        <w:tc>
          <w:tcPr>
            <w:tcW w:w="851" w:type="dxa"/>
            <w:tcBorders>
              <w:top w:val="nil"/>
              <w:left w:val="nil"/>
              <w:bottom w:val="nil"/>
              <w:right w:val="nil"/>
            </w:tcBorders>
            <w:tcMar>
              <w:left w:w="0" w:type="dxa"/>
              <w:bottom w:w="0" w:type="dxa"/>
              <w:right w:w="0" w:type="dxa"/>
            </w:tcMar>
            <w:vAlign w:val="center"/>
          </w:tcPr>
          <w:p w14:paraId="78CD281F" w14:textId="78FB407C"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−5.997</w:t>
            </w:r>
          </w:p>
        </w:tc>
        <w:tc>
          <w:tcPr>
            <w:tcW w:w="850" w:type="dxa"/>
            <w:tcBorders>
              <w:top w:val="nil"/>
              <w:left w:val="nil"/>
              <w:bottom w:val="nil"/>
              <w:right w:val="nil"/>
            </w:tcBorders>
            <w:tcMar>
              <w:left w:w="0" w:type="dxa"/>
              <w:bottom w:w="0" w:type="dxa"/>
              <w:right w:w="0" w:type="dxa"/>
            </w:tcMar>
            <w:vAlign w:val="center"/>
          </w:tcPr>
          <w:p w14:paraId="71891350" w14:textId="62C817AF"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32B6CD0A" w14:textId="3B0C9271"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0F7B3CFB" w14:textId="77777777" w:rsidTr="00EB73AF">
        <w:trPr>
          <w:trHeight w:val="85"/>
        </w:trPr>
        <w:tc>
          <w:tcPr>
            <w:tcW w:w="5387" w:type="dxa"/>
            <w:tcBorders>
              <w:top w:val="nil"/>
              <w:left w:val="nil"/>
              <w:right w:val="nil"/>
            </w:tcBorders>
            <w:tcMar>
              <w:left w:w="0" w:type="dxa"/>
              <w:bottom w:w="0" w:type="dxa"/>
              <w:right w:w="0" w:type="dxa"/>
            </w:tcMar>
            <w:vAlign w:val="center"/>
          </w:tcPr>
          <w:p w14:paraId="476EA008" w14:textId="71903B0F"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(TM [bilingual]):preceding tone offset</w:t>
            </w:r>
          </w:p>
        </w:tc>
        <w:tc>
          <w:tcPr>
            <w:tcW w:w="1559" w:type="dxa"/>
            <w:tcBorders>
              <w:top w:val="nil"/>
              <w:left w:val="nil"/>
              <w:right w:val="nil"/>
            </w:tcBorders>
            <w:tcMar>
              <w:left w:w="0" w:type="dxa"/>
              <w:bottom w:w="0" w:type="dxa"/>
              <w:right w:w="0" w:type="dxa"/>
            </w:tcMar>
            <w:vAlign w:val="center"/>
          </w:tcPr>
          <w:p w14:paraId="79FE1BF5" w14:textId="5E3E89C2"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0.675±0.164</w:t>
            </w:r>
          </w:p>
        </w:tc>
        <w:tc>
          <w:tcPr>
            <w:tcW w:w="851" w:type="dxa"/>
            <w:tcBorders>
              <w:top w:val="nil"/>
              <w:left w:val="nil"/>
              <w:right w:val="nil"/>
            </w:tcBorders>
            <w:tcMar>
              <w:left w:w="0" w:type="dxa"/>
              <w:bottom w:w="0" w:type="dxa"/>
              <w:right w:w="0" w:type="dxa"/>
            </w:tcMar>
            <w:vAlign w:val="center"/>
          </w:tcPr>
          <w:p w14:paraId="24838A08" w14:textId="1557CE0E"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4.118</w:t>
            </w:r>
          </w:p>
        </w:tc>
        <w:tc>
          <w:tcPr>
            <w:tcW w:w="850" w:type="dxa"/>
            <w:tcBorders>
              <w:top w:val="nil"/>
              <w:left w:val="nil"/>
              <w:right w:val="nil"/>
            </w:tcBorders>
            <w:tcMar>
              <w:left w:w="0" w:type="dxa"/>
              <w:bottom w:w="0" w:type="dxa"/>
              <w:right w:w="0" w:type="dxa"/>
            </w:tcMar>
            <w:vAlign w:val="center"/>
          </w:tcPr>
          <w:p w14:paraId="65530A54" w14:textId="6AC2899C"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right w:val="nil"/>
            </w:tcBorders>
            <w:tcMar>
              <w:left w:w="0" w:type="dxa"/>
              <w:bottom w:w="0" w:type="dxa"/>
              <w:right w:w="0" w:type="dxa"/>
            </w:tcMar>
            <w:vAlign w:val="center"/>
          </w:tcPr>
          <w:p w14:paraId="3DC025E9" w14:textId="031B1B7F"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32528B" w14:paraId="77D710CC" w14:textId="77777777" w:rsidTr="00EB73AF">
        <w:trPr>
          <w:trHeight w:val="85"/>
        </w:trPr>
        <w:tc>
          <w:tcPr>
            <w:tcW w:w="5387" w:type="dxa"/>
            <w:tcBorders>
              <w:top w:val="nil"/>
              <w:left w:val="nil"/>
              <w:bottom w:val="double" w:sz="4" w:space="0" w:color="auto"/>
              <w:right w:val="nil"/>
            </w:tcBorders>
            <w:tcMar>
              <w:left w:w="0" w:type="dxa"/>
              <w:bottom w:w="0" w:type="dxa"/>
              <w:right w:w="0" w:type="dxa"/>
            </w:tcMar>
            <w:vAlign w:val="center"/>
          </w:tcPr>
          <w:p w14:paraId="05DF1ACA" w14:textId="42376B22"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(TSM):preceding tone offset</w:t>
            </w:r>
          </w:p>
        </w:tc>
        <w:tc>
          <w:tcPr>
            <w:tcW w:w="1559" w:type="dxa"/>
            <w:tcBorders>
              <w:top w:val="nil"/>
              <w:left w:val="nil"/>
              <w:bottom w:val="double" w:sz="4" w:space="0" w:color="auto"/>
              <w:right w:val="nil"/>
            </w:tcBorders>
            <w:tcMar>
              <w:left w:w="0" w:type="dxa"/>
              <w:bottom w:w="0" w:type="dxa"/>
              <w:right w:w="0" w:type="dxa"/>
            </w:tcMar>
            <w:vAlign w:val="center"/>
          </w:tcPr>
          <w:p w14:paraId="5B13744C" w14:textId="585A4736"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1.214±0.157</w:t>
            </w:r>
          </w:p>
        </w:tc>
        <w:tc>
          <w:tcPr>
            <w:tcW w:w="851" w:type="dxa"/>
            <w:tcBorders>
              <w:top w:val="nil"/>
              <w:left w:val="nil"/>
              <w:bottom w:val="double" w:sz="4" w:space="0" w:color="auto"/>
              <w:right w:val="nil"/>
            </w:tcBorders>
            <w:tcMar>
              <w:left w:w="0" w:type="dxa"/>
              <w:bottom w:w="0" w:type="dxa"/>
              <w:right w:w="0" w:type="dxa"/>
            </w:tcMar>
            <w:vAlign w:val="center"/>
          </w:tcPr>
          <w:p w14:paraId="14617B4D" w14:textId="0D98917D"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7.747</w:t>
            </w:r>
          </w:p>
        </w:tc>
        <w:tc>
          <w:tcPr>
            <w:tcW w:w="850" w:type="dxa"/>
            <w:tcBorders>
              <w:top w:val="nil"/>
              <w:left w:val="nil"/>
              <w:bottom w:val="double" w:sz="4" w:space="0" w:color="auto"/>
              <w:right w:val="nil"/>
            </w:tcBorders>
            <w:tcMar>
              <w:left w:w="0" w:type="dxa"/>
              <w:bottom w:w="0" w:type="dxa"/>
              <w:right w:w="0" w:type="dxa"/>
            </w:tcMar>
            <w:vAlign w:val="center"/>
          </w:tcPr>
          <w:p w14:paraId="7AC3FDD4" w14:textId="1D9F7255"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double" w:sz="4" w:space="0" w:color="auto"/>
              <w:right w:val="nil"/>
            </w:tcBorders>
            <w:tcMar>
              <w:left w:w="0" w:type="dxa"/>
              <w:bottom w:w="0" w:type="dxa"/>
              <w:right w:w="0" w:type="dxa"/>
            </w:tcMar>
            <w:vAlign w:val="center"/>
          </w:tcPr>
          <w:p w14:paraId="4BEDAB72" w14:textId="41022A5A" w:rsidR="004A2C6B" w:rsidRPr="0032528B" w:rsidRDefault="004A2C6B" w:rsidP="004A2C6B">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highlight w:val="yellow"/>
              </w:rPr>
              <w:t>***</w:t>
            </w:r>
          </w:p>
        </w:tc>
      </w:tr>
    </w:tbl>
    <w:p w14:paraId="0854B9F1" w14:textId="56C88E98" w:rsidR="00153926" w:rsidRPr="0032528B" w:rsidRDefault="00162AF0" w:rsidP="00A34B95">
      <w:pPr>
        <w:pStyle w:val="JASABodyText"/>
        <w:ind w:firstLine="0"/>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highlight w:val="yellow"/>
        </w:rPr>
        <w:t>Formula:</w:t>
      </w:r>
      <w:r>
        <w:rPr>
          <w:rFonts w:ascii="Times New Roman" w:eastAsia="Calibri" w:hAnsi="Times New Roman" w:cs="Times New Roman"/>
          <w:color w:val="000000" w:themeColor="text1"/>
          <w:kern w:val="2"/>
          <w:sz w:val="22"/>
          <w:highlight w:val="yellow"/>
          <w:shd w:val="pct15" w:color="auto" w:fill="FFFFFF"/>
          <w:lang w:eastAsia="zh-TW"/>
          <w14:ligatures w14:val="standardContextual"/>
        </w:rPr>
        <w:t xml:space="preserve"> </w:t>
      </w:r>
      <w:r>
        <w:rPr>
          <w:rFonts w:ascii="Times New Roman" w:eastAsia="STKaiti" w:hAnsi="Times New Roman" w:cs="Times New Roman"/>
          <w:color w:val="000000" w:themeColor="text1"/>
          <w:highlight w:val="yellow"/>
        </w:rPr>
        <w:t xml:space="preserve">falling tone chosen </w:t>
      </w:r>
      <w:r>
        <w:rPr>
          <w:rFonts w:ascii="Cambria Math" w:eastAsia="STKaiti" w:hAnsi="Cambria Math" w:cs="Cambria Math"/>
          <w:color w:val="000000" w:themeColor="text1"/>
          <w:highlight w:val="yellow"/>
        </w:rPr>
        <w:t>∼</w:t>
      </w:r>
      <w:r>
        <w:rPr>
          <w:rFonts w:ascii="Times New Roman" w:eastAsia="STKaiti" w:hAnsi="Times New Roman" w:cs="Times New Roman"/>
          <w:color w:val="000000" w:themeColor="text1"/>
          <w:highlight w:val="yellow"/>
        </w:rPr>
        <w:t xml:space="preserve"> level * language + preceding tone offset * language + (1 | participant)</w:t>
      </w:r>
    </w:p>
    <w:tbl>
      <w:tblPr>
        <w:tblpPr w:leftFromText="141" w:rightFromText="141" w:vertAnchor="text" w:tblpY="-13"/>
        <w:tblW w:w="9141" w:type="dxa"/>
        <w:tblCellMar>
          <w:bottom w:w="177" w:type="dxa"/>
          <w:right w:w="50" w:type="dxa"/>
        </w:tblCellMar>
        <w:tblLook w:val="04A0" w:firstRow="1" w:lastRow="0" w:firstColumn="1" w:lastColumn="0" w:noHBand="0" w:noVBand="1"/>
      </w:tblPr>
      <w:tblGrid>
        <w:gridCol w:w="5387"/>
        <w:gridCol w:w="1559"/>
        <w:gridCol w:w="851"/>
        <w:gridCol w:w="850"/>
        <w:gridCol w:w="458"/>
        <w:gridCol w:w="36"/>
      </w:tblGrid>
      <w:tr w:rsidR="004A2C6B" w:rsidRPr="00EB73AF" w14:paraId="0005E672" w14:textId="77777777" w:rsidTr="004A2C6B">
        <w:trPr>
          <w:gridAfter w:val="1"/>
          <w:wAfter w:w="36" w:type="dxa"/>
          <w:trHeight w:val="230"/>
        </w:trPr>
        <w:tc>
          <w:tcPr>
            <w:tcW w:w="5387" w:type="dxa"/>
            <w:tcBorders>
              <w:top w:val="double" w:sz="4" w:space="0" w:color="000000"/>
              <w:left w:val="nil"/>
              <w:bottom w:val="nil"/>
              <w:right w:val="nil"/>
            </w:tcBorders>
            <w:tcMar>
              <w:left w:w="0" w:type="dxa"/>
              <w:bottom w:w="0" w:type="dxa"/>
              <w:right w:w="0" w:type="dxa"/>
            </w:tcMar>
            <w:vAlign w:val="center"/>
          </w:tcPr>
          <w:p w14:paraId="0AA6308E" w14:textId="272C5F65" w:rsidR="004A2C6B" w:rsidRPr="00EB73AF" w:rsidRDefault="00521093"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rPr>
              <w:t xml:space="preserve">Table 5. Regression table of the logistic mixed-effects model.</w:t>
            </w:r>
            <w:r>
              <w:rPr>
                <w:rStyle w:val="Appelnotedebasdep"/>
                <w:rFonts w:eastAsia="STKaiti" w:cs="Times New Roman"/>
                <w:color w:val="000000" w:themeColor="text1"/>
              </w:rPr>
              <w:footnoteReference w:id="29"/>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highlight w:val="yellow"/>
              </w:rPr>
              <w:t>Effect</w:t>
            </w:r>
          </w:p>
        </w:tc>
        <w:tc>
          <w:tcPr>
            <w:tcW w:w="1559" w:type="dxa"/>
            <w:tcBorders>
              <w:top w:val="double" w:sz="4" w:space="0" w:color="000000"/>
              <w:left w:val="nil"/>
              <w:bottom w:val="nil"/>
              <w:right w:val="nil"/>
            </w:tcBorders>
            <w:tcMar>
              <w:left w:w="0" w:type="dxa"/>
              <w:bottom w:w="0" w:type="dxa"/>
              <w:right w:w="0" w:type="dxa"/>
            </w:tcMar>
            <w:vAlign w:val="center"/>
          </w:tcPr>
          <w:p w14:paraId="24A17867"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Est. (±SE)</w:t>
            </w:r>
          </w:p>
        </w:tc>
        <w:tc>
          <w:tcPr>
            <w:tcW w:w="851" w:type="dxa"/>
            <w:tcBorders>
              <w:top w:val="double" w:sz="4" w:space="0" w:color="000000"/>
              <w:left w:val="nil"/>
              <w:bottom w:val="nil"/>
              <w:right w:val="nil"/>
            </w:tcBorders>
            <w:tcMar>
              <w:left w:w="0" w:type="dxa"/>
              <w:bottom w:w="0" w:type="dxa"/>
              <w:right w:w="0" w:type="dxa"/>
            </w:tcMar>
            <w:vAlign w:val="center"/>
          </w:tcPr>
          <w:p w14:paraId="6194BF76"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i/>
                <w:iCs/>
                <w:color w:val="000000" w:themeColor="text1"/>
                <w:highlight w:val="yellow"/>
              </w:rPr>
              <w:t>z</w:t>
            </w:r>
            <w:r>
              <w:rPr>
                <w:rFonts w:ascii="Times New Roman" w:eastAsia="STKaiti" w:hAnsi="Times New Roman" w:cs="Times New Roman"/>
                <w:color w:val="000000" w:themeColor="text1"/>
                <w:highlight w:val="yellow"/>
              </w:rPr>
              <w:t>-value</w:t>
            </w:r>
          </w:p>
        </w:tc>
        <w:tc>
          <w:tcPr>
            <w:tcW w:w="850" w:type="dxa"/>
            <w:tcBorders>
              <w:top w:val="double" w:sz="4" w:space="0" w:color="000000"/>
              <w:left w:val="nil"/>
              <w:bottom w:val="nil"/>
              <w:right w:val="nil"/>
            </w:tcBorders>
            <w:tcMar>
              <w:left w:w="0" w:type="dxa"/>
              <w:bottom w:w="0" w:type="dxa"/>
              <w:right w:w="0" w:type="dxa"/>
            </w:tcMar>
            <w:vAlign w:val="center"/>
          </w:tcPr>
          <w:p w14:paraId="22820CFA" w14:textId="77777777" w:rsidR="004A2C6B" w:rsidRPr="00EB73AF" w:rsidRDefault="004A2C6B" w:rsidP="004A2C6B">
            <w:pPr>
              <w:pStyle w:val="JASABodyText"/>
              <w:spacing w:line="240" w:lineRule="auto"/>
              <w:ind w:firstLine="0"/>
              <w:jc w:val="right"/>
              <w:rPr>
                <w:rFonts w:ascii="Times New Roman" w:eastAsia="STKaiti" w:hAnsi="Times New Roman" w:cs="Times New Roman"/>
                <w:iCs/>
                <w:color w:val="000000" w:themeColor="text1"/>
                <w:highlight w:val="yellow"/>
              </w:rPr>
            </w:pPr>
            <w:r>
              <w:rPr>
                <w:rFonts w:ascii="Times New Roman" w:eastAsia="STKaiti" w:hAnsi="Times New Roman" w:cs="Times New Roman"/>
                <w:i/>
                <w:color w:val="000000" w:themeColor="text1"/>
                <w:highlight w:val="yellow"/>
              </w:rPr>
              <w:t>p</w:t>
            </w:r>
            <w:r>
              <w:rPr>
                <w:rFonts w:ascii="Times New Roman" w:eastAsia="STKaiti" w:hAnsi="Times New Roman" w:cs="Times New Roman"/>
                <w:iCs/>
                <w:color w:val="000000" w:themeColor="text1"/>
                <w:highlight w:val="yellow"/>
              </w:rPr>
              <w:t>-value</w:t>
            </w:r>
          </w:p>
        </w:tc>
        <w:tc>
          <w:tcPr>
            <w:tcW w:w="458" w:type="dxa"/>
            <w:tcBorders>
              <w:top w:val="double" w:sz="4" w:space="0" w:color="000000"/>
              <w:left w:val="nil"/>
              <w:bottom w:val="nil"/>
              <w:right w:val="nil"/>
            </w:tcBorders>
            <w:tcMar>
              <w:left w:w="0" w:type="dxa"/>
              <w:bottom w:w="0" w:type="dxa"/>
              <w:right w:w="0" w:type="dxa"/>
            </w:tcMar>
            <w:vAlign w:val="center"/>
          </w:tcPr>
          <w:p w14:paraId="72389701"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p>
        </w:tc>
      </w:tr>
      <w:tr w:rsidR="004A2C6B" w:rsidRPr="00EB73AF" w14:paraId="05EC2FB6" w14:textId="77777777" w:rsidTr="004A2C6B">
        <w:trPr>
          <w:trHeight w:val="68"/>
        </w:trPr>
        <w:tc>
          <w:tcPr>
            <w:tcW w:w="5387" w:type="dxa"/>
            <w:tcBorders>
              <w:top w:val="single" w:sz="3" w:space="0" w:color="000000"/>
              <w:left w:val="nil"/>
              <w:bottom w:val="nil"/>
              <w:right w:val="nil"/>
            </w:tcBorders>
            <w:tcMar>
              <w:left w:w="0" w:type="dxa"/>
              <w:bottom w:w="0" w:type="dxa"/>
              <w:right w:w="0" w:type="dxa"/>
            </w:tcMar>
            <w:vAlign w:val="center"/>
          </w:tcPr>
          <w:p w14:paraId="7D66583C"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intercept</w:t>
            </w:r>
          </w:p>
        </w:tc>
        <w:tc>
          <w:tcPr>
            <w:tcW w:w="1559" w:type="dxa"/>
            <w:tcBorders>
              <w:top w:val="single" w:sz="3" w:space="0" w:color="000000"/>
              <w:left w:val="nil"/>
              <w:bottom w:val="nil"/>
              <w:right w:val="nil"/>
            </w:tcBorders>
            <w:tcMar>
              <w:left w:w="0" w:type="dxa"/>
              <w:bottom w:w="0" w:type="dxa"/>
              <w:right w:w="0" w:type="dxa"/>
            </w:tcMar>
            <w:vAlign w:val="center"/>
          </w:tcPr>
          <w:p w14:paraId="5A53F82C"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−2.190±0.184</w:t>
            </w:r>
          </w:p>
        </w:tc>
        <w:tc>
          <w:tcPr>
            <w:tcW w:w="851" w:type="dxa"/>
            <w:tcBorders>
              <w:top w:val="single" w:sz="3" w:space="0" w:color="000000"/>
              <w:left w:val="nil"/>
              <w:bottom w:val="nil"/>
              <w:right w:val="nil"/>
            </w:tcBorders>
            <w:tcMar>
              <w:left w:w="0" w:type="dxa"/>
              <w:bottom w:w="0" w:type="dxa"/>
              <w:right w:w="0" w:type="dxa"/>
            </w:tcMar>
            <w:vAlign w:val="center"/>
          </w:tcPr>
          <w:p w14:paraId="626499B5"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−11.920</w:t>
            </w:r>
          </w:p>
        </w:tc>
        <w:tc>
          <w:tcPr>
            <w:tcW w:w="850" w:type="dxa"/>
            <w:tcBorders>
              <w:top w:val="single" w:sz="3" w:space="0" w:color="000000"/>
              <w:left w:val="nil"/>
              <w:bottom w:val="nil"/>
              <w:right w:val="nil"/>
            </w:tcBorders>
            <w:tcMar>
              <w:left w:w="0" w:type="dxa"/>
              <w:bottom w:w="0" w:type="dxa"/>
              <w:right w:w="0" w:type="dxa"/>
            </w:tcMar>
            <w:vAlign w:val="center"/>
          </w:tcPr>
          <w:p w14:paraId="486999E8"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single" w:sz="3" w:space="0" w:color="000000"/>
              <w:left w:val="nil"/>
              <w:bottom w:val="nil"/>
              <w:right w:val="nil"/>
            </w:tcBorders>
            <w:tcMar>
              <w:left w:w="0" w:type="dxa"/>
              <w:bottom w:w="0" w:type="dxa"/>
              <w:right w:w="0" w:type="dxa"/>
            </w:tcMar>
            <w:vAlign w:val="center"/>
          </w:tcPr>
          <w:p w14:paraId="16423B5E"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50A7A761"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50EF1330"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level</w:t>
            </w:r>
          </w:p>
        </w:tc>
        <w:tc>
          <w:tcPr>
            <w:tcW w:w="1559" w:type="dxa"/>
            <w:tcBorders>
              <w:top w:val="nil"/>
              <w:left w:val="nil"/>
              <w:bottom w:val="nil"/>
              <w:right w:val="nil"/>
            </w:tcBorders>
            <w:tcMar>
              <w:left w:w="0" w:type="dxa"/>
              <w:bottom w:w="0" w:type="dxa"/>
              <w:right w:w="0" w:type="dxa"/>
            </w:tcMar>
            <w:vAlign w:val="center"/>
          </w:tcPr>
          <w:p w14:paraId="7EBFE982"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2.044±0.109</w:t>
            </w:r>
          </w:p>
        </w:tc>
        <w:tc>
          <w:tcPr>
            <w:tcW w:w="851" w:type="dxa"/>
            <w:tcBorders>
              <w:top w:val="nil"/>
              <w:left w:val="nil"/>
              <w:bottom w:val="nil"/>
              <w:right w:val="nil"/>
            </w:tcBorders>
            <w:tcMar>
              <w:left w:w="0" w:type="dxa"/>
              <w:bottom w:w="0" w:type="dxa"/>
              <w:right w:w="0" w:type="dxa"/>
            </w:tcMar>
            <w:vAlign w:val="center"/>
          </w:tcPr>
          <w:p w14:paraId="236E0E99"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18.814</w:t>
            </w:r>
          </w:p>
        </w:tc>
        <w:tc>
          <w:tcPr>
            <w:tcW w:w="850" w:type="dxa"/>
            <w:tcBorders>
              <w:top w:val="nil"/>
              <w:left w:val="nil"/>
              <w:bottom w:val="nil"/>
              <w:right w:val="nil"/>
            </w:tcBorders>
            <w:tcMar>
              <w:left w:w="0" w:type="dxa"/>
              <w:bottom w:w="0" w:type="dxa"/>
              <w:right w:w="0" w:type="dxa"/>
            </w:tcMar>
            <w:vAlign w:val="center"/>
          </w:tcPr>
          <w:p w14:paraId="5032CC7D"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47DBA722"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556726E8"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4ACD20E2"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(TM [bilingual])</w:t>
            </w:r>
          </w:p>
        </w:tc>
        <w:tc>
          <w:tcPr>
            <w:tcW w:w="1559" w:type="dxa"/>
            <w:tcBorders>
              <w:top w:val="nil"/>
              <w:left w:val="nil"/>
              <w:bottom w:val="nil"/>
              <w:right w:val="nil"/>
            </w:tcBorders>
            <w:tcMar>
              <w:left w:w="0" w:type="dxa"/>
              <w:bottom w:w="0" w:type="dxa"/>
              <w:right w:w="0" w:type="dxa"/>
            </w:tcMar>
            <w:vAlign w:val="center"/>
          </w:tcPr>
          <w:p w14:paraId="3A73667A"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0.854±0.243</w:t>
            </w:r>
          </w:p>
        </w:tc>
        <w:tc>
          <w:tcPr>
            <w:tcW w:w="851" w:type="dxa"/>
            <w:tcBorders>
              <w:top w:val="nil"/>
              <w:left w:val="nil"/>
              <w:bottom w:val="nil"/>
              <w:right w:val="nil"/>
            </w:tcBorders>
            <w:tcMar>
              <w:left w:w="0" w:type="dxa"/>
              <w:bottom w:w="0" w:type="dxa"/>
              <w:right w:w="0" w:type="dxa"/>
            </w:tcMar>
            <w:vAlign w:val="center"/>
          </w:tcPr>
          <w:p w14:paraId="782F3121"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3.511</w:t>
            </w:r>
          </w:p>
        </w:tc>
        <w:tc>
          <w:tcPr>
            <w:tcW w:w="850" w:type="dxa"/>
            <w:tcBorders>
              <w:top w:val="nil"/>
              <w:left w:val="nil"/>
              <w:bottom w:val="nil"/>
              <w:right w:val="nil"/>
            </w:tcBorders>
            <w:tcMar>
              <w:left w:w="0" w:type="dxa"/>
              <w:bottom w:w="0" w:type="dxa"/>
              <w:right w:w="0" w:type="dxa"/>
            </w:tcMar>
            <w:vAlign w:val="center"/>
          </w:tcPr>
          <w:p w14:paraId="457CC4E3"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5E9A02B8" w14:textId="0B4BCFD4"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507D3FCC"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714C78DB"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(TSM)</w:t>
            </w:r>
          </w:p>
        </w:tc>
        <w:tc>
          <w:tcPr>
            <w:tcW w:w="1559" w:type="dxa"/>
            <w:tcBorders>
              <w:top w:val="nil"/>
              <w:left w:val="nil"/>
              <w:bottom w:val="nil"/>
              <w:right w:val="nil"/>
            </w:tcBorders>
            <w:tcMar>
              <w:left w:w="0" w:type="dxa"/>
              <w:bottom w:w="0" w:type="dxa"/>
              <w:right w:w="0" w:type="dxa"/>
            </w:tcMar>
            <w:vAlign w:val="center"/>
          </w:tcPr>
          <w:p w14:paraId="1DC55CF3"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1.148±0.212</w:t>
            </w:r>
          </w:p>
        </w:tc>
        <w:tc>
          <w:tcPr>
            <w:tcW w:w="851" w:type="dxa"/>
            <w:tcBorders>
              <w:top w:val="nil"/>
              <w:left w:val="nil"/>
              <w:bottom w:val="nil"/>
              <w:right w:val="nil"/>
            </w:tcBorders>
            <w:tcMar>
              <w:left w:w="0" w:type="dxa"/>
              <w:bottom w:w="0" w:type="dxa"/>
              <w:right w:w="0" w:type="dxa"/>
            </w:tcMar>
            <w:vAlign w:val="center"/>
          </w:tcPr>
          <w:p w14:paraId="378BA5A1"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5.400</w:t>
            </w:r>
          </w:p>
        </w:tc>
        <w:tc>
          <w:tcPr>
            <w:tcW w:w="850" w:type="dxa"/>
            <w:tcBorders>
              <w:top w:val="nil"/>
              <w:left w:val="nil"/>
              <w:bottom w:val="nil"/>
              <w:right w:val="nil"/>
            </w:tcBorders>
            <w:tcMar>
              <w:left w:w="0" w:type="dxa"/>
              <w:bottom w:w="0" w:type="dxa"/>
              <w:right w:w="0" w:type="dxa"/>
            </w:tcMar>
            <w:vAlign w:val="center"/>
          </w:tcPr>
          <w:p w14:paraId="035DD2AE"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416811BC"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777B50C4"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70056187"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preceding tone offset</w:t>
            </w:r>
          </w:p>
        </w:tc>
        <w:tc>
          <w:tcPr>
            <w:tcW w:w="1559" w:type="dxa"/>
            <w:tcBorders>
              <w:top w:val="nil"/>
              <w:left w:val="nil"/>
              <w:bottom w:val="nil"/>
              <w:right w:val="nil"/>
            </w:tcBorders>
            <w:tcMar>
              <w:left w:w="0" w:type="dxa"/>
              <w:bottom w:w="0" w:type="dxa"/>
              <w:right w:w="0" w:type="dxa"/>
            </w:tcMar>
            <w:vAlign w:val="center"/>
          </w:tcPr>
          <w:p w14:paraId="197B71E1"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−1.865±0.097</w:t>
            </w:r>
          </w:p>
        </w:tc>
        <w:tc>
          <w:tcPr>
            <w:tcW w:w="851" w:type="dxa"/>
            <w:tcBorders>
              <w:top w:val="nil"/>
              <w:left w:val="nil"/>
              <w:bottom w:val="nil"/>
              <w:right w:val="nil"/>
            </w:tcBorders>
            <w:tcMar>
              <w:left w:w="0" w:type="dxa"/>
              <w:bottom w:w="0" w:type="dxa"/>
              <w:right w:w="0" w:type="dxa"/>
            </w:tcMar>
            <w:vAlign w:val="center"/>
          </w:tcPr>
          <w:p w14:paraId="2FCC858D"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−19.276</w:t>
            </w:r>
          </w:p>
        </w:tc>
        <w:tc>
          <w:tcPr>
            <w:tcW w:w="850" w:type="dxa"/>
            <w:tcBorders>
              <w:top w:val="nil"/>
              <w:left w:val="nil"/>
              <w:bottom w:val="nil"/>
              <w:right w:val="nil"/>
            </w:tcBorders>
            <w:tcMar>
              <w:left w:w="0" w:type="dxa"/>
              <w:bottom w:w="0" w:type="dxa"/>
              <w:right w:w="0" w:type="dxa"/>
            </w:tcMar>
            <w:vAlign w:val="center"/>
          </w:tcPr>
          <w:p w14:paraId="542C50A2"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431E2B98"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7467B385"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50D65448"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preceding tone (contrast 1)</w:t>
            </w:r>
          </w:p>
        </w:tc>
        <w:tc>
          <w:tcPr>
            <w:tcW w:w="1559" w:type="dxa"/>
            <w:tcBorders>
              <w:top w:val="nil"/>
              <w:left w:val="nil"/>
              <w:bottom w:val="nil"/>
              <w:right w:val="nil"/>
            </w:tcBorders>
            <w:tcMar>
              <w:left w:w="0" w:type="dxa"/>
              <w:bottom w:w="0" w:type="dxa"/>
              <w:right w:w="0" w:type="dxa"/>
            </w:tcMar>
            <w:vAlign w:val="center"/>
          </w:tcPr>
          <w:p w14:paraId="496C2958"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−2.573±0.149</w:t>
            </w:r>
          </w:p>
        </w:tc>
        <w:tc>
          <w:tcPr>
            <w:tcW w:w="851" w:type="dxa"/>
            <w:tcBorders>
              <w:top w:val="nil"/>
              <w:left w:val="nil"/>
              <w:bottom w:val="nil"/>
              <w:right w:val="nil"/>
            </w:tcBorders>
            <w:tcMar>
              <w:left w:w="0" w:type="dxa"/>
              <w:bottom w:w="0" w:type="dxa"/>
              <w:right w:w="0" w:type="dxa"/>
            </w:tcMar>
            <w:vAlign w:val="center"/>
          </w:tcPr>
          <w:p w14:paraId="557AF0FB"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−17.249</w:t>
            </w:r>
          </w:p>
        </w:tc>
        <w:tc>
          <w:tcPr>
            <w:tcW w:w="850" w:type="dxa"/>
            <w:tcBorders>
              <w:top w:val="nil"/>
              <w:left w:val="nil"/>
              <w:bottom w:val="nil"/>
              <w:right w:val="nil"/>
            </w:tcBorders>
            <w:tcMar>
              <w:left w:w="0" w:type="dxa"/>
              <w:bottom w:w="0" w:type="dxa"/>
              <w:right w:w="0" w:type="dxa"/>
            </w:tcMar>
            <w:vAlign w:val="center"/>
          </w:tcPr>
          <w:p w14:paraId="687BA91E"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6B13DF3A"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3D021BD0"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495EF478"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preceding tone (contrast 2)</w:t>
            </w:r>
          </w:p>
        </w:tc>
        <w:tc>
          <w:tcPr>
            <w:tcW w:w="1559" w:type="dxa"/>
            <w:tcBorders>
              <w:top w:val="nil"/>
              <w:left w:val="nil"/>
              <w:bottom w:val="nil"/>
              <w:right w:val="nil"/>
            </w:tcBorders>
            <w:tcMar>
              <w:left w:w="0" w:type="dxa"/>
              <w:bottom w:w="0" w:type="dxa"/>
              <w:right w:w="0" w:type="dxa"/>
            </w:tcMar>
            <w:vAlign w:val="center"/>
          </w:tcPr>
          <w:p w14:paraId="5AD582DF"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0.068±0.103</w:t>
            </w:r>
          </w:p>
        </w:tc>
        <w:tc>
          <w:tcPr>
            <w:tcW w:w="851" w:type="dxa"/>
            <w:tcBorders>
              <w:top w:val="nil"/>
              <w:left w:val="nil"/>
              <w:bottom w:val="nil"/>
              <w:right w:val="nil"/>
            </w:tcBorders>
            <w:tcMar>
              <w:left w:w="0" w:type="dxa"/>
              <w:bottom w:w="0" w:type="dxa"/>
              <w:right w:w="0" w:type="dxa"/>
            </w:tcMar>
            <w:vAlign w:val="center"/>
          </w:tcPr>
          <w:p w14:paraId="4C0A98B3"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0.655</w:t>
            </w:r>
          </w:p>
        </w:tc>
        <w:tc>
          <w:tcPr>
            <w:tcW w:w="850" w:type="dxa"/>
            <w:tcBorders>
              <w:top w:val="nil"/>
              <w:left w:val="nil"/>
              <w:bottom w:val="nil"/>
              <w:right w:val="nil"/>
            </w:tcBorders>
            <w:tcMar>
              <w:left w:w="0" w:type="dxa"/>
              <w:bottom w:w="0" w:type="dxa"/>
              <w:right w:w="0" w:type="dxa"/>
            </w:tcMar>
            <w:vAlign w:val="center"/>
          </w:tcPr>
          <w:p w14:paraId="4D90F640"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0.512</w:t>
            </w:r>
          </w:p>
        </w:tc>
        <w:tc>
          <w:tcPr>
            <w:tcW w:w="494" w:type="dxa"/>
            <w:gridSpan w:val="2"/>
            <w:tcBorders>
              <w:top w:val="nil"/>
              <w:left w:val="nil"/>
              <w:bottom w:val="nil"/>
              <w:right w:val="nil"/>
            </w:tcBorders>
            <w:tcMar>
              <w:left w:w="0" w:type="dxa"/>
              <w:bottom w:w="0" w:type="dxa"/>
              <w:right w:w="0" w:type="dxa"/>
            </w:tcMar>
            <w:vAlign w:val="center"/>
          </w:tcPr>
          <w:p w14:paraId="4D43CC51"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p>
        </w:tc>
      </w:tr>
      <w:tr w:rsidR="004A2C6B" w:rsidRPr="00EB73AF" w14:paraId="7EA44522" w14:textId="77777777" w:rsidTr="004A2C6B">
        <w:trPr>
          <w:trHeight w:val="75"/>
        </w:trPr>
        <w:tc>
          <w:tcPr>
            <w:tcW w:w="5387" w:type="dxa"/>
            <w:tcBorders>
              <w:top w:val="nil"/>
              <w:left w:val="nil"/>
              <w:bottom w:val="nil"/>
              <w:right w:val="nil"/>
            </w:tcBorders>
            <w:tcMar>
              <w:left w:w="0" w:type="dxa"/>
              <w:bottom w:w="0" w:type="dxa"/>
              <w:right w:w="0" w:type="dxa"/>
            </w:tcMar>
            <w:vAlign w:val="center"/>
          </w:tcPr>
          <w:p w14:paraId="14F1D2FB"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preceding tone (contrast 3)</w:t>
            </w:r>
          </w:p>
        </w:tc>
        <w:tc>
          <w:tcPr>
            <w:tcW w:w="1559" w:type="dxa"/>
            <w:tcBorders>
              <w:top w:val="nil"/>
              <w:left w:val="nil"/>
              <w:bottom w:val="nil"/>
              <w:right w:val="nil"/>
            </w:tcBorders>
            <w:tcMar>
              <w:left w:w="0" w:type="dxa"/>
              <w:bottom w:w="0" w:type="dxa"/>
              <w:right w:w="0" w:type="dxa"/>
            </w:tcMar>
            <w:vAlign w:val="center"/>
          </w:tcPr>
          <w:p w14:paraId="1C37A78D"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0.117±0.180</w:t>
            </w:r>
          </w:p>
        </w:tc>
        <w:tc>
          <w:tcPr>
            <w:tcW w:w="851" w:type="dxa"/>
            <w:tcBorders>
              <w:top w:val="nil"/>
              <w:left w:val="nil"/>
              <w:bottom w:val="nil"/>
              <w:right w:val="nil"/>
            </w:tcBorders>
            <w:tcMar>
              <w:left w:w="0" w:type="dxa"/>
              <w:bottom w:w="0" w:type="dxa"/>
              <w:right w:w="0" w:type="dxa"/>
            </w:tcMar>
            <w:vAlign w:val="center"/>
          </w:tcPr>
          <w:p w14:paraId="1E2380D3"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0.651</w:t>
            </w:r>
          </w:p>
        </w:tc>
        <w:tc>
          <w:tcPr>
            <w:tcW w:w="850" w:type="dxa"/>
            <w:tcBorders>
              <w:top w:val="nil"/>
              <w:left w:val="nil"/>
              <w:bottom w:val="nil"/>
              <w:right w:val="nil"/>
            </w:tcBorders>
            <w:tcMar>
              <w:left w:w="0" w:type="dxa"/>
              <w:bottom w:w="0" w:type="dxa"/>
              <w:right w:w="0" w:type="dxa"/>
            </w:tcMar>
            <w:vAlign w:val="center"/>
          </w:tcPr>
          <w:p w14:paraId="5311E5C2"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0.515</w:t>
            </w:r>
          </w:p>
        </w:tc>
        <w:tc>
          <w:tcPr>
            <w:tcW w:w="494" w:type="dxa"/>
            <w:gridSpan w:val="2"/>
            <w:tcBorders>
              <w:top w:val="nil"/>
              <w:left w:val="nil"/>
              <w:bottom w:val="nil"/>
              <w:right w:val="nil"/>
            </w:tcBorders>
            <w:tcMar>
              <w:left w:w="0" w:type="dxa"/>
              <w:bottom w:w="0" w:type="dxa"/>
              <w:right w:w="0" w:type="dxa"/>
            </w:tcMar>
            <w:vAlign w:val="center"/>
          </w:tcPr>
          <w:p w14:paraId="70A82BC6"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p>
        </w:tc>
      </w:tr>
      <w:tr w:rsidR="004A2C6B" w:rsidRPr="00EB73AF" w14:paraId="036B5CB1" w14:textId="77777777" w:rsidTr="004A2C6B">
        <w:trPr>
          <w:trHeight w:val="75"/>
        </w:trPr>
        <w:tc>
          <w:tcPr>
            <w:tcW w:w="5387" w:type="dxa"/>
            <w:tcBorders>
              <w:top w:val="nil"/>
              <w:left w:val="nil"/>
              <w:bottom w:val="nil"/>
              <w:right w:val="nil"/>
            </w:tcBorders>
            <w:tcMar>
              <w:left w:w="0" w:type="dxa"/>
              <w:bottom w:w="0" w:type="dxa"/>
              <w:right w:w="0" w:type="dxa"/>
            </w:tcMar>
            <w:vAlign w:val="center"/>
          </w:tcPr>
          <w:p w14:paraId="7EFD3371"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level:language (TM [bilingual])</w:t>
            </w:r>
          </w:p>
        </w:tc>
        <w:tc>
          <w:tcPr>
            <w:tcW w:w="1559" w:type="dxa"/>
            <w:tcBorders>
              <w:top w:val="nil"/>
              <w:left w:val="nil"/>
              <w:bottom w:val="nil"/>
              <w:right w:val="nil"/>
            </w:tcBorders>
            <w:tcMar>
              <w:left w:w="0" w:type="dxa"/>
              <w:bottom w:w="0" w:type="dxa"/>
              <w:right w:w="0" w:type="dxa"/>
            </w:tcMar>
            <w:vAlign w:val="center"/>
          </w:tcPr>
          <w:p w14:paraId="52AB6D43"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−0.248±0.126</w:t>
            </w:r>
          </w:p>
        </w:tc>
        <w:tc>
          <w:tcPr>
            <w:tcW w:w="851" w:type="dxa"/>
            <w:tcBorders>
              <w:top w:val="nil"/>
              <w:left w:val="nil"/>
              <w:bottom w:val="nil"/>
              <w:right w:val="nil"/>
            </w:tcBorders>
            <w:tcMar>
              <w:left w:w="0" w:type="dxa"/>
              <w:bottom w:w="0" w:type="dxa"/>
              <w:right w:w="0" w:type="dxa"/>
            </w:tcMar>
            <w:vAlign w:val="center"/>
          </w:tcPr>
          <w:p w14:paraId="158B7CE2"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−1.974</w:t>
            </w:r>
          </w:p>
        </w:tc>
        <w:tc>
          <w:tcPr>
            <w:tcW w:w="850" w:type="dxa"/>
            <w:tcBorders>
              <w:top w:val="nil"/>
              <w:left w:val="nil"/>
              <w:bottom w:val="nil"/>
              <w:right w:val="nil"/>
            </w:tcBorders>
            <w:tcMar>
              <w:left w:w="0" w:type="dxa"/>
              <w:bottom w:w="0" w:type="dxa"/>
              <w:right w:w="0" w:type="dxa"/>
            </w:tcMar>
            <w:vAlign w:val="center"/>
          </w:tcPr>
          <w:p w14:paraId="23429FE7"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0.048</w:t>
            </w:r>
          </w:p>
        </w:tc>
        <w:tc>
          <w:tcPr>
            <w:tcW w:w="494" w:type="dxa"/>
            <w:gridSpan w:val="2"/>
            <w:tcBorders>
              <w:top w:val="nil"/>
              <w:left w:val="nil"/>
              <w:bottom w:val="nil"/>
              <w:right w:val="nil"/>
            </w:tcBorders>
            <w:tcMar>
              <w:left w:w="0" w:type="dxa"/>
              <w:bottom w:w="0" w:type="dxa"/>
              <w:right w:w="0" w:type="dxa"/>
            </w:tcMar>
            <w:vAlign w:val="center"/>
          </w:tcPr>
          <w:p w14:paraId="4DFD246E"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7798924F"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48CFA5C7"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level:language (TSM)</w:t>
            </w:r>
          </w:p>
        </w:tc>
        <w:tc>
          <w:tcPr>
            <w:tcW w:w="1559" w:type="dxa"/>
            <w:tcBorders>
              <w:top w:val="nil"/>
              <w:left w:val="nil"/>
              <w:bottom w:val="nil"/>
              <w:right w:val="nil"/>
            </w:tcBorders>
            <w:tcMar>
              <w:left w:w="0" w:type="dxa"/>
              <w:bottom w:w="0" w:type="dxa"/>
              <w:right w:w="0" w:type="dxa"/>
            </w:tcMar>
            <w:vAlign w:val="center"/>
          </w:tcPr>
          <w:p w14:paraId="611794F7"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−0.809±0.113</w:t>
            </w:r>
          </w:p>
        </w:tc>
        <w:tc>
          <w:tcPr>
            <w:tcW w:w="851" w:type="dxa"/>
            <w:tcBorders>
              <w:top w:val="nil"/>
              <w:left w:val="nil"/>
              <w:bottom w:val="nil"/>
              <w:right w:val="nil"/>
            </w:tcBorders>
            <w:tcMar>
              <w:left w:w="0" w:type="dxa"/>
              <w:bottom w:w="0" w:type="dxa"/>
              <w:right w:w="0" w:type="dxa"/>
            </w:tcMar>
            <w:vAlign w:val="center"/>
          </w:tcPr>
          <w:p w14:paraId="60BAA11E"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−7.151</w:t>
            </w:r>
          </w:p>
        </w:tc>
        <w:tc>
          <w:tcPr>
            <w:tcW w:w="850" w:type="dxa"/>
            <w:tcBorders>
              <w:top w:val="nil"/>
              <w:left w:val="nil"/>
              <w:bottom w:val="nil"/>
              <w:right w:val="nil"/>
            </w:tcBorders>
            <w:tcMar>
              <w:left w:w="0" w:type="dxa"/>
              <w:bottom w:w="0" w:type="dxa"/>
              <w:right w:w="0" w:type="dxa"/>
            </w:tcMar>
            <w:vAlign w:val="center"/>
          </w:tcPr>
          <w:p w14:paraId="72C3F07C"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61EDB729"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7DE1DE43"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3331C88D"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(TM [bilingual]):preceding tone offset</w:t>
            </w:r>
          </w:p>
        </w:tc>
        <w:tc>
          <w:tcPr>
            <w:tcW w:w="1559" w:type="dxa"/>
            <w:tcBorders>
              <w:top w:val="nil"/>
              <w:left w:val="nil"/>
              <w:bottom w:val="nil"/>
              <w:right w:val="nil"/>
            </w:tcBorders>
            <w:tcMar>
              <w:left w:w="0" w:type="dxa"/>
              <w:bottom w:w="0" w:type="dxa"/>
              <w:right w:w="0" w:type="dxa"/>
            </w:tcMar>
            <w:vAlign w:val="center"/>
          </w:tcPr>
          <w:p w14:paraId="17E799A0"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0.439±0.130</w:t>
            </w:r>
          </w:p>
        </w:tc>
        <w:tc>
          <w:tcPr>
            <w:tcW w:w="851" w:type="dxa"/>
            <w:tcBorders>
              <w:top w:val="nil"/>
              <w:left w:val="nil"/>
              <w:bottom w:val="nil"/>
              <w:right w:val="nil"/>
            </w:tcBorders>
            <w:tcMar>
              <w:left w:w="0" w:type="dxa"/>
              <w:bottom w:w="0" w:type="dxa"/>
              <w:right w:w="0" w:type="dxa"/>
            </w:tcMar>
            <w:vAlign w:val="center"/>
          </w:tcPr>
          <w:p w14:paraId="2AFD3EC8"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3.387</w:t>
            </w:r>
          </w:p>
        </w:tc>
        <w:tc>
          <w:tcPr>
            <w:tcW w:w="850" w:type="dxa"/>
            <w:tcBorders>
              <w:top w:val="nil"/>
              <w:left w:val="nil"/>
              <w:bottom w:val="nil"/>
              <w:right w:val="nil"/>
            </w:tcBorders>
            <w:tcMar>
              <w:left w:w="0" w:type="dxa"/>
              <w:bottom w:w="0" w:type="dxa"/>
              <w:right w:w="0" w:type="dxa"/>
            </w:tcMar>
            <w:vAlign w:val="center"/>
          </w:tcPr>
          <w:p w14:paraId="505E4636"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4BB8715D"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00AA6D80" w14:textId="77777777" w:rsidTr="004A2C6B">
        <w:trPr>
          <w:trHeight w:val="85"/>
        </w:trPr>
        <w:tc>
          <w:tcPr>
            <w:tcW w:w="5387" w:type="dxa"/>
            <w:tcBorders>
              <w:top w:val="nil"/>
              <w:left w:val="nil"/>
              <w:bottom w:val="nil"/>
              <w:right w:val="nil"/>
            </w:tcBorders>
            <w:tcMar>
              <w:left w:w="0" w:type="dxa"/>
              <w:bottom w:w="0" w:type="dxa"/>
              <w:right w:w="0" w:type="dxa"/>
            </w:tcMar>
            <w:vAlign w:val="center"/>
          </w:tcPr>
          <w:p w14:paraId="5D18BC9B"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(TSM):preceding tone offset</w:t>
            </w:r>
          </w:p>
        </w:tc>
        <w:tc>
          <w:tcPr>
            <w:tcW w:w="1559" w:type="dxa"/>
            <w:tcBorders>
              <w:top w:val="nil"/>
              <w:left w:val="nil"/>
              <w:bottom w:val="nil"/>
              <w:right w:val="nil"/>
            </w:tcBorders>
            <w:tcMar>
              <w:left w:w="0" w:type="dxa"/>
              <w:bottom w:w="0" w:type="dxa"/>
              <w:right w:w="0" w:type="dxa"/>
            </w:tcMar>
            <w:vAlign w:val="center"/>
          </w:tcPr>
          <w:p w14:paraId="19086159"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0.802±0.096</w:t>
            </w:r>
          </w:p>
        </w:tc>
        <w:tc>
          <w:tcPr>
            <w:tcW w:w="851" w:type="dxa"/>
            <w:tcBorders>
              <w:top w:val="nil"/>
              <w:left w:val="nil"/>
              <w:bottom w:val="nil"/>
              <w:right w:val="nil"/>
            </w:tcBorders>
            <w:tcMar>
              <w:left w:w="0" w:type="dxa"/>
              <w:bottom w:w="0" w:type="dxa"/>
              <w:right w:w="0" w:type="dxa"/>
            </w:tcMar>
            <w:vAlign w:val="center"/>
          </w:tcPr>
          <w:p w14:paraId="718B6168"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8.379</w:t>
            </w:r>
          </w:p>
        </w:tc>
        <w:tc>
          <w:tcPr>
            <w:tcW w:w="850" w:type="dxa"/>
            <w:tcBorders>
              <w:top w:val="nil"/>
              <w:left w:val="nil"/>
              <w:bottom w:val="nil"/>
              <w:right w:val="nil"/>
            </w:tcBorders>
            <w:tcMar>
              <w:left w:w="0" w:type="dxa"/>
              <w:bottom w:w="0" w:type="dxa"/>
              <w:right w:w="0" w:type="dxa"/>
            </w:tcMar>
            <w:vAlign w:val="center"/>
          </w:tcPr>
          <w:p w14:paraId="0B24B6F7"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494" w:type="dxa"/>
            <w:gridSpan w:val="2"/>
            <w:tcBorders>
              <w:top w:val="nil"/>
              <w:left w:val="nil"/>
              <w:bottom w:val="nil"/>
              <w:right w:val="nil"/>
            </w:tcBorders>
            <w:tcMar>
              <w:left w:w="0" w:type="dxa"/>
              <w:bottom w:w="0" w:type="dxa"/>
              <w:right w:w="0" w:type="dxa"/>
            </w:tcMar>
            <w:vAlign w:val="center"/>
          </w:tcPr>
          <w:p w14:paraId="1A8BCFAA"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EB73AF" w14:paraId="04915585" w14:textId="77777777" w:rsidTr="004A2C6B">
        <w:trPr>
          <w:trHeight w:val="85"/>
        </w:trPr>
        <w:tc>
          <w:tcPr>
            <w:tcW w:w="5387" w:type="dxa"/>
            <w:tcBorders>
              <w:top w:val="nil"/>
              <w:left w:val="nil"/>
              <w:bottom w:val="single" w:sz="4" w:space="0" w:color="auto"/>
              <w:right w:val="nil"/>
            </w:tcBorders>
            <w:tcMar>
              <w:left w:w="0" w:type="dxa"/>
              <w:bottom w:w="0" w:type="dxa"/>
              <w:right w:w="0" w:type="dxa"/>
            </w:tcMar>
            <w:vAlign w:val="center"/>
          </w:tcPr>
          <w:p w14:paraId="25377894" w14:textId="77777777" w:rsidR="004A2C6B" w:rsidRPr="00EB73AF" w:rsidRDefault="004A2C6B" w:rsidP="004A2C6B">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(TM [bilingual]):preceding tone (contrast 1)</w:t>
            </w:r>
          </w:p>
        </w:tc>
        <w:tc>
          <w:tcPr>
            <w:tcW w:w="1559" w:type="dxa"/>
            <w:tcBorders>
              <w:top w:val="nil"/>
              <w:left w:val="nil"/>
              <w:bottom w:val="single" w:sz="4" w:space="0" w:color="auto"/>
              <w:right w:val="nil"/>
            </w:tcBorders>
            <w:tcMar>
              <w:left w:w="0" w:type="dxa"/>
              <w:bottom w:w="0" w:type="dxa"/>
              <w:right w:w="0" w:type="dxa"/>
            </w:tcMar>
            <w:vAlign w:val="center"/>
          </w:tcPr>
          <w:p w14:paraId="5C199EA1"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0.714±0.312</w:t>
            </w:r>
          </w:p>
        </w:tc>
        <w:tc>
          <w:tcPr>
            <w:tcW w:w="851" w:type="dxa"/>
            <w:tcBorders>
              <w:top w:val="nil"/>
              <w:left w:val="nil"/>
              <w:bottom w:val="single" w:sz="4" w:space="0" w:color="auto"/>
              <w:right w:val="nil"/>
            </w:tcBorders>
            <w:tcMar>
              <w:left w:w="0" w:type="dxa"/>
              <w:bottom w:w="0" w:type="dxa"/>
              <w:right w:w="0" w:type="dxa"/>
            </w:tcMar>
            <w:vAlign w:val="center"/>
          </w:tcPr>
          <w:p w14:paraId="5DE77C29"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2.288</w:t>
            </w:r>
          </w:p>
        </w:tc>
        <w:tc>
          <w:tcPr>
            <w:tcW w:w="850" w:type="dxa"/>
            <w:tcBorders>
              <w:top w:val="nil"/>
              <w:left w:val="nil"/>
              <w:bottom w:val="single" w:sz="4" w:space="0" w:color="auto"/>
              <w:right w:val="nil"/>
            </w:tcBorders>
            <w:tcMar>
              <w:left w:w="0" w:type="dxa"/>
              <w:bottom w:w="0" w:type="dxa"/>
              <w:right w:w="0" w:type="dxa"/>
            </w:tcMar>
            <w:vAlign w:val="center"/>
          </w:tcPr>
          <w:p w14:paraId="1493282F" w14:textId="77777777" w:rsidR="004A2C6B" w:rsidRPr="00EB73AF" w:rsidRDefault="004A2C6B" w:rsidP="004A2C6B">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0.022</w:t>
            </w:r>
          </w:p>
        </w:tc>
        <w:tc>
          <w:tcPr>
            <w:tcW w:w="494" w:type="dxa"/>
            <w:gridSpan w:val="2"/>
            <w:tcBorders>
              <w:top w:val="nil"/>
              <w:left w:val="nil"/>
              <w:bottom w:val="single" w:sz="4" w:space="0" w:color="auto"/>
              <w:right w:val="nil"/>
            </w:tcBorders>
            <w:tcMar>
              <w:left w:w="0" w:type="dxa"/>
              <w:bottom w:w="0" w:type="dxa"/>
              <w:right w:w="0" w:type="dxa"/>
            </w:tcMar>
            <w:vAlign w:val="center"/>
          </w:tcPr>
          <w:p w14:paraId="6C794D24" w14:textId="77777777" w:rsidR="004A2C6B" w:rsidRPr="00EB73AF" w:rsidRDefault="004A2C6B" w:rsidP="004A2C6B">
            <w:pPr>
              <w:pStyle w:val="JASABodyText"/>
              <w:spacing w:line="240" w:lineRule="auto"/>
              <w:ind w:firstLine="0"/>
              <w:rPr>
                <w:rFonts w:ascii="Times New Roman" w:eastAsia="STKaiti" w:hAnsi="Times New Roman" w:cs="Times New Roman"/>
                <w:iCs/>
                <w:color w:val="000000" w:themeColor="text1"/>
                <w:highlight w:val="yellow"/>
              </w:rPr>
            </w:pPr>
            <w:r>
              <w:rPr>
                <w:rFonts w:ascii="Times New Roman" w:eastAsia="STKaiti" w:hAnsi="Times New Roman" w:cs="Times New Roman"/>
                <w:iCs/>
                <w:color w:val="000000" w:themeColor="text1"/>
                <w:highlight w:val="yellow"/>
              </w:rPr>
              <w:t>*</w:t>
            </w:r>
          </w:p>
        </w:tc>
      </w:tr>
      <w:tr w:rsidR="004A2C6B" w:rsidRPr="0032528B" w14:paraId="181C5633" w14:textId="77777777" w:rsidTr="004A2C6B">
        <w:trPr>
          <w:trHeight w:val="78"/>
        </w:trPr>
        <w:tc>
          <w:tcPr>
            <w:tcW w:w="9141" w:type="dxa"/>
            <w:gridSpan w:val="6"/>
            <w:tcBorders>
              <w:top w:val="single" w:sz="4" w:space="0" w:color="auto"/>
              <w:left w:val="nil"/>
              <w:bottom w:val="double" w:sz="4" w:space="0" w:color="000000"/>
              <w:right w:val="nil"/>
            </w:tcBorders>
            <w:tcMar>
              <w:left w:w="0" w:type="dxa"/>
              <w:bottom w:w="0" w:type="dxa"/>
              <w:right w:w="0" w:type="dxa"/>
            </w:tcMar>
            <w:vAlign w:val="center"/>
          </w:tcPr>
          <w:p w14:paraId="568A70F5" w14:textId="77777777" w:rsidR="004A2C6B" w:rsidRPr="0032528B" w:rsidRDefault="004A2C6B" w:rsidP="004A2C6B">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Preceding tone contrasts: 1 (low [21] tone=1; high-level [55] tone=−1); 2 (mid-level [33] tone=1; high-level [55] tone=−1); 3 (rising [35] tone=1; high-level [55] tone=−1); 4 (falling [51] tone=1; high-level [55] tone=−1)</w:t>
            </w:r>
          </w:p>
        </w:tc>
      </w:tr>
    </w:tbl>
    <w:p w14:paraId="1E8F0BD6" w14:textId="6C547111" w:rsidR="00521093" w:rsidRPr="0032528B" w:rsidRDefault="00521093" w:rsidP="00521093">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Formula:</w:t>
      </w:r>
      <w:r>
        <w:rPr>
          <w:rFonts w:ascii="Times New Roman" w:eastAsia="Calibri" w:hAnsi="Times New Roman" w:cs="Times New Roman"/>
          <w:color w:val="000000" w:themeColor="text1"/>
          <w:kern w:val="2"/>
          <w:sz w:val="22"/>
          <w:shd w:val="pct15" w:color="auto" w:fill="FFFFFF"/>
          <w:lang w:eastAsia="zh-TW"/>
          <w14:ligatures w14:val="standardContextual"/>
        </w:rPr>
        <w:t xml:space="preserve"> </w:t>
      </w:r>
      <w:r>
        <w:rPr>
          <w:rFonts w:ascii="Times New Roman" w:eastAsia="STKaiti" w:hAnsi="Times New Roman" w:cs="Times New Roman"/>
          <w:color w:val="000000" w:themeColor="text1"/>
        </w:rPr>
        <w:t xml:space="preserve">falling tone chosen </w:t>
      </w:r>
      <w:r>
        <w:rPr>
          <w:rFonts w:ascii="Cambria Math" w:eastAsia="STKaiti" w:hAnsi="Cambria Math" w:cs="Cambria Math"/>
          <w:color w:val="000000" w:themeColor="text1"/>
        </w:rPr>
        <w:t>∼</w:t>
      </w:r>
      <w:r>
        <w:rPr>
          <w:rFonts w:ascii="Times New Roman" w:eastAsia="STKaiti" w:hAnsi="Times New Roman" w:cs="Times New Roman"/>
          <w:color w:val="000000" w:themeColor="text1"/>
        </w:rPr>
        <w:t xml:space="preserve"> level * language + preceding tone offset * language + preceding tone identity * language + (1 | participant)</w:t>
      </w:r>
    </w:p>
    <w:p w14:paraId="70C5C843" w14:textId="77777777" w:rsidR="00521093" w:rsidRPr="0032528B" w:rsidRDefault="00521093" w:rsidP="00521093">
      <w:pPr>
        <w:pStyle w:val="JASABodyText"/>
        <w:ind w:firstLine="0"/>
        <w:rPr>
          <w:rFonts w:ascii="Times New Roman" w:eastAsia="STKaiti" w:hAnsi="Times New Roman" w:cs="Times New Roman"/>
          <w:color w:val="000000" w:themeColor="text1"/>
        </w:rPr>
      </w:pPr>
    </w:p>
    <w:p w14:paraId="6BB5EDCC" w14:textId="36EB9020" w:rsidR="003213C4" w:rsidRPr="0032528B" w:rsidRDefault="004C1004" w:rsidP="00E4188D">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Overall, both models report comparable results.</w:t>
      </w:r>
      <w:r>
        <w:rPr>
          <w:rFonts w:ascii="Times New Roman" w:eastAsia="STKaiti" w:hAnsi="Times New Roman" w:cs="Times New Roman"/>
          <w:color w:val="000000" w:themeColor="text1"/>
        </w:rPr>
        <w:t xml:space="preserve"> As expected, there exists a positive </w:t>
      </w:r>
      <w:r>
        <w:rPr>
          <w:rFonts w:ascii="Times New Roman" w:eastAsia="STKaiti" w:hAnsi="Times New Roman" w:cs="Times New Roman"/>
          <w:color w:val="000000" w:themeColor="text1"/>
          <w:highlight w:val="yellow"/>
        </w:rPr>
        <w:t>effect of</w:t>
      </w:r>
      <w:r>
        <w:rPr>
          <w:rFonts w:ascii="Times New Roman" w:eastAsia="STKaiti" w:hAnsi="Times New Roman" w:cs="Times New Roman"/>
          <w:color w:val="000000" w:themeColor="text1"/>
        </w:rPr>
        <w:t xml:space="preserve"> the level of the target (second) syllable in the stimulus </w:t>
      </w:r>
      <w:r>
        <w:rPr>
          <w:rFonts w:ascii="Times New Roman" w:eastAsia="STKaiti" w:hAnsi="Times New Roman" w:cs="Times New Roman"/>
          <w:color w:val="000000" w:themeColor="text1"/>
          <w:highlight w:val="yellow"/>
        </w:rPr>
        <w:t>on</w:t>
      </w:r>
      <w:r>
        <w:rPr>
          <w:rFonts w:ascii="Times New Roman" w:eastAsia="STKaiti" w:hAnsi="Times New Roman" w:cs="Times New Roman"/>
          <w:color w:val="000000" w:themeColor="text1"/>
        </w:rPr>
        <w:t xml:space="preserve"> the participants’ falling tone response (</w:t>
      </w:r>
      <w:r>
        <w:rPr>
          <w:rFonts w:ascii="Times New Roman" w:eastAsia="STKaiti" w:hAnsi="Times New Roman" w:cs="Times New Roman"/>
          <w:color w:val="000000" w:themeColor="text1"/>
          <w:highlight w:val="yellow"/>
        </w:rPr>
        <w:t xml:space="preserve">concise: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=2.893;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 xml:space="preserve">&lt;0.001; comprehensive: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=2.004</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&lt;0.001). When the target tone went from more low-tone-like (lower level) to more falling-tone-like (higher level), participants were more likely to perceive the target as a falling tone.</w:t>
      </w:r>
    </w:p>
    <w:p w14:paraId="45A3FBE3" w14:textId="1F7068FE" w:rsidR="003213C4" w:rsidRPr="0032528B" w:rsidRDefault="003213C4" w:rsidP="003213C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Specifically, the same perceptual compensation effects seen in Zhang et al. (2022) were borne out in the results. A negative regression </w:t>
      </w:r>
      <w:r>
        <w:rPr>
          <w:rFonts w:ascii="Times New Roman" w:eastAsia="STKaiti" w:hAnsi="Times New Roman" w:cs="Times New Roman"/>
          <w:color w:val="000000" w:themeColor="text1"/>
          <w:highlight w:val="yellow"/>
        </w:rPr>
        <w:t>effect of</w:t>
      </w:r>
      <w:r>
        <w:rPr>
          <w:rFonts w:ascii="Times New Roman" w:eastAsia="STKaiti" w:hAnsi="Times New Roman" w:cs="Times New Roman"/>
          <w:color w:val="000000" w:themeColor="text1"/>
        </w:rPr>
        <w:t xml:space="preserve"> the preceding tone offset </w:t>
      </w:r>
      <w:r>
        <w:rPr>
          <w:rFonts w:ascii="Times New Roman" w:eastAsia="STKaiti" w:hAnsi="Times New Roman" w:cs="Times New Roman"/>
          <w:color w:val="000000" w:themeColor="text1"/>
          <w:highlight w:val="yellow"/>
        </w:rPr>
        <w:t>on</w:t>
      </w:r>
      <w:r>
        <w:rPr>
          <w:rFonts w:ascii="Times New Roman" w:eastAsia="STKaiti" w:hAnsi="Times New Roman" w:cs="Times New Roman"/>
          <w:color w:val="000000" w:themeColor="text1"/>
        </w:rPr>
        <w:t xml:space="preserve"> the participants’ falling tone response </w:t>
      </w:r>
      <w:r>
        <w:rPr>
          <w:rFonts w:ascii="Times New Roman" w:eastAsia="STKaiti" w:hAnsi="Times New Roman" w:cs="Times New Roman"/>
          <w:color w:val="000000" w:themeColor="text1"/>
          <w:highlight w:val="yellow"/>
        </w:rPr>
        <w:t xml:space="preserve">was found (concise: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=−1.792;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 xml:space="preserve">&lt;0.001; comprehensive: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=−1.865</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&lt;0.001). When a target tone was preceded by a higher tone offset, the participants tended to perceive it as a low tone. On the flip side, when a lower tone offset preceded the target tone, the target was more likely to be taken as a falling tone.</w:t>
      </w:r>
    </w:p>
    <w:p w14:paraId="68EDAF7E" w14:textId="6314434F" w:rsidR="003213C4" w:rsidRPr="0032528B" w:rsidRDefault="003213C4" w:rsidP="003213C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More importantly, linguistic differences were attested between both TM (monolingual) participants and TSM speakers, as well as between the monolingual and the bilingual participants’ TM. Firstly, while all three language groups demonstrated rather categorical perception on the low-tone-to-falling-tone continuum (Figure 4), the bilingual participants’ responses were less categorical (Figure 4b), compared to the monolingual speakers (Figure 4a; as indicated by the negative interactions between the level and both TSM and TM [bilingual]; </w:t>
      </w:r>
      <w:r>
        <w:rPr>
          <w:rFonts w:ascii="Times New Roman" w:eastAsia="STKaiti" w:hAnsi="Times New Roman" w:cs="Times New Roman"/>
          <w:color w:val="000000" w:themeColor="text1"/>
          <w:highlight w:val="yellow"/>
        </w:rPr>
        <w:t xml:space="preserve">concise: TSM: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=−1.354;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 xml:space="preserve">&lt;0.001; TM [bilingual]: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=−0.903;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&lt;0.001; comprehensive:</w:t>
      </w:r>
      <w:r>
        <w:rPr>
          <w:rFonts w:ascii="Times New Roman" w:eastAsia="STKaiti" w:hAnsi="Times New Roman" w:cs="Times New Roman"/>
          <w:color w:val="000000" w:themeColor="text1"/>
        </w:rPr>
        <w:t xml:space="preserve"> TSM: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w:t>
      </w:r>
      <w:r>
        <w:rPr>
          <w:rFonts w:ascii="Times New Roman" w:eastAsia="STKaiti" w:hAnsi="Times New Roman" w:cs="Times New Roman"/>
          <w:color w:val="000000" w:themeColor="text1"/>
          <w:highlight w:val="yellow"/>
        </w:rPr>
        <w:t>0.809</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&lt;0.001; TM [bilingual]: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w:t>
      </w:r>
      <w:r>
        <w:rPr>
          <w:rFonts w:ascii="Times New Roman" w:eastAsia="STKaiti" w:hAnsi="Times New Roman" w:cs="Times New Roman"/>
          <w:color w:val="000000" w:themeColor="text1"/>
          <w:highlight w:val="yellow"/>
        </w:rPr>
        <w:t>0.248</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w:t>
      </w:r>
      <w:r>
        <w:rPr>
          <w:rFonts w:ascii="Times New Roman" w:eastAsia="STKaiti" w:hAnsi="Times New Roman" w:cs="Times New Roman"/>
          <w:color w:val="000000" w:themeColor="text1"/>
          <w:highlight w:val="yellow"/>
        </w:rPr>
        <w:t>0.048</w:t>
      </w:r>
      <w:r>
        <w:rPr>
          <w:rFonts w:ascii="Times New Roman" w:eastAsia="STKaiti" w:hAnsi="Times New Roman" w:cs="Times New Roman"/>
          <w:color w:val="000000" w:themeColor="text1"/>
        </w:rPr>
        <w:t xml:space="preserve">). This — as will also be discussed in the next experiment — may be attributed to the tone sandhi process in TSM, where the low tone </w:t>
        <w:lastRenderedPageBreak/>
        <w:t xml:space="preserve">is realized as a falling tone (cf. Appendix D). This alternation could reduce the categorical distinction between the two tones in TSM, thereby influencing the bilingual participants’ perception in TM.  </w:t>
      </w:r>
    </w:p>
    <w:p w14:paraId="01726D90" w14:textId="3025D31A" w:rsidR="003213C4" w:rsidRPr="0032528B" w:rsidRDefault="003213C4" w:rsidP="003213C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addition to the difference in categorical distinction, the main focus of this experiment is to observe where linguistic differences lie in the perceptual compensation between TM and TSM. Our results show that while </w:t>
      </w:r>
      <w:r>
        <w:rPr>
          <w:rFonts w:ascii="Times New Roman" w:eastAsia="STKaiti" w:hAnsi="Times New Roman" w:cs="Times New Roman"/>
          <w:color w:val="000000" w:themeColor="text1"/>
          <w:highlight w:val="yellow"/>
        </w:rPr>
        <w:t>there was</w:t>
      </w:r>
      <w:r>
        <w:rPr>
          <w:rFonts w:ascii="Times New Roman" w:eastAsia="STKaiti" w:hAnsi="Times New Roman" w:cs="Times New Roman"/>
          <w:color w:val="000000" w:themeColor="text1"/>
        </w:rPr>
        <w:t xml:space="preserve"> a negative </w:t>
      </w:r>
      <w:r>
        <w:rPr>
          <w:rFonts w:ascii="Times New Roman" w:eastAsia="STKaiti" w:hAnsi="Times New Roman" w:cs="Times New Roman"/>
          <w:color w:val="000000" w:themeColor="text1"/>
          <w:highlight w:val="yellow"/>
        </w:rPr>
        <w:t>effect of</w:t>
      </w:r>
      <w:r>
        <w:rPr>
          <w:rFonts w:ascii="Times New Roman" w:eastAsia="STKaiti" w:hAnsi="Times New Roman" w:cs="Times New Roman"/>
          <w:color w:val="000000" w:themeColor="text1"/>
        </w:rPr>
        <w:t xml:space="preserve"> the preceding tone offset on the falling tone response (perceptual compensation), this effect was less pronounced in TSM (</w:t>
      </w:r>
      <w:r>
        <w:rPr>
          <w:rFonts w:ascii="Times New Roman" w:eastAsia="STKaiti" w:hAnsi="Times New Roman" w:cs="Times New Roman"/>
          <w:color w:val="000000" w:themeColor="text1"/>
          <w:highlight w:val="yellow"/>
        </w:rPr>
        <w:t xml:space="preserve">concise: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=1.214;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 xml:space="preserve">&lt;0.001; comprehensive: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=0.802</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&lt;0.001) and TM (</w:t>
      </w:r>
      <w:r>
        <w:rPr>
          <w:rFonts w:ascii="Times New Roman" w:eastAsia="STKaiti" w:hAnsi="Times New Roman" w:cs="Times New Roman"/>
          <w:color w:val="000000" w:themeColor="text1"/>
          <w:highlight w:val="yellow"/>
        </w:rPr>
        <w:t xml:space="preserve">bilingual; concise: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=0.675; </w:t>
      </w: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 xml:space="preserve">&lt;0.001; comprehensive: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=0.439</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&lt;0.001), as indicated by the positive coefficients of the preceding tone offset with these two language groups. This suggests that, compared to the baseline (TM), the negative effect of the preceding tone offset on the falling tone response was less robust in TSM and TM (bilingual).</w:t>
      </w:r>
    </w:p>
    <w:p w14:paraId="1DE1D94C" w14:textId="684AA29E" w:rsidR="003213C4" w:rsidRPr="0032528B" w:rsidRDefault="003213C4" w:rsidP="003213C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To compare whether there also existed a difference in the magnitude of perceptual compensation within the bilingual participants when they were perceiving the TSM vs. TM tones, a follow-up regression model</w:t>
      </w:r>
      <w:r>
        <w:rPr>
          <w:rStyle w:val="Appelnotedebasdep"/>
          <w:rFonts w:eastAsia="STKaiti" w:cs="Times New Roman"/>
          <w:color w:val="000000" w:themeColor="text1"/>
        </w:rPr>
        <w:footnoteReference w:id="30"/>
      </w:r>
      <w:r>
        <w:rPr>
          <w:rFonts w:ascii="Times New Roman" w:eastAsia="STKaiti" w:hAnsi="Times New Roman" w:cs="Times New Roman"/>
          <w:color w:val="000000" w:themeColor="text1"/>
        </w:rPr>
        <w:t xml:space="preserve"> was conducted on the bilingual participants’ responses only. The results revealed that although the bilingual participants exhibited less perceptual compensation when perceiving both TSM and TM tones, TM tone perception was still more susceptible to perceptual compensation than TSM tone perception (</w:t>
      </w:r>
      <w:r>
        <w:rPr>
          <w:rFonts w:ascii="Times New Roman" w:eastAsia="STKaiti" w:hAnsi="Times New Roman" w:cs="Times New Roman"/>
          <w:color w:val="000000" w:themeColor="text1"/>
          <w:highlight w:val="yellow"/>
        </w:rPr>
        <w:t xml:space="preserve">concise: </w:t>
      </w:r>
      <m:oMath>
        <m:acc>
          <m:accPr>
            <m:ctrlPr>
              <w:rPr>
                <w:rFonts w:ascii="Cambria Math" w:eastAsia="STKaiti" w:hAnsi="Cambria Math" w:cs="Times New Roman"/>
                <w:i/>
                <w:color w:val="000000" w:themeColor="text1"/>
                <w:highlight w:val="yellow"/>
              </w:rPr>
            </m:ctrlPr>
          </m:accPr>
          <m:e>
            <m:r>
              <w:rPr>
                <w:rFonts w:ascii="Cambria Math" w:eastAsia="STKaiti" w:hAnsi="Cambria Math" w:cs="Times New Roman"/>
                <w:color w:val="000000" w:themeColor="text1"/>
                <w:highlight w:val="yellow"/>
              </w:rPr>
              <m:t>β</m:t>
            </m:r>
          </m:e>
        </m:acc>
      </m:oMath>
      <w:r>
        <w:rPr>
          <w:rFonts w:ascii="Times New Roman" w:eastAsia="STKaiti" w:hAnsi="Times New Roman" w:cs="Times New Roman"/>
          <w:color w:val="000000" w:themeColor="text1"/>
          <w:highlight w:val="yellow"/>
        </w:rPr>
        <w:t xml:space="preserve">=0.538; </w:t>
      </w:r>
      <w:r>
        <w:rPr>
          <w:rFonts w:ascii="Times New Roman" w:eastAsia="STKaiti" w:hAnsi="Times New Roman" w:cs="Times New Roman"/>
          <w:i/>
          <w:color w:val="000000" w:themeColor="text1"/>
          <w:highlight w:val="yellow"/>
        </w:rPr>
        <w:t>p&lt;</w:t>
      </w:r>
      <w:r>
        <w:rPr>
          <w:rFonts w:ascii="Times New Roman" w:eastAsia="STKaiti" w:hAnsi="Times New Roman" w:cs="Times New Roman"/>
          <w:color w:val="000000" w:themeColor="text1"/>
          <w:highlight w:val="yellow"/>
        </w:rPr>
        <w:t>0</w:t>
      </w:r>
      <w:r>
        <w:rPr>
          <w:rFonts w:ascii="Times New Roman" w:eastAsia="STKaiti" w:hAnsi="Times New Roman" w:cs="Times New Roman"/>
          <w:i/>
          <w:color w:val="000000" w:themeColor="text1"/>
          <w:highlight w:val="yellow"/>
        </w:rPr>
        <w:t>.</w:t>
      </w:r>
      <w:r>
        <w:rPr>
          <w:rFonts w:ascii="Times New Roman" w:eastAsia="STKaiti" w:hAnsi="Times New Roman" w:cs="Times New Roman"/>
          <w:color w:val="000000" w:themeColor="text1"/>
          <w:highlight w:val="yellow"/>
        </w:rPr>
        <w:t>001; comprehensive:</w:t>
      </w:r>
      <w:r>
        <w:rPr>
          <w:rFonts w:ascii="Times New Roman" w:eastAsia="STKaiti" w:hAnsi="Times New Roman" w:cs="Times New Roman"/>
          <w:color w:val="000000" w:themeColor="text1"/>
        </w:rPr>
        <w:t xml:space="preserv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=0.566;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001).</w:t>
      </w:r>
    </w:p>
    <w:p w14:paraId="7BF6EE31" w14:textId="33A77B3A" w:rsidR="003213C4" w:rsidRPr="0032528B" w:rsidRDefault="003213C4" w:rsidP="008F2F6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Lastly, in Zhang </w:t>
      </w:r>
      <w:r>
        <w:rPr>
          <w:rFonts w:ascii="Times New Roman" w:eastAsia="STKaiti" w:hAnsi="Times New Roman" w:cs="Times New Roman"/>
          <w:iCs/>
          <w:color w:val="000000" w:themeColor="text1"/>
        </w:rPr>
        <w:t>et al.’s</w:t>
      </w:r>
      <w:r>
        <w:rPr>
          <w:rFonts w:ascii="Times New Roman" w:eastAsia="STKaiti" w:hAnsi="Times New Roman" w:cs="Times New Roman"/>
          <w:i/>
          <w:color w:val="000000" w:themeColor="text1"/>
        </w:rPr>
        <w:t xml:space="preserve"> </w:t>
      </w:r>
      <w:r>
        <w:rPr>
          <w:rFonts w:ascii="Times New Roman" w:eastAsia="STKaiti" w:hAnsi="Times New Roman" w:cs="Times New Roman"/>
          <w:color w:val="000000" w:themeColor="text1"/>
        </w:rPr>
        <w:t xml:space="preserve">(2022) BM study, the rising (35) tone was found to induce a much larger degree of perceptual compensation, compared to the high-level (55) tone. This suggests a </w:t>
        <w:lastRenderedPageBreak/>
        <w:t xml:space="preserve">potential tone-specific difference that cannot be entirely accounted for by their tone offsets alone. Therefore, the preceding tone identity was also included in our model. However, the only contrast that was found to be significant </w:t>
      </w:r>
      <w:r>
        <w:rPr>
          <w:rFonts w:ascii="Times New Roman" w:eastAsia="STKaiti" w:hAnsi="Times New Roman" w:cs="Times New Roman"/>
          <w:color w:val="000000" w:themeColor="text1"/>
          <w:highlight w:val="yellow"/>
        </w:rPr>
        <w:t>in the comprehensive model</w:t>
      </w:r>
      <w:r>
        <w:rPr>
          <w:rFonts w:ascii="Times New Roman" w:eastAsia="STKaiti" w:hAnsi="Times New Roman" w:cs="Times New Roman"/>
          <w:color w:val="000000" w:themeColor="text1"/>
        </w:rPr>
        <w:t xml:space="preserve"> was the one between the low (21) tone and the high-level (55)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highlight w:val="yellow"/>
        </w:rPr>
        <w:t>=−2.573</w:t>
      </w:r>
      <w:r>
        <w:rPr>
          <w:rFonts w:ascii="Times New Roman" w:eastAsia="STKaiti" w:hAnsi="Times New Roman" w:cs="Times New Roman"/>
          <w:color w:val="000000" w:themeColor="text1"/>
        </w:rPr>
        <w:t xml:space="preserve">;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while the contrast between the rising (35) and the high-level (55) tones was not significant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=0.</w:t>
      </w:r>
      <w:r>
        <w:rPr>
          <w:rFonts w:ascii="Times New Roman" w:eastAsia="STKaiti" w:hAnsi="Times New Roman" w:cs="Times New Roman"/>
          <w:color w:val="000000" w:themeColor="text1"/>
          <w:highlight w:val="yellow"/>
        </w:rPr>
        <w:t>117</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=0.</w:t>
      </w:r>
      <w:r>
        <w:rPr>
          <w:rFonts w:ascii="Times New Roman" w:eastAsia="STKaiti" w:hAnsi="Times New Roman" w:cs="Times New Roman"/>
          <w:color w:val="000000" w:themeColor="text1"/>
          <w:highlight w:val="yellow"/>
        </w:rPr>
        <w:t>515</w:t>
      </w:r>
      <w:r>
        <w:rPr>
          <w:rFonts w:ascii="Times New Roman" w:eastAsia="STKaiti" w:hAnsi="Times New Roman" w:cs="Times New Roman"/>
          <w:color w:val="000000" w:themeColor="text1"/>
        </w:rPr>
        <w:t xml:space="preserve">). This could suggest that this contrast is not as robust in our data, and that more power may be required if there is a difference between the two tones’ influence on perceptual compensation. We did, however, see an effect of the low (21) tone that could not be explained by its offset alone. We see that in TSM, as also indicated by Figure 4c, the low (21) tone as the preceding tone did not increase, but reduced the falling tone response. Once again, this may be a bilingual influence. In TM’s tone sandhi, a low tone becomes a rising tone before another low tone. As such, for TSM speakers who are also a speaker of TM, a consecutive low-low tone sequence could be illusorily perceived as a rising-low tone sequence. This, then, could explain why the perception of the target tone with a preceding low tone patterns similarly with the perception when it was preceded by the high-offset-ending high tone and rising tone.</w:t>
      </w:r>
      <w:r>
        <w:rPr>
          <w:rStyle w:val="Appelnotedebasdep"/>
          <w:rFonts w:eastAsia="STKaiti" w:cs="Times New Roman"/>
          <w:color w:val="000000" w:themeColor="text1"/>
        </w:rPr>
        <w:footnoteReference w:id="31"/>
      </w:r>
      <w:r>
        <w:rPr>
          <w:rFonts w:ascii="Times New Roman" w:eastAsia="STKaiti" w:hAnsi="Times New Roman" w:cs="Times New Roman"/>
          <w:color w:val="000000" w:themeColor="text1"/>
        </w:rPr>
        <w:t xml:space="preserve"> </w:t>
      </w:r>
      <w:r>
        <w:rPr>
          <w:rFonts w:ascii="Times New Roman" w:eastAsia="STKaiti" w:hAnsi="Times New Roman" w:cs="Times New Roman"/>
          <w:color w:val="000000" w:themeColor="text1"/>
          <w:lang w:eastAsia="zh-TW"/>
        </w:rPr>
        <w:t>Alt</w:t>
      </w:r>
      <w:r>
        <w:rPr>
          <w:rFonts w:ascii="Times New Roman" w:eastAsia="STKaiti" w:hAnsi="Times New Roman" w:cs="Times New Roman"/>
          <w:color w:val="000000" w:themeColor="text1"/>
        </w:rPr>
        <w:t xml:space="preserve">hough the stimuli were in TSM and not TM, influence from TM may still play a role.</w:t>
      </w:r>
    </w:p>
    <w:p w14:paraId="5C23D2C0" w14:textId="3B02E304" w:rsidR="0094539C" w:rsidRPr="0032528B" w:rsidRDefault="003213C4" w:rsidP="003213C4">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Overall, the results in this experiment revealed that while perceptual compensation for tonal coarticulation exists in both TM and TSM, it is of a smaller magnitude in TSM than in TM. In addition, this linguistic difference, interestingly, was present not only between groups but also within the bilingual participants when perceiving different languages.</w:t>
      </w:r>
    </w:p>
    <w:p w14:paraId="40882C47" w14:textId="77777777" w:rsidR="0088597B" w:rsidRPr="0032528B" w:rsidRDefault="0088597B" w:rsidP="00A1648F">
      <w:pPr>
        <w:pStyle w:val="JASABodyText"/>
        <w:ind w:firstLine="0"/>
        <w:rPr>
          <w:rFonts w:ascii="Times New Roman" w:eastAsia="STKaiti" w:hAnsi="Times New Roman" w:cs="Times New Roman"/>
          <w:color w:val="000000" w:themeColor="text1"/>
        </w:rPr>
      </w:pPr>
    </w:p>
    <w:p w14:paraId="1B7F3605" w14:textId="1F84F30F" w:rsidR="007604F9"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lastRenderedPageBreak/>
        <w:t xml:space="preserve">3.3 Discussion</w:t>
      </w:r>
    </w:p>
    <w:p w14:paraId="676352BB" w14:textId="3FD10DF1" w:rsidR="007604F9" w:rsidRPr="0032528B" w:rsidRDefault="007604F9" w:rsidP="005732E2">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rPr>
        <w:t xml:space="preserve">Our experiment replicated the findings of Zhang et al. (2022). When the preceding context ended with a low tone offset (i.e., the falling 51 tone), the target tones were most prone to be perceived as falling tones. Alternatively, when the preceding context ended with a high F0 offset (i.e., a high-level [55] or rising [35] tone), the target tones were likely to be recognized as a low tone.</w:t>
      </w:r>
    </w:p>
    <w:p w14:paraId="50F60556" w14:textId="22EC065C" w:rsidR="007604F9" w:rsidRPr="0032528B" w:rsidRDefault="007604F9"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More crucially, our predictions for perceptual compensation for the two languages were borne out. Linguistic differences were found between TM and TSM. While TSM, as suggested in Wang (2002), demonstrated a certain degree of perceptual compensation in the face of tonal coarticulation, it was to a much lesser extent as compared with TM. In other words, when perceiving tones, TSM speakers may rely less on perceptual compensation to overcome the possible perceptual confusion caused by tonal coarticulation. This appears to be a plausible account if we consider the fact that TSM has a larger tone inventory than TM, and that a coarticulated tone can have a larger number of potential intended target tones for a listener to map back to through perceptual compensation. This limitation of recoverability may account for why we did not see a comparable perceptual compensation effect in TSM as we did in TM, despite the fact that TSM showed </w:t>
      </w:r>
      <w:r>
        <w:rPr>
          <w:rFonts w:ascii="Times New Roman" w:eastAsia="STKaiti" w:hAnsi="Times New Roman" w:cs="Times New Roman"/>
          <w:color w:val="000000" w:themeColor="text1"/>
          <w:highlight w:val="yellow"/>
        </w:rPr>
        <w:t xml:space="preserve">stronger magnitudes of</w:t>
      </w:r>
      <w:r>
        <w:rPr>
          <w:rFonts w:ascii="Times New Roman" w:eastAsia="STKaiti" w:hAnsi="Times New Roman" w:cs="Times New Roman"/>
          <w:color w:val="000000" w:themeColor="text1"/>
        </w:rPr>
        <w:t xml:space="preserve"> tonal coarticulation in Experiment 1 </w:t>
      </w:r>
      <w:r>
        <w:rPr>
          <w:rFonts w:ascii="Times New Roman" w:eastAsia="STKaiti" w:hAnsi="Times New Roman" w:cs="Times New Roman"/>
          <w:color w:val="000000" w:themeColor="text1"/>
          <w:highlight w:val="yellow"/>
        </w:rPr>
        <w:t>(though see Section 5.4.4 on the fixed task order)</w:t>
      </w:r>
      <w:r>
        <w:rPr>
          <w:rFonts w:ascii="Times New Roman" w:eastAsia="STKaiti" w:hAnsi="Times New Roman" w:cs="Times New Roman"/>
          <w:color w:val="000000" w:themeColor="text1"/>
        </w:rPr>
        <w:t xml:space="preserve">. The presence of tonal coarticulation and the weaker reliance on perceptual compensation to cope with such coarticulation suggest that TSM may have to resort to other means to cope with the tone variations induced by tonal coarticulation. In the next experiment, we explore the potential difference between TM and TSM regarding tone acceptance ranges.</w:t>
      </w:r>
    </w:p>
    <w:p w14:paraId="5FBC303D" w14:textId="7C0FAC88" w:rsidR="007604F9" w:rsidRPr="0032528B" w:rsidRDefault="006C5DBB" w:rsidP="006C5DBB">
      <w:pPr>
        <w:pStyle w:val="JASAFIRST-LEVELHEADING"/>
        <w:numPr>
          <w:ilvl w:val="0"/>
          <w:numId w:val="0"/>
        </w:numPr>
        <w:rPr>
          <w:rFonts w:ascii="Times New Roman" w:eastAsia="STKaiti" w:hAnsi="Times New Roman" w:cs="Times New Roman"/>
        </w:rPr>
      </w:pPr>
      <w:r>
        <w:rPr>
          <w:rFonts w:ascii="Times New Roman" w:eastAsia="STKaiti" w:hAnsi="Times New Roman" w:cs="Times New Roman"/>
        </w:rPr>
        <w:lastRenderedPageBreak/>
        <w:t xml:space="preserve">4 </w:t>
      </w:r>
      <w:r>
        <w:rPr>
          <w:rFonts w:ascii="Times New Roman" w:eastAsia="STKaiti" w:hAnsi="Times New Roman" w:cs="Times New Roman"/>
          <w:caps w:val="0"/>
        </w:rPr>
        <w:t xml:space="preserve">Experiment 3: tone acceptance range</w:t>
      </w:r>
    </w:p>
    <w:p w14:paraId="76682EC7" w14:textId="6EE0C310" w:rsidR="007604F9" w:rsidRPr="0032528B" w:rsidRDefault="007604F9" w:rsidP="005732E2">
      <w:pPr>
        <w:pStyle w:val="JASABodyText"/>
        <w:rPr>
          <w:rFonts w:ascii="Times New Roman" w:eastAsia="STKaiti" w:hAnsi="Times New Roman" w:cs="Times New Roman"/>
          <w:b/>
          <w:bCs/>
          <w:color w:val="000000" w:themeColor="text1"/>
        </w:rPr>
      </w:pPr>
      <w:r>
        <w:rPr>
          <w:rFonts w:ascii="Times New Roman" w:eastAsia="STKaiti" w:hAnsi="Times New Roman" w:cs="Times New Roman"/>
          <w:color w:val="000000" w:themeColor="text1"/>
        </w:rPr>
        <w:t xml:space="preserve">As seen in Experiment 2, the first part of our second hypothesis is borne out: TM has a larger degree of perceptual compensation for tonal coarticulation than TSM. In this experiment, we examine an alternative mechanism other than perceptual compensation: tone acceptance ranges. As mentioned in Section 1.4, a potential perceptual mechanism other than perceptual compensation that a listener can use to counter the variations induced by tonal coarticulation is to keep a stricter acceptance range for a certain lexical tone. For instance, when the onset of a low (21) tone is raised by the preceding tone, a listener may accept it as a falling (51) tone, and later recover the target low tone based on the tonal context (i.e., perceptual compensation). Alternatively, the listener can also reject it as a good falling (51) tone, and still perceive it as the original low (21) tone. In this case, perceptual compensation would be less crucial.</w:t>
      </w:r>
    </w:p>
    <w:p w14:paraId="6CFBEF42" w14:textId="15D78BA5" w:rsidR="007604F9" w:rsidRPr="0032528B" w:rsidRDefault="007604F9"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In this experiment, we seek to compare the tone acceptance ranges for the low (21) tone and the falling (51) tone in TM and TSM.</w:t>
      </w:r>
    </w:p>
    <w:p w14:paraId="060E88B1" w14:textId="52A5D85B" w:rsidR="007604F9"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4.1 Methods</w:t>
      </w:r>
    </w:p>
    <w:p w14:paraId="40FBE3C5" w14:textId="005AD7AD" w:rsidR="007604F9"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4.1.1 Participants</w:t>
      </w:r>
    </w:p>
    <w:p w14:paraId="5634C2BF" w14:textId="6C47C28F" w:rsidR="00350AB0" w:rsidRPr="0032528B" w:rsidRDefault="00350AB0"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All the same 43 participants participated in the tone acceptance range experiment.</w:t>
      </w:r>
    </w:p>
    <w:p w14:paraId="0DA9130E" w14:textId="190A1CF0" w:rsidR="00350AB0"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4.1.2 Stimuli</w:t>
      </w:r>
    </w:p>
    <w:p w14:paraId="5CC74EA1" w14:textId="36229975" w:rsidR="00350AB0" w:rsidRPr="0032528B" w:rsidRDefault="00391315"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Ten disyllabic words in TM and nine disyllabic words in TSM were selected and used as stimuli. For each disyllabic word, the first syllable was always a high-level (55) tone, whereas one group of the stimuli had a falling tone as their second syllables (the 55+51 group), and the other group had a low tone (the 55+21 group). Two sets of stimuli were designed for each language. The design of these stimuli was to create a continuum from a falling tone to a low tone, where only one of the two ends is associated with a true word and the other is not. The TM </w:t>
        <w:lastRenderedPageBreak/>
        <w:t>55+51 and 55+21 groups and the TSM 55+51 group had five words. The TSM 55+21 group had four.</w:t>
      </w:r>
      <w:r>
        <w:rPr>
          <w:rStyle w:val="Appelnotedebasdep"/>
          <w:rFonts w:eastAsia="STKaiti" w:cs="Times New Roman"/>
          <w:color w:val="000000" w:themeColor="text1"/>
        </w:rPr>
        <w:footnoteReference w:id="32"/>
      </w:r>
      <w:r>
        <w:rPr>
          <w:rFonts w:ascii="Times New Roman" w:eastAsia="STKaiti" w:hAnsi="Times New Roman" w:cs="Times New Roman"/>
          <w:color w:val="000000" w:themeColor="text1"/>
        </w:rPr>
        <w:t xml:space="preserve"> See Appendix C.1 for the full list of the words used.</w:t>
      </w:r>
    </w:p>
    <w:p w14:paraId="65205DE3" w14:textId="446D83E6" w:rsidR="00350AB0" w:rsidRPr="0032528B" w:rsidRDefault="00350AB0"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These words were produced by the same model speakers as in Experiment 2, and recorded and synthesized into continuums with 10 levels, following the same protocols in Experiment 2.</w:t>
      </w:r>
    </w:p>
    <w:p w14:paraId="25BEC0C8" w14:textId="2301584C" w:rsidR="00350AB0" w:rsidRPr="0032528B" w:rsidRDefault="00CE62BA"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 each group (low tone vs. falling tone as the target), each level of stimuli was repeated for 10 tokens. For each repetition, one of the disyllabic words for the target tone was fully randomly chosen. Trials were then represented pseudo-randomly so that the same word did not occur in two consecutive trials. A total of 200 (2 groups×10 levels×10 repetitions) stimuli were created.</w:t>
      </w:r>
    </w:p>
    <w:p w14:paraId="7AE00AA2" w14:textId="77B9DA4C" w:rsidR="00350AB0"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4.1.3 Procedure</w:t>
      </w:r>
    </w:p>
    <w:p w14:paraId="5E4AF9AD" w14:textId="2EE5CE4C" w:rsidR="00350AB0" w:rsidRPr="0032528B" w:rsidRDefault="00350AB0" w:rsidP="005732E2">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rPr>
        <w:t xml:space="preserve">This experiment was conducted immediately after the perceptual compensation experiment, after a minimal one-minute break. The procedure and presentation were the same as Experiment 2, except that only one word was presented in the middle of the screen. Participants were asked to decide whether the presented stimulus was the word on the screen by clicking on the circle (for positive responses) or the cross (for negative responses). The familiarization followed the same procedure as in Experiment 2. Experiment 3 took around 10 minutes for each participant.</w:t>
      </w:r>
    </w:p>
    <w:p w14:paraId="793156CF" w14:textId="74EF4121" w:rsidR="00350AB0" w:rsidRPr="0032528B" w:rsidRDefault="006C5DBB" w:rsidP="006C5DBB">
      <w:pPr>
        <w:pStyle w:val="JASABodyText"/>
        <w:ind w:firstLine="0"/>
        <w:rPr>
          <w:rFonts w:ascii="Times New Roman" w:eastAsia="STKaiti" w:hAnsi="Times New Roman" w:cs="Times New Roman"/>
          <w:b/>
          <w:color w:val="000000" w:themeColor="text1"/>
        </w:rPr>
      </w:pPr>
      <w:r>
        <w:rPr>
          <w:rFonts w:ascii="Times New Roman" w:eastAsia="STKaiti" w:hAnsi="Times New Roman" w:cs="Times New Roman"/>
          <w:b/>
          <w:color w:val="000000" w:themeColor="text1"/>
        </w:rPr>
        <w:t xml:space="preserve">4.1.4 Analyses</w:t>
      </w:r>
    </w:p>
    <w:p w14:paraId="3EE873B6" w14:textId="3D19E758" w:rsidR="00350AB0" w:rsidRPr="0032528B" w:rsidRDefault="00350AB0" w:rsidP="004A3C03">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To make direct comparisons, the low-tone-to-falling-tone levels were first converted to non-word-to-word levels </w:t>
      </w:r>
      <w:r>
        <w:rPr>
          <w:rFonts w:ascii="Times New Roman" w:eastAsia="STKaiti" w:hAnsi="Times New Roman" w:cs="Times New Roman"/>
          <w:color w:val="000000" w:themeColor="text1"/>
          <w:highlight w:val="yellow"/>
        </w:rPr>
        <w:t>(i.e., 1, 2, 3, 4, 5, 6, 7, 8, 9, 10)</w:t>
      </w:r>
      <w:r>
        <w:rPr>
          <w:rFonts w:ascii="Times New Roman" w:eastAsia="STKaiti" w:hAnsi="Times New Roman" w:cs="Times New Roman"/>
          <w:color w:val="000000" w:themeColor="text1"/>
        </w:rPr>
        <w:t xml:space="preserve">. The participants’ responses were coded by acceptance (0 or 1). In this experiment, two parameters were measured. One was the steepness of the acceptance. A steeper acceptance change would indicate a stricter tone acceptance boundary for accepting ambiguous tones as good word tokens. Two representative examples are provided </w:t>
        <w:lastRenderedPageBreak/>
        <w:t xml:space="preserve">in Figure 5. For each participant, a Bayesian mixed-effects logistic regression was fitted. The predictors were level, tone (categorical; dummy coded with low tone=0 and falling tone=1), and word frequency (extracted from the same corpora as in Experiment 2), with random intercepts grouped by word identity. This model structure was adapted to account for the potential word-spe</w:t>
      </w:r>
      <w:r>
        <w:rPr>
          <w:rFonts w:ascii="Times New Roman" w:eastAsia="STKaiti" w:hAnsi="Times New Roman" w:cs="Times New Roman"/>
          <w:color w:val="000000" w:themeColor="text1"/>
          <w:lang w:eastAsia="zh-TW"/>
        </w:rPr>
        <w:t>ci</w:t>
      </w:r>
      <w:r>
        <w:rPr>
          <w:rFonts w:ascii="Times New Roman" w:eastAsia="STKaiti" w:hAnsi="Times New Roman" w:cs="Times New Roman"/>
          <w:color w:val="000000" w:themeColor="text1"/>
        </w:rPr>
        <w:t xml:space="preserve">fic idiosyncrasies and frequency effects, a similar concern as Experiment 2. The steepness of the acceptance rate was then operationalized as the marginal trend (slope) of the level effect on the logit scale, estimated via the </w:t>
      </w:r>
      <w:r>
        <w:rPr>
          <w:rFonts w:ascii="Courier New" w:eastAsia="STKaiti" w:hAnsi="Courier New" w:cs="Courier New"/>
          <w:color w:val="000000" w:themeColor="text1"/>
        </w:rPr>
        <w:t>emtrends()</w:t>
      </w:r>
      <w:r>
        <w:rPr>
          <w:rFonts w:ascii="Times New Roman" w:eastAsia="STKaiti" w:hAnsi="Times New Roman" w:cs="Times New Roman"/>
          <w:color w:val="000000" w:themeColor="text1"/>
        </w:rPr>
        <w:t xml:space="preserve"> function from </w:t>
      </w:r>
      <w:r>
        <w:rPr>
          <w:rFonts w:ascii="Courier New" w:eastAsia="STKaiti" w:hAnsi="Courier New" w:cs="Courier New"/>
          <w:color w:val="000000" w:themeColor="text1"/>
        </w:rPr>
        <w:t>emmeans</w:t>
      </w:r>
      <w:r>
        <w:rPr>
          <w:rFonts w:ascii="Times New Roman" w:eastAsia="STKaiti" w:hAnsi="Times New Roman" w:cs="Times New Roman"/>
          <w:color w:val="000000" w:themeColor="text1"/>
        </w:rPr>
        <w:t xml:space="preserve"> (Lenth 2021). If the acceptance is associated with a steeper slope</w:t>
      </w:r>
      <w:r>
        <w:rPr>
          <w:rFonts w:ascii="Times New Roman" w:eastAsia="STKaiti" w:hAnsi="Times New Roman" w:cs="Times New Roman"/>
          <w:color w:val="000000" w:themeColor="text1"/>
          <w:lang w:eastAsia="zh-TW"/>
        </w:rPr>
        <w:t xml:space="preserve"> (Figure 5b),</w:t>
      </w:r>
      <w:r>
        <w:rPr>
          <w:rFonts w:ascii="Times New Roman" w:eastAsia="STKaiti" w:hAnsi="Times New Roman" w:cs="Times New Roman"/>
          <w:color w:val="000000" w:themeColor="text1"/>
        </w:rPr>
        <w:t xml:space="preserve"> it would suggest a clearer cut between two ambiguous tones, as in categorical perception. </w:t>
      </w:r>
    </w:p>
    <w:p w14:paraId="6613210D" w14:textId="77777777" w:rsidR="00CE62BA" w:rsidRPr="0032528B" w:rsidRDefault="00CE62BA" w:rsidP="007C3E45">
      <w:pPr>
        <w:pStyle w:val="JASABodyText"/>
        <w:spacing w:line="240" w:lineRule="auto"/>
        <w:ind w:firstLine="0"/>
        <w:jc w:val="center"/>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drawing>
          <wp:inline distT="0" distB="0" distL="0" distR="0" wp14:anchorId="55CD9AC4" wp14:editId="04196566">
            <wp:extent cx="5280437" cy="2315068"/>
            <wp:effectExtent l="0" t="0" r="3175" b="0"/>
            <wp:docPr id="3027" name="Picture 3027"/>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17"/>
                    <a:stretch>
                      <a:fillRect/>
                    </a:stretch>
                  </pic:blipFill>
                  <pic:spPr>
                    <a:xfrm>
                      <a:off x="0" y="0"/>
                      <a:ext cx="5280437" cy="2315068"/>
                    </a:xfrm>
                    <a:prstGeom prst="rect">
                      <a:avLst/>
                    </a:prstGeom>
                  </pic:spPr>
                </pic:pic>
              </a:graphicData>
            </a:graphic>
          </wp:inline>
        </w:drawing>
      </w:r>
    </w:p>
    <w:p w14:paraId="3F531D2A" w14:textId="11FAC830" w:rsidR="00792C5F" w:rsidRPr="0032528B" w:rsidRDefault="00792C5F" w:rsidP="007C3E45">
      <w:pPr>
        <w:pStyle w:val="JASABodyText"/>
        <w:spacing w:line="240" w:lineRule="auto"/>
        <w:ind w:left="72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                                 (a)                                                                  (b)</w:t>
      </w:r>
    </w:p>
    <w:p w14:paraId="4FA3B117" w14:textId="53BCBA2F" w:rsidR="00CE62BA" w:rsidRPr="0032528B" w:rsidRDefault="00153D93" w:rsidP="00D50925">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5. Representative examples of fitting mixed effects logistic regre</w:t>
      </w:r>
      <w:r>
        <w:rPr>
          <w:rFonts w:ascii="Times New Roman" w:eastAsia="STKaiti" w:hAnsi="Times New Roman" w:cs="Times New Roman"/>
          <w:color w:val="000000" w:themeColor="text1"/>
          <w:lang w:eastAsia="zh-TW"/>
        </w:rPr>
        <w:t>s</w:t>
      </w:r>
      <w:r>
        <w:rPr>
          <w:rFonts w:ascii="Times New Roman" w:eastAsia="STKaiti" w:hAnsi="Times New Roman" w:cs="Times New Roman"/>
          <w:color w:val="000000" w:themeColor="text1"/>
        </w:rPr>
        <w:t xml:space="preserve">sions on the acceptance rate</w:t>
      </w:r>
      <w:r>
        <w:rPr>
          <w:rFonts w:ascii="Times New Roman" w:eastAsia="STKaiti" w:hAnsi="Times New Roman" w:cs="Times New Roman"/>
          <w:color w:val="000000" w:themeColor="text1"/>
          <w:lang w:eastAsia="zh-TW"/>
        </w:rPr>
        <w:t>s</w:t>
      </w:r>
      <w:r>
        <w:rPr>
          <w:rFonts w:ascii="Times New Roman" w:eastAsia="STKaiti" w:hAnsi="Times New Roman" w:cs="Times New Roman"/>
          <w:color w:val="000000" w:themeColor="text1"/>
        </w:rPr>
        <w:t xml:space="preserve"> of </w:t>
      </w:r>
      <w:r>
        <w:rPr>
          <w:rFonts w:ascii="Times New Roman" w:eastAsia="STKaiti" w:hAnsi="Times New Roman" w:cs="Times New Roman"/>
          <w:color w:val="000000" w:themeColor="text1"/>
          <w:lang w:eastAsia="zh-TW"/>
        </w:rPr>
        <w:t xml:space="preserve">the target tone as </w:t>
      </w:r>
      <w:r>
        <w:rPr>
          <w:rFonts w:ascii="Times New Roman" w:eastAsia="STKaiti" w:hAnsi="Times New Roman" w:cs="Times New Roman"/>
          <w:color w:val="000000" w:themeColor="text1"/>
        </w:rPr>
        <w:t xml:space="preserve">a falling tone from two participants (P3</w:t>
      </w:r>
      <w:r>
        <w:rPr>
          <w:rFonts w:ascii="Times New Roman" w:eastAsia="STKaiti" w:hAnsi="Times New Roman" w:cs="Times New Roman"/>
          <w:color w:val="000000" w:themeColor="text1"/>
          <w:lang w:eastAsia="zh-TW"/>
        </w:rPr>
        <w:t>;</w:t>
      </w:r>
      <w:r>
        <w:rPr>
          <w:rFonts w:ascii="Times New Roman" w:eastAsia="STKaiti" w:hAnsi="Times New Roman" w:cs="Times New Roman"/>
          <w:color w:val="000000" w:themeColor="text1"/>
        </w:rPr>
        <w:t xml:space="preserve"> a) and (P15</w:t>
      </w:r>
      <w:r>
        <w:rPr>
          <w:rFonts w:ascii="Times New Roman" w:eastAsia="STKaiti" w:hAnsi="Times New Roman" w:cs="Times New Roman"/>
          <w:color w:val="000000" w:themeColor="text1"/>
          <w:lang w:eastAsia="zh-TW"/>
        </w:rPr>
        <w:t>;</w:t>
      </w:r>
      <w:r>
        <w:rPr>
          <w:rFonts w:ascii="Times New Roman" w:eastAsia="STKaiti" w:hAnsi="Times New Roman" w:cs="Times New Roman"/>
          <w:color w:val="000000" w:themeColor="text1"/>
        </w:rPr>
        <w:t xml:space="preserve"> b) during the Taiwan Mandarin </w:t>
      </w:r>
      <w:r>
        <w:rPr>
          <w:rFonts w:ascii="Times New Roman" w:eastAsia="STKaiti" w:hAnsi="Times New Roman" w:cs="Times New Roman"/>
          <w:color w:val="000000" w:themeColor="text1"/>
          <w:highlight w:val="yellow"/>
        </w:rPr>
        <w:t>block</w:t>
      </w:r>
      <w:r>
        <w:rPr>
          <w:rFonts w:ascii="Times New Roman" w:eastAsia="STKaiti" w:hAnsi="Times New Roman" w:cs="Times New Roman"/>
          <w:color w:val="000000" w:themeColor="text1"/>
        </w:rPr>
        <w:t>.</w:t>
      </w:r>
    </w:p>
    <w:p w14:paraId="56557C46" w14:textId="77777777" w:rsidR="00CE62BA" w:rsidRPr="0032528B" w:rsidRDefault="00CE62BA" w:rsidP="00A1648F">
      <w:pPr>
        <w:pStyle w:val="JASABodyText"/>
        <w:ind w:firstLine="0"/>
        <w:rPr>
          <w:rFonts w:ascii="Times New Roman" w:eastAsia="STKaiti" w:hAnsi="Times New Roman" w:cs="Times New Roman"/>
          <w:color w:val="000000" w:themeColor="text1"/>
        </w:rPr>
      </w:pPr>
    </w:p>
    <w:p w14:paraId="76ABD2A5" w14:textId="20B4AB17" w:rsidR="00350AB0" w:rsidRPr="0032528B" w:rsidRDefault="00350AB0"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other parameter is the threshold of acceptance. Following previous studies (Chen and Peng 2016; Huang and Holt 2009; Zhang </w:t>
      </w:r>
      <w:r>
        <w:rPr>
          <w:rFonts w:ascii="Times New Roman" w:eastAsia="STKaiti" w:hAnsi="Times New Roman" w:cs="Times New Roman"/>
          <w:iCs/>
          <w:color w:val="000000" w:themeColor="text1"/>
        </w:rPr>
        <w:t>et al.</w:t>
      </w:r>
      <w:r>
        <w:rPr>
          <w:rFonts w:ascii="Times New Roman" w:eastAsia="STKaiti" w:hAnsi="Times New Roman" w:cs="Times New Roman"/>
          <w:color w:val="000000" w:themeColor="text1"/>
        </w:rPr>
        <w:t xml:space="preserve"> 2022), this was determined with the probit </w:t>
        <w:lastRenderedPageBreak/>
        <w:t>analysis</w:t>
      </w:r>
      <w:r>
        <w:rPr>
          <w:rStyle w:val="Appelnotedebasdep"/>
          <w:rFonts w:ascii="Times New Roman" w:eastAsia="STKaiti" w:hAnsi="Times New Roman" w:cs="Times New Roman"/>
          <w:color w:val="000000" w:themeColor="text1"/>
        </w:rPr>
        <w:footnoteReference w:id="33"/>
      </w:r>
      <w:r>
        <w:rPr>
          <w:rFonts w:ascii="Times New Roman" w:eastAsia="STKaiti" w:hAnsi="Times New Roman" w:cs="Times New Roman"/>
          <w:color w:val="000000" w:themeColor="text1"/>
        </w:rPr>
        <w:t xml:space="preserve"> (Finney 1971). As in the calculation of steepness, a Bayesian mixed-effects probit regression model was fitted for each participant, with the same model formula. In this experiment, the cutoff probability for determining the threshold was set at 0.5. The determined threshold indicated the boundary where an ambiguous tone was accepted as the target tone. A higher-level threshold requires an ambiguous tone to be closer to a canonical tone in order to be accepted. </w:t>
      </w:r>
    </w:p>
    <w:p w14:paraId="7126B6A2" w14:textId="50F13C2A" w:rsidR="00CE62BA" w:rsidRPr="0032528B" w:rsidRDefault="00CE62BA" w:rsidP="00CE62BA">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 each participant, therefore, four measurements were collected: two measurements of the steepness of acceptance rates (one for each of the two target tones) and two measurements of the thresholds of acceptance (also one for each of the two target tones).</w:t>
      </w:r>
    </w:p>
    <w:p w14:paraId="75394967" w14:textId="53889285" w:rsidR="00CE62BA" w:rsidRPr="0032528B" w:rsidRDefault="00CE62BA" w:rsidP="00CE62BA">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 both parameters, a maximal linear mixed-effects model was built to examine the potential differences among the three language groups and the target tones through the </w:t>
      </w:r>
      <w:r>
        <w:rPr>
          <w:rFonts w:ascii="Times New Roman" w:eastAsia="STKaiti" w:hAnsi="Times New Roman" w:cs="Times New Roman"/>
          <w:i/>
          <w:iCs/>
          <w:color w:val="000000" w:themeColor="text1"/>
        </w:rPr>
        <w:t>lme4</w:t>
      </w:r>
      <w:r>
        <w:rPr>
          <w:rFonts w:ascii="Times New Roman" w:eastAsia="STKaiti" w:hAnsi="Times New Roman" w:cs="Times New Roman"/>
          <w:color w:val="000000" w:themeColor="text1"/>
        </w:rPr>
        <w:t xml:space="preserve"> package (Bates et al. 2015). In the models, the parameters (the steepness of acceptance rates and the threshold of acceptance) were treated as the predicted variables. Language (categorical; dummy coded, with separate contrasts for TM [monolingual] vs. TSM and TM [monolingual] vs. TM [bilingual]), target tone (categorical; effects coded, with the low tone as −0.5 and the falling tone as 0.5), and their interaction were treated as the predictors. Participant was treated as the grouping factor for random intercepts. Follow-up models were used to examine any interactions found between languages and target tones.</w:t>
      </w:r>
    </w:p>
    <w:p w14:paraId="7E52BDCE" w14:textId="2C2BDA12" w:rsidR="00350AB0"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4.2 Results</w:t>
      </w:r>
    </w:p>
    <w:p w14:paraId="286DAFD2" w14:textId="1B20334C" w:rsidR="00350AB0" w:rsidRPr="0032528B" w:rsidRDefault="006C5DBB" w:rsidP="006C5DBB">
      <w:pPr>
        <w:pStyle w:val="JASABodyText"/>
        <w:ind w:firstLine="0"/>
        <w:rPr>
          <w:rFonts w:ascii="Times New Roman" w:eastAsia="STKaiti" w:hAnsi="Times New Roman" w:cs="Times New Roman"/>
          <w:b/>
          <w:color w:val="000000" w:themeColor="text1"/>
        </w:rPr>
      </w:pPr>
      <w:r>
        <w:rPr>
          <w:rFonts w:ascii="Times New Roman" w:eastAsia="STKaiti" w:hAnsi="Times New Roman" w:cs="Times New Roman"/>
          <w:b/>
          <w:color w:val="000000" w:themeColor="text1"/>
        </w:rPr>
        <w:t xml:space="preserve">4.2.1 Steepness of acceptance rate</w:t>
      </w:r>
    </w:p>
    <w:p w14:paraId="3E55FF09" w14:textId="040DCB28" w:rsidR="00B83530" w:rsidRPr="0032528B" w:rsidRDefault="002325C2" w:rsidP="002325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distribution of the steepness of acceptance rate for the two target tones among the three language groups is shown in Figure 6. Overall, we see opposite patterns in TM and TSM </w:t>
        <w:lastRenderedPageBreak/>
        <w:t xml:space="preserve">between the perception of the low tone and the falling tone. When the target was the low tone, TM speakers seemed to have steeper acceptance rates; when the target was the falling tone, the TSM speakers’ acceptance rates seemed to be steeper.</w:t>
      </w:r>
    </w:p>
    <w:p w14:paraId="021DA166" w14:textId="77777777" w:rsidR="00B83530" w:rsidRPr="0032528B" w:rsidRDefault="00B83530" w:rsidP="00B83530">
      <w:pPr>
        <w:pStyle w:val="JASABodyText"/>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drawing>
          <wp:inline distT="0" distB="0" distL="0" distR="0" wp14:anchorId="1AD0114B" wp14:editId="3B342238">
            <wp:extent cx="5910457" cy="2112573"/>
            <wp:effectExtent l="0" t="0" r="0" b="0"/>
            <wp:docPr id="1612749454" name="Picture 3077"/>
            <wp:cNvGraphicFramePr/>
            <a:graphic xmlns:a="http://schemas.openxmlformats.org/drawingml/2006/main">
              <a:graphicData uri="http://schemas.openxmlformats.org/drawingml/2006/picture">
                <pic:pic xmlns:pic="http://schemas.openxmlformats.org/drawingml/2006/picture">
                  <pic:nvPicPr>
                    <pic:cNvPr id="3077" name="Picture 3077"/>
                    <pic:cNvPicPr/>
                  </pic:nvPicPr>
                  <pic:blipFill>
                    <a:blip r:embed="rId18"/>
                    <a:stretch>
                      <a:fillRect/>
                    </a:stretch>
                  </pic:blipFill>
                  <pic:spPr>
                    <a:xfrm>
                      <a:off x="0" y="0"/>
                      <a:ext cx="5910457" cy="2112573"/>
                    </a:xfrm>
                    <a:prstGeom prst="rect">
                      <a:avLst/>
                    </a:prstGeom>
                  </pic:spPr>
                </pic:pic>
              </a:graphicData>
            </a:graphic>
          </wp:inline>
        </w:drawing>
      </w:r>
    </w:p>
    <w:p w14:paraId="466AD2A7" w14:textId="7F57BAA5" w:rsidR="00B83530" w:rsidRPr="0032528B" w:rsidRDefault="00B83530" w:rsidP="00C8143A">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6. Steepness of acceptance rate for the falling tone and the low tone among the three language groups (all participants: a; advanced speakers only: b).</w:t>
      </w:r>
    </w:p>
    <w:p w14:paraId="050C6CA5" w14:textId="77777777" w:rsidR="00B83530" w:rsidRPr="0032528B" w:rsidRDefault="00B83530" w:rsidP="00C8143A">
      <w:pPr>
        <w:pStyle w:val="JASABodyText"/>
        <w:ind w:firstLine="0"/>
        <w:rPr>
          <w:rFonts w:ascii="Times New Roman" w:eastAsia="STKaiti" w:hAnsi="Times New Roman" w:cs="Times New Roman"/>
          <w:color w:val="000000" w:themeColor="text1"/>
        </w:rPr>
      </w:pPr>
    </w:p>
    <w:p w14:paraId="74F7D3A0" w14:textId="77777777" w:rsidR="00B83530" w:rsidRPr="0032528B" w:rsidRDefault="002325C2" w:rsidP="002325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regression results are shown in Tables 5 (all speakers) and 6 (advanced speakers only). </w:t>
      </w:r>
    </w:p>
    <w:p w14:paraId="73AC1CB9"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5. Regression table for the maximal model examining the steepness of acceptance.</w:t>
      </w:r>
    </w:p>
    <w:tbl>
      <w:tblPr>
        <w:tblW w:w="9247" w:type="dxa"/>
        <w:tblCellMar>
          <w:top w:w="220" w:type="dxa"/>
          <w:bottom w:w="177" w:type="dxa"/>
          <w:right w:w="50" w:type="dxa"/>
        </w:tblCellMar>
        <w:tblLook w:val="04A0" w:firstRow="1" w:lastRow="0" w:firstColumn="1" w:lastColumn="0" w:noHBand="0" w:noVBand="1"/>
      </w:tblPr>
      <w:tblGrid>
        <w:gridCol w:w="4253"/>
        <w:gridCol w:w="2126"/>
        <w:gridCol w:w="1276"/>
        <w:gridCol w:w="1134"/>
        <w:gridCol w:w="458"/>
      </w:tblGrid>
      <w:tr w:rsidR="00B83530" w:rsidRPr="0032528B" w14:paraId="3A1833C1" w14:textId="77777777" w:rsidTr="009508DA">
        <w:trPr>
          <w:trHeight w:val="45"/>
        </w:trPr>
        <w:tc>
          <w:tcPr>
            <w:tcW w:w="4253" w:type="dxa"/>
            <w:tcBorders>
              <w:top w:val="double" w:sz="4" w:space="0" w:color="000000"/>
              <w:left w:val="nil"/>
              <w:bottom w:val="nil"/>
              <w:right w:val="nil"/>
            </w:tcBorders>
            <w:tcMar>
              <w:top w:w="0" w:type="dxa"/>
              <w:left w:w="0" w:type="dxa"/>
              <w:bottom w:w="0" w:type="dxa"/>
              <w:right w:w="0" w:type="dxa"/>
            </w:tcMar>
            <w:vAlign w:val="center"/>
          </w:tcPr>
          <w:p w14:paraId="2CD6D274"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Effect</w:t>
            </w:r>
          </w:p>
        </w:tc>
        <w:tc>
          <w:tcPr>
            <w:tcW w:w="2126" w:type="dxa"/>
            <w:tcBorders>
              <w:top w:val="double" w:sz="4" w:space="0" w:color="000000"/>
              <w:left w:val="nil"/>
              <w:bottom w:val="nil"/>
              <w:right w:val="nil"/>
            </w:tcBorders>
            <w:tcMar>
              <w:top w:w="0" w:type="dxa"/>
              <w:left w:w="0" w:type="dxa"/>
              <w:bottom w:w="0" w:type="dxa"/>
              <w:right w:w="0" w:type="dxa"/>
            </w:tcMar>
            <w:vAlign w:val="center"/>
          </w:tcPr>
          <w:p w14:paraId="48547F89"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Est. (±SE)</w:t>
            </w:r>
          </w:p>
        </w:tc>
        <w:tc>
          <w:tcPr>
            <w:tcW w:w="1276" w:type="dxa"/>
            <w:tcBorders>
              <w:top w:val="double" w:sz="4" w:space="0" w:color="000000"/>
              <w:left w:val="nil"/>
              <w:bottom w:val="nil"/>
              <w:right w:val="nil"/>
            </w:tcBorders>
            <w:tcMar>
              <w:top w:w="0" w:type="dxa"/>
              <w:left w:w="0" w:type="dxa"/>
              <w:bottom w:w="0" w:type="dxa"/>
              <w:right w:w="0" w:type="dxa"/>
            </w:tcMar>
            <w:vAlign w:val="center"/>
          </w:tcPr>
          <w:p w14:paraId="6CAD8AF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t</w:t>
            </w:r>
            <w:r>
              <w:rPr>
                <w:rFonts w:ascii="Times New Roman" w:eastAsia="STKaiti" w:hAnsi="Times New Roman" w:cs="Times New Roman"/>
                <w:color w:val="000000" w:themeColor="text1"/>
              </w:rPr>
              <w:t>-value</w:t>
            </w:r>
          </w:p>
        </w:tc>
        <w:tc>
          <w:tcPr>
            <w:tcW w:w="1134" w:type="dxa"/>
            <w:tcBorders>
              <w:top w:val="double" w:sz="4" w:space="0" w:color="000000"/>
              <w:left w:val="nil"/>
              <w:bottom w:val="nil"/>
              <w:right w:val="nil"/>
            </w:tcBorders>
            <w:tcMar>
              <w:top w:w="0" w:type="dxa"/>
              <w:left w:w="0" w:type="dxa"/>
              <w:bottom w:w="0" w:type="dxa"/>
              <w:right w:w="0" w:type="dxa"/>
            </w:tcMar>
            <w:vAlign w:val="center"/>
          </w:tcPr>
          <w:p w14:paraId="58B97B5A" w14:textId="77777777" w:rsidR="00B83530" w:rsidRPr="0032528B" w:rsidRDefault="00B83530" w:rsidP="009508DA">
            <w:pPr>
              <w:pStyle w:val="JASABodyText"/>
              <w:spacing w:line="240" w:lineRule="auto"/>
              <w:ind w:firstLine="0"/>
              <w:jc w:val="right"/>
              <w:rPr>
                <w:rFonts w:ascii="Times New Roman" w:eastAsia="STKaiti" w:hAnsi="Times New Roman" w:cs="Times New Roman"/>
                <w:i/>
                <w:color w:val="000000" w:themeColor="text1"/>
              </w:rPr>
            </w:pP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-value</w:t>
            </w:r>
          </w:p>
        </w:tc>
        <w:tc>
          <w:tcPr>
            <w:tcW w:w="458" w:type="dxa"/>
            <w:tcBorders>
              <w:top w:val="double" w:sz="4" w:space="0" w:color="000000"/>
              <w:left w:val="nil"/>
              <w:bottom w:val="nil"/>
              <w:right w:val="nil"/>
            </w:tcBorders>
            <w:tcMar>
              <w:top w:w="0" w:type="dxa"/>
              <w:left w:w="0" w:type="dxa"/>
              <w:bottom w:w="0" w:type="dxa"/>
              <w:right w:w="0" w:type="dxa"/>
            </w:tcMar>
            <w:vAlign w:val="center"/>
          </w:tcPr>
          <w:p w14:paraId="5EBE0023"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5C53462E" w14:textId="77777777" w:rsidTr="009508DA">
        <w:trPr>
          <w:trHeight w:val="20"/>
        </w:trPr>
        <w:tc>
          <w:tcPr>
            <w:tcW w:w="4253" w:type="dxa"/>
            <w:tcBorders>
              <w:top w:val="single" w:sz="3" w:space="0" w:color="000000"/>
              <w:left w:val="nil"/>
              <w:bottom w:val="nil"/>
              <w:right w:val="nil"/>
            </w:tcBorders>
            <w:tcMar>
              <w:top w:w="0" w:type="dxa"/>
              <w:left w:w="0" w:type="dxa"/>
              <w:bottom w:w="0" w:type="dxa"/>
              <w:right w:w="0" w:type="dxa"/>
            </w:tcMar>
            <w:vAlign w:val="center"/>
          </w:tcPr>
          <w:p w14:paraId="4D864250"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intercept</w:t>
            </w:r>
          </w:p>
        </w:tc>
        <w:tc>
          <w:tcPr>
            <w:tcW w:w="2126" w:type="dxa"/>
            <w:tcBorders>
              <w:top w:val="single" w:sz="3" w:space="0" w:color="000000"/>
              <w:left w:val="nil"/>
              <w:bottom w:val="nil"/>
              <w:right w:val="nil"/>
            </w:tcBorders>
            <w:tcMar>
              <w:top w:w="0" w:type="dxa"/>
              <w:left w:w="0" w:type="dxa"/>
              <w:bottom w:w="0" w:type="dxa"/>
              <w:right w:w="0" w:type="dxa"/>
            </w:tcMar>
            <w:vAlign w:val="center"/>
          </w:tcPr>
          <w:p w14:paraId="32AAD0AE"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1.041±0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032</w:t>
            </w:r>
          </w:p>
        </w:tc>
        <w:tc>
          <w:tcPr>
            <w:tcW w:w="1276" w:type="dxa"/>
            <w:tcBorders>
              <w:top w:val="single" w:sz="3" w:space="0" w:color="000000"/>
              <w:left w:val="nil"/>
              <w:bottom w:val="nil"/>
              <w:right w:val="nil"/>
            </w:tcBorders>
            <w:tcMar>
              <w:top w:w="0" w:type="dxa"/>
              <w:left w:w="0" w:type="dxa"/>
              <w:bottom w:w="0" w:type="dxa"/>
              <w:right w:w="0" w:type="dxa"/>
            </w:tcMar>
            <w:vAlign w:val="center"/>
          </w:tcPr>
          <w:p w14:paraId="5E145FF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32</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734</w:t>
            </w:r>
          </w:p>
        </w:tc>
        <w:tc>
          <w:tcPr>
            <w:tcW w:w="1134" w:type="dxa"/>
            <w:tcBorders>
              <w:top w:val="single" w:sz="3" w:space="0" w:color="000000"/>
              <w:left w:val="nil"/>
              <w:bottom w:val="nil"/>
              <w:right w:val="nil"/>
            </w:tcBorders>
            <w:tcMar>
              <w:top w:w="0" w:type="dxa"/>
              <w:left w:w="0" w:type="dxa"/>
              <w:bottom w:w="0" w:type="dxa"/>
              <w:right w:w="0" w:type="dxa"/>
            </w:tcMar>
            <w:vAlign w:val="center"/>
          </w:tcPr>
          <w:p w14:paraId="4EB2DF9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001</w:t>
            </w:r>
          </w:p>
        </w:tc>
        <w:tc>
          <w:tcPr>
            <w:tcW w:w="458" w:type="dxa"/>
            <w:tcBorders>
              <w:top w:val="single" w:sz="3" w:space="0" w:color="000000"/>
              <w:left w:val="nil"/>
              <w:bottom w:val="nil"/>
              <w:right w:val="nil"/>
            </w:tcBorders>
            <w:tcMar>
              <w:top w:w="0" w:type="dxa"/>
              <w:left w:w="0" w:type="dxa"/>
              <w:bottom w:w="0" w:type="dxa"/>
              <w:right w:w="0" w:type="dxa"/>
            </w:tcMar>
            <w:vAlign w:val="center"/>
          </w:tcPr>
          <w:p w14:paraId="3F37D781"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w:t>
            </w:r>
          </w:p>
        </w:tc>
      </w:tr>
      <w:tr w:rsidR="00B83530" w:rsidRPr="0032528B" w14:paraId="3BFD3000" w14:textId="77777777" w:rsidTr="009508DA">
        <w:trPr>
          <w:trHeight w:val="27"/>
        </w:trPr>
        <w:tc>
          <w:tcPr>
            <w:tcW w:w="4253" w:type="dxa"/>
            <w:tcBorders>
              <w:top w:val="nil"/>
              <w:left w:val="nil"/>
              <w:bottom w:val="nil"/>
              <w:right w:val="nil"/>
            </w:tcBorders>
            <w:tcMar>
              <w:top w:w="0" w:type="dxa"/>
              <w:left w:w="0" w:type="dxa"/>
              <w:bottom w:w="0" w:type="dxa"/>
              <w:right w:w="0" w:type="dxa"/>
            </w:tcMar>
            <w:vAlign w:val="center"/>
          </w:tcPr>
          <w:p w14:paraId="01B83625"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w:t>
            </w:r>
          </w:p>
        </w:tc>
        <w:tc>
          <w:tcPr>
            <w:tcW w:w="2126" w:type="dxa"/>
            <w:tcBorders>
              <w:top w:val="nil"/>
              <w:left w:val="nil"/>
              <w:bottom w:val="nil"/>
              <w:right w:val="nil"/>
            </w:tcBorders>
            <w:tcMar>
              <w:top w:w="0" w:type="dxa"/>
              <w:left w:w="0" w:type="dxa"/>
              <w:bottom w:w="0" w:type="dxa"/>
              <w:right w:w="0" w:type="dxa"/>
            </w:tcMar>
            <w:vAlign w:val="center"/>
          </w:tcPr>
          <w:p w14:paraId="1301DE58"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0.007±0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039</w:t>
            </w:r>
          </w:p>
        </w:tc>
        <w:tc>
          <w:tcPr>
            <w:tcW w:w="1276" w:type="dxa"/>
            <w:tcBorders>
              <w:top w:val="nil"/>
              <w:left w:val="nil"/>
              <w:bottom w:val="nil"/>
              <w:right w:val="nil"/>
            </w:tcBorders>
            <w:tcMar>
              <w:top w:w="0" w:type="dxa"/>
              <w:left w:w="0" w:type="dxa"/>
              <w:bottom w:w="0" w:type="dxa"/>
              <w:right w:w="0" w:type="dxa"/>
            </w:tcMar>
            <w:vAlign w:val="center"/>
          </w:tcPr>
          <w:p w14:paraId="49BB929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0.179</w:t>
            </w:r>
          </w:p>
        </w:tc>
        <w:tc>
          <w:tcPr>
            <w:tcW w:w="1134" w:type="dxa"/>
            <w:tcBorders>
              <w:top w:val="nil"/>
              <w:left w:val="nil"/>
              <w:bottom w:val="nil"/>
              <w:right w:val="nil"/>
            </w:tcBorders>
            <w:tcMar>
              <w:top w:w="0" w:type="dxa"/>
              <w:left w:w="0" w:type="dxa"/>
              <w:bottom w:w="0" w:type="dxa"/>
              <w:right w:w="0" w:type="dxa"/>
            </w:tcMar>
            <w:vAlign w:val="center"/>
          </w:tcPr>
          <w:p w14:paraId="3BF37350"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858</w:t>
            </w:r>
          </w:p>
        </w:tc>
        <w:tc>
          <w:tcPr>
            <w:tcW w:w="458" w:type="dxa"/>
            <w:tcBorders>
              <w:top w:val="nil"/>
              <w:left w:val="nil"/>
              <w:bottom w:val="nil"/>
              <w:right w:val="nil"/>
            </w:tcBorders>
            <w:tcMar>
              <w:top w:w="0" w:type="dxa"/>
              <w:left w:w="0" w:type="dxa"/>
              <w:bottom w:w="0" w:type="dxa"/>
              <w:right w:w="0" w:type="dxa"/>
            </w:tcMar>
            <w:vAlign w:val="center"/>
          </w:tcPr>
          <w:p w14:paraId="059B9058"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3925777A" w14:textId="77777777" w:rsidTr="009508DA">
        <w:trPr>
          <w:trHeight w:val="27"/>
        </w:trPr>
        <w:tc>
          <w:tcPr>
            <w:tcW w:w="4253" w:type="dxa"/>
            <w:tcBorders>
              <w:top w:val="nil"/>
              <w:left w:val="nil"/>
              <w:bottom w:val="nil"/>
              <w:right w:val="nil"/>
            </w:tcBorders>
            <w:tcMar>
              <w:top w:w="0" w:type="dxa"/>
              <w:left w:w="0" w:type="dxa"/>
              <w:bottom w:w="0" w:type="dxa"/>
              <w:right w:w="0" w:type="dxa"/>
            </w:tcMar>
            <w:vAlign w:val="center"/>
          </w:tcPr>
          <w:p w14:paraId="7B273408"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w:t>
            </w:r>
          </w:p>
        </w:tc>
        <w:tc>
          <w:tcPr>
            <w:tcW w:w="2126" w:type="dxa"/>
            <w:tcBorders>
              <w:top w:val="nil"/>
              <w:left w:val="nil"/>
              <w:bottom w:val="nil"/>
              <w:right w:val="nil"/>
            </w:tcBorders>
            <w:tcMar>
              <w:top w:w="0" w:type="dxa"/>
              <w:left w:w="0" w:type="dxa"/>
              <w:bottom w:w="0" w:type="dxa"/>
              <w:right w:w="0" w:type="dxa"/>
            </w:tcMar>
            <w:vAlign w:val="center"/>
          </w:tcPr>
          <w:p w14:paraId="2A04146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0.005±0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039</w:t>
            </w:r>
          </w:p>
        </w:tc>
        <w:tc>
          <w:tcPr>
            <w:tcW w:w="1276" w:type="dxa"/>
            <w:tcBorders>
              <w:top w:val="nil"/>
              <w:left w:val="nil"/>
              <w:bottom w:val="nil"/>
              <w:right w:val="nil"/>
            </w:tcBorders>
            <w:tcMar>
              <w:top w:w="0" w:type="dxa"/>
              <w:left w:w="0" w:type="dxa"/>
              <w:bottom w:w="0" w:type="dxa"/>
              <w:right w:w="0" w:type="dxa"/>
            </w:tcMar>
            <w:vAlign w:val="center"/>
          </w:tcPr>
          <w:p w14:paraId="798FE39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0.119</w:t>
            </w:r>
          </w:p>
        </w:tc>
        <w:tc>
          <w:tcPr>
            <w:tcW w:w="1134" w:type="dxa"/>
            <w:tcBorders>
              <w:top w:val="nil"/>
              <w:left w:val="nil"/>
              <w:bottom w:val="nil"/>
              <w:right w:val="nil"/>
            </w:tcBorders>
            <w:tcMar>
              <w:top w:w="0" w:type="dxa"/>
              <w:left w:w="0" w:type="dxa"/>
              <w:bottom w:w="0" w:type="dxa"/>
              <w:right w:w="0" w:type="dxa"/>
            </w:tcMar>
            <w:vAlign w:val="center"/>
          </w:tcPr>
          <w:p w14:paraId="201A59AB"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905</w:t>
            </w:r>
          </w:p>
        </w:tc>
        <w:tc>
          <w:tcPr>
            <w:tcW w:w="458" w:type="dxa"/>
            <w:tcBorders>
              <w:top w:val="nil"/>
              <w:left w:val="nil"/>
              <w:bottom w:val="nil"/>
              <w:right w:val="nil"/>
            </w:tcBorders>
            <w:tcMar>
              <w:top w:w="0" w:type="dxa"/>
              <w:left w:w="0" w:type="dxa"/>
              <w:bottom w:w="0" w:type="dxa"/>
              <w:right w:w="0" w:type="dxa"/>
            </w:tcMar>
            <w:vAlign w:val="center"/>
          </w:tcPr>
          <w:p w14:paraId="2DEEB1B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5783A193" w14:textId="77777777" w:rsidTr="009508DA">
        <w:trPr>
          <w:trHeight w:val="89"/>
        </w:trPr>
        <w:tc>
          <w:tcPr>
            <w:tcW w:w="4253" w:type="dxa"/>
            <w:tcBorders>
              <w:top w:val="nil"/>
              <w:left w:val="nil"/>
              <w:bottom w:val="nil"/>
              <w:right w:val="nil"/>
            </w:tcBorders>
            <w:tcMar>
              <w:top w:w="0" w:type="dxa"/>
              <w:left w:w="0" w:type="dxa"/>
              <w:bottom w:w="0" w:type="dxa"/>
              <w:right w:w="0" w:type="dxa"/>
            </w:tcMar>
            <w:vAlign w:val="center"/>
          </w:tcPr>
          <w:p w14:paraId="6D6558A9"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target tone</w:t>
            </w:r>
          </w:p>
        </w:tc>
        <w:tc>
          <w:tcPr>
            <w:tcW w:w="2126" w:type="dxa"/>
            <w:tcBorders>
              <w:top w:val="nil"/>
              <w:left w:val="nil"/>
              <w:bottom w:val="nil"/>
              <w:right w:val="nil"/>
            </w:tcBorders>
            <w:tcMar>
              <w:top w:w="0" w:type="dxa"/>
              <w:left w:w="0" w:type="dxa"/>
              <w:bottom w:w="0" w:type="dxa"/>
              <w:right w:w="0" w:type="dxa"/>
            </w:tcMar>
            <w:vAlign w:val="center"/>
          </w:tcPr>
          <w:p w14:paraId="6407475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−0.166±0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064</w:t>
            </w:r>
          </w:p>
        </w:tc>
        <w:tc>
          <w:tcPr>
            <w:tcW w:w="1276" w:type="dxa"/>
            <w:tcBorders>
              <w:top w:val="nil"/>
              <w:left w:val="nil"/>
              <w:bottom w:val="nil"/>
              <w:right w:val="nil"/>
            </w:tcBorders>
            <w:tcMar>
              <w:top w:w="0" w:type="dxa"/>
              <w:left w:w="0" w:type="dxa"/>
              <w:bottom w:w="0" w:type="dxa"/>
              <w:right w:w="0" w:type="dxa"/>
            </w:tcMar>
            <w:vAlign w:val="center"/>
          </w:tcPr>
          <w:p w14:paraId="064825A1"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−2.604</w:t>
            </w:r>
          </w:p>
        </w:tc>
        <w:tc>
          <w:tcPr>
            <w:tcW w:w="1134" w:type="dxa"/>
            <w:tcBorders>
              <w:top w:val="nil"/>
              <w:left w:val="nil"/>
              <w:bottom w:val="nil"/>
              <w:right w:val="nil"/>
            </w:tcBorders>
            <w:tcMar>
              <w:top w:w="0" w:type="dxa"/>
              <w:left w:w="0" w:type="dxa"/>
              <w:bottom w:w="0" w:type="dxa"/>
              <w:right w:w="0" w:type="dxa"/>
            </w:tcMar>
            <w:vAlign w:val="center"/>
          </w:tcPr>
          <w:p w14:paraId="18D8493D"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0.010</w:t>
            </w:r>
          </w:p>
        </w:tc>
        <w:tc>
          <w:tcPr>
            <w:tcW w:w="458" w:type="dxa"/>
            <w:tcBorders>
              <w:top w:val="nil"/>
              <w:left w:val="nil"/>
              <w:bottom w:val="nil"/>
              <w:right w:val="nil"/>
            </w:tcBorders>
            <w:tcMar>
              <w:top w:w="0" w:type="dxa"/>
              <w:left w:w="0" w:type="dxa"/>
              <w:bottom w:w="0" w:type="dxa"/>
              <w:right w:w="0" w:type="dxa"/>
            </w:tcMar>
            <w:vAlign w:val="center"/>
          </w:tcPr>
          <w:p w14:paraId="3C7E6208"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w:t>
            </w:r>
          </w:p>
        </w:tc>
      </w:tr>
      <w:tr w:rsidR="00B83530" w:rsidRPr="0032528B" w14:paraId="57CCB63D" w14:textId="77777777" w:rsidTr="009508DA">
        <w:trPr>
          <w:trHeight w:val="27"/>
        </w:trPr>
        <w:tc>
          <w:tcPr>
            <w:tcW w:w="4253" w:type="dxa"/>
            <w:tcBorders>
              <w:top w:val="nil"/>
              <w:left w:val="nil"/>
              <w:bottom w:val="nil"/>
              <w:right w:val="nil"/>
            </w:tcBorders>
            <w:tcMar>
              <w:top w:w="0" w:type="dxa"/>
              <w:left w:w="0" w:type="dxa"/>
              <w:bottom w:w="0" w:type="dxa"/>
              <w:right w:w="0" w:type="dxa"/>
            </w:tcMar>
            <w:vAlign w:val="center"/>
          </w:tcPr>
          <w:p w14:paraId="6FDA67FB"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[bilingual]):target tone</w:t>
            </w:r>
          </w:p>
        </w:tc>
        <w:tc>
          <w:tcPr>
            <w:tcW w:w="2126" w:type="dxa"/>
            <w:tcBorders>
              <w:top w:val="nil"/>
              <w:left w:val="nil"/>
              <w:bottom w:val="nil"/>
              <w:right w:val="nil"/>
            </w:tcBorders>
            <w:tcMar>
              <w:top w:w="0" w:type="dxa"/>
              <w:left w:w="0" w:type="dxa"/>
              <w:bottom w:w="0" w:type="dxa"/>
              <w:right w:w="0" w:type="dxa"/>
            </w:tcMar>
            <w:vAlign w:val="center"/>
          </w:tcPr>
          <w:p w14:paraId="28D3F16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026±0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079</w:t>
            </w:r>
          </w:p>
        </w:tc>
        <w:tc>
          <w:tcPr>
            <w:tcW w:w="1276" w:type="dxa"/>
            <w:tcBorders>
              <w:top w:val="nil"/>
              <w:left w:val="nil"/>
              <w:bottom w:val="nil"/>
              <w:right w:val="nil"/>
            </w:tcBorders>
            <w:tcMar>
              <w:top w:w="0" w:type="dxa"/>
              <w:left w:w="0" w:type="dxa"/>
              <w:bottom w:w="0" w:type="dxa"/>
              <w:right w:w="0" w:type="dxa"/>
            </w:tcMar>
            <w:vAlign w:val="center"/>
          </w:tcPr>
          <w:p w14:paraId="65E0175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329</w:t>
            </w:r>
          </w:p>
        </w:tc>
        <w:tc>
          <w:tcPr>
            <w:tcW w:w="1134" w:type="dxa"/>
            <w:tcBorders>
              <w:top w:val="nil"/>
              <w:left w:val="nil"/>
              <w:bottom w:val="nil"/>
              <w:right w:val="nil"/>
            </w:tcBorders>
            <w:tcMar>
              <w:top w:w="0" w:type="dxa"/>
              <w:left w:w="0" w:type="dxa"/>
              <w:bottom w:w="0" w:type="dxa"/>
              <w:right w:w="0" w:type="dxa"/>
            </w:tcMar>
            <w:vAlign w:val="center"/>
          </w:tcPr>
          <w:p w14:paraId="60EC3D2B"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742</w:t>
            </w:r>
          </w:p>
        </w:tc>
        <w:tc>
          <w:tcPr>
            <w:tcW w:w="458" w:type="dxa"/>
            <w:tcBorders>
              <w:top w:val="nil"/>
              <w:left w:val="nil"/>
              <w:bottom w:val="nil"/>
              <w:right w:val="nil"/>
            </w:tcBorders>
            <w:tcMar>
              <w:top w:w="0" w:type="dxa"/>
              <w:left w:w="0" w:type="dxa"/>
              <w:bottom w:w="0" w:type="dxa"/>
              <w:right w:w="0" w:type="dxa"/>
            </w:tcMar>
            <w:vAlign w:val="center"/>
          </w:tcPr>
          <w:p w14:paraId="61F38F48"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1CC4F78F" w14:textId="77777777" w:rsidTr="009508DA">
        <w:trPr>
          <w:trHeight w:val="27"/>
        </w:trPr>
        <w:tc>
          <w:tcPr>
            <w:tcW w:w="4253" w:type="dxa"/>
            <w:tcBorders>
              <w:top w:val="nil"/>
              <w:left w:val="nil"/>
              <w:bottom w:val="double" w:sz="4" w:space="0" w:color="000000"/>
              <w:right w:val="nil"/>
            </w:tcBorders>
            <w:tcMar>
              <w:top w:w="0" w:type="dxa"/>
              <w:left w:w="0" w:type="dxa"/>
              <w:bottom w:w="0" w:type="dxa"/>
              <w:right w:w="0" w:type="dxa"/>
            </w:tcMar>
            <w:vAlign w:val="center"/>
          </w:tcPr>
          <w:p w14:paraId="63783061"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(TSM):target tone</w:t>
            </w:r>
          </w:p>
        </w:tc>
        <w:tc>
          <w:tcPr>
            <w:tcW w:w="2126" w:type="dxa"/>
            <w:tcBorders>
              <w:top w:val="nil"/>
              <w:left w:val="nil"/>
              <w:bottom w:val="double" w:sz="4" w:space="0" w:color="000000"/>
              <w:right w:val="nil"/>
            </w:tcBorders>
            <w:tcMar>
              <w:top w:w="0" w:type="dxa"/>
              <w:left w:w="0" w:type="dxa"/>
              <w:bottom w:w="0" w:type="dxa"/>
              <w:right w:w="0" w:type="dxa"/>
            </w:tcMar>
            <w:vAlign w:val="center"/>
          </w:tcPr>
          <w:p w14:paraId="14E4DA80"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809±0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079</w:t>
            </w:r>
          </w:p>
        </w:tc>
        <w:tc>
          <w:tcPr>
            <w:tcW w:w="1276" w:type="dxa"/>
            <w:tcBorders>
              <w:top w:val="nil"/>
              <w:left w:val="nil"/>
              <w:bottom w:val="double" w:sz="4" w:space="0" w:color="000000"/>
              <w:right w:val="nil"/>
            </w:tcBorders>
            <w:tcMar>
              <w:top w:w="0" w:type="dxa"/>
              <w:left w:w="0" w:type="dxa"/>
              <w:bottom w:w="0" w:type="dxa"/>
              <w:right w:w="0" w:type="dxa"/>
            </w:tcMar>
            <w:vAlign w:val="center"/>
          </w:tcPr>
          <w:p w14:paraId="2A9F0B2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266</w:t>
            </w:r>
          </w:p>
        </w:tc>
        <w:tc>
          <w:tcPr>
            <w:tcW w:w="1134" w:type="dxa"/>
            <w:tcBorders>
              <w:top w:val="nil"/>
              <w:left w:val="nil"/>
              <w:bottom w:val="double" w:sz="4" w:space="0" w:color="000000"/>
              <w:right w:val="nil"/>
            </w:tcBorders>
            <w:tcMar>
              <w:top w:w="0" w:type="dxa"/>
              <w:left w:w="0" w:type="dxa"/>
              <w:bottom w:w="0" w:type="dxa"/>
              <w:right w:w="0" w:type="dxa"/>
            </w:tcMar>
            <w:vAlign w:val="center"/>
          </w:tcPr>
          <w:p w14:paraId="327AFEC1"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001</w:t>
            </w:r>
          </w:p>
        </w:tc>
        <w:tc>
          <w:tcPr>
            <w:tcW w:w="458" w:type="dxa"/>
            <w:tcBorders>
              <w:top w:val="nil"/>
              <w:left w:val="nil"/>
              <w:bottom w:val="double" w:sz="4" w:space="0" w:color="000000"/>
              <w:right w:val="nil"/>
            </w:tcBorders>
            <w:tcMar>
              <w:top w:w="0" w:type="dxa"/>
              <w:left w:w="0" w:type="dxa"/>
              <w:bottom w:w="0" w:type="dxa"/>
              <w:right w:w="0" w:type="dxa"/>
            </w:tcMar>
            <w:vAlign w:val="center"/>
          </w:tcPr>
          <w:p w14:paraId="338BFF11"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w:t>
            </w:r>
          </w:p>
        </w:tc>
      </w:tr>
    </w:tbl>
    <w:p w14:paraId="4B59EE42" w14:textId="7D181D48"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Formula: acceptance slope </w:t>
      </w:r>
      <w:r>
        <w:rPr>
          <w:rFonts w:ascii="Cambria Math" w:eastAsia="STKaiti" w:hAnsi="Cambria Math" w:cs="Cambria Math"/>
          <w:color w:val="000000" w:themeColor="text1"/>
        </w:rPr>
        <w:t>∼</w:t>
      </w:r>
      <w:r>
        <w:rPr>
          <w:rFonts w:ascii="Times New Roman" w:eastAsia="STKaiti" w:hAnsi="Times New Roman" w:cs="Times New Roman"/>
          <w:color w:val="000000" w:themeColor="text1"/>
        </w:rPr>
        <w:t xml:space="preserve"> language * target tone + (1 | participant)</w:t>
      </w:r>
    </w:p>
    <w:p w14:paraId="5416347D" w14:textId="77777777" w:rsidR="00B83530" w:rsidRPr="0032528B" w:rsidRDefault="00B83530" w:rsidP="00B83530">
      <w:pPr>
        <w:pStyle w:val="JASABodyText"/>
        <w:ind w:firstLine="0"/>
        <w:rPr>
          <w:rFonts w:ascii="Times New Roman" w:eastAsia="STKaiti" w:hAnsi="Times New Roman" w:cs="Times New Roman"/>
          <w:color w:val="000000" w:themeColor="text1"/>
        </w:rPr>
      </w:pPr>
    </w:p>
    <w:p w14:paraId="72E8896E"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6. Regression table for the maximal model examining the steepness of acceptance  (advanced speakers only).</w:t>
      </w:r>
    </w:p>
    <w:tbl>
      <w:tblPr>
        <w:tblW w:w="9247" w:type="dxa"/>
        <w:tblCellMar>
          <w:top w:w="220" w:type="dxa"/>
          <w:bottom w:w="177" w:type="dxa"/>
          <w:right w:w="50" w:type="dxa"/>
        </w:tblCellMar>
        <w:tblLook w:val="04A0" w:firstRow="1" w:lastRow="0" w:firstColumn="1" w:lastColumn="0" w:noHBand="0" w:noVBand="1"/>
      </w:tblPr>
      <w:tblGrid>
        <w:gridCol w:w="4328"/>
        <w:gridCol w:w="2248"/>
        <w:gridCol w:w="1320"/>
        <w:gridCol w:w="900"/>
        <w:gridCol w:w="451"/>
      </w:tblGrid>
      <w:tr w:rsidR="00B83530" w:rsidRPr="0032528B" w14:paraId="1ECFE0BB" w14:textId="77777777" w:rsidTr="009508DA">
        <w:trPr>
          <w:trHeight w:val="45"/>
        </w:trPr>
        <w:tc>
          <w:tcPr>
            <w:tcW w:w="4328" w:type="dxa"/>
            <w:tcBorders>
              <w:top w:val="double" w:sz="4" w:space="0" w:color="000000"/>
              <w:left w:val="nil"/>
              <w:bottom w:val="nil"/>
              <w:right w:val="nil"/>
            </w:tcBorders>
            <w:tcMar>
              <w:top w:w="0" w:type="dxa"/>
              <w:left w:w="0" w:type="dxa"/>
              <w:bottom w:w="0" w:type="dxa"/>
              <w:right w:w="0" w:type="dxa"/>
            </w:tcMar>
            <w:vAlign w:val="center"/>
          </w:tcPr>
          <w:p w14:paraId="5DED41FC"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Effect</w:t>
            </w:r>
          </w:p>
        </w:tc>
        <w:tc>
          <w:tcPr>
            <w:tcW w:w="2248" w:type="dxa"/>
            <w:tcBorders>
              <w:top w:val="double" w:sz="4" w:space="0" w:color="000000"/>
              <w:left w:val="nil"/>
              <w:bottom w:val="nil"/>
              <w:right w:val="nil"/>
            </w:tcBorders>
            <w:tcMar>
              <w:top w:w="0" w:type="dxa"/>
              <w:left w:w="0" w:type="dxa"/>
              <w:bottom w:w="0" w:type="dxa"/>
              <w:right w:w="0" w:type="dxa"/>
            </w:tcMar>
            <w:vAlign w:val="center"/>
          </w:tcPr>
          <w:p w14:paraId="72095881"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Est. (±SE)</w:t>
            </w:r>
          </w:p>
        </w:tc>
        <w:tc>
          <w:tcPr>
            <w:tcW w:w="1320" w:type="dxa"/>
            <w:tcBorders>
              <w:top w:val="double" w:sz="4" w:space="0" w:color="000000"/>
              <w:left w:val="nil"/>
              <w:bottom w:val="nil"/>
              <w:right w:val="nil"/>
            </w:tcBorders>
            <w:tcMar>
              <w:top w:w="0" w:type="dxa"/>
              <w:left w:w="0" w:type="dxa"/>
              <w:bottom w:w="0" w:type="dxa"/>
              <w:right w:w="0" w:type="dxa"/>
            </w:tcMar>
            <w:vAlign w:val="center"/>
          </w:tcPr>
          <w:p w14:paraId="6B9545A5"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t</w:t>
            </w:r>
            <w:r>
              <w:rPr>
                <w:rFonts w:ascii="Times New Roman" w:eastAsia="STKaiti" w:hAnsi="Times New Roman" w:cs="Times New Roman"/>
                <w:color w:val="000000" w:themeColor="text1"/>
              </w:rPr>
              <w:t>-value</w:t>
            </w:r>
          </w:p>
        </w:tc>
        <w:tc>
          <w:tcPr>
            <w:tcW w:w="900" w:type="dxa"/>
            <w:tcBorders>
              <w:top w:val="double" w:sz="4" w:space="0" w:color="000000"/>
              <w:left w:val="nil"/>
              <w:bottom w:val="nil"/>
              <w:right w:val="nil"/>
            </w:tcBorders>
            <w:tcMar>
              <w:top w:w="0" w:type="dxa"/>
              <w:left w:w="0" w:type="dxa"/>
              <w:bottom w:w="0" w:type="dxa"/>
              <w:right w:w="0" w:type="dxa"/>
            </w:tcMar>
            <w:vAlign w:val="center"/>
          </w:tcPr>
          <w:p w14:paraId="589DC3A6" w14:textId="77777777" w:rsidR="00B83530" w:rsidRPr="0032528B" w:rsidRDefault="00B83530" w:rsidP="009508DA">
            <w:pPr>
              <w:pStyle w:val="JASABodyText"/>
              <w:spacing w:line="240" w:lineRule="auto"/>
              <w:ind w:firstLine="0"/>
              <w:jc w:val="right"/>
              <w:rPr>
                <w:rFonts w:ascii="Times New Roman" w:eastAsia="STKaiti" w:hAnsi="Times New Roman" w:cs="Times New Roman"/>
                <w:i/>
                <w:color w:val="000000" w:themeColor="text1"/>
              </w:rPr>
            </w:pP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-value</w:t>
            </w:r>
          </w:p>
        </w:tc>
        <w:tc>
          <w:tcPr>
            <w:tcW w:w="451" w:type="dxa"/>
            <w:tcBorders>
              <w:top w:val="double" w:sz="4" w:space="0" w:color="000000"/>
              <w:left w:val="nil"/>
              <w:bottom w:val="nil"/>
              <w:right w:val="nil"/>
            </w:tcBorders>
            <w:tcMar>
              <w:top w:w="0" w:type="dxa"/>
              <w:left w:w="0" w:type="dxa"/>
              <w:bottom w:w="0" w:type="dxa"/>
              <w:right w:w="0" w:type="dxa"/>
            </w:tcMar>
            <w:vAlign w:val="center"/>
          </w:tcPr>
          <w:p w14:paraId="3767A91F"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2E51A7D6" w14:textId="77777777" w:rsidTr="009508DA">
        <w:trPr>
          <w:trHeight w:val="20"/>
        </w:trPr>
        <w:tc>
          <w:tcPr>
            <w:tcW w:w="4328" w:type="dxa"/>
            <w:tcBorders>
              <w:top w:val="single" w:sz="3" w:space="0" w:color="000000"/>
              <w:left w:val="nil"/>
              <w:bottom w:val="nil"/>
              <w:right w:val="nil"/>
            </w:tcBorders>
            <w:tcMar>
              <w:top w:w="0" w:type="dxa"/>
              <w:left w:w="0" w:type="dxa"/>
              <w:bottom w:w="0" w:type="dxa"/>
              <w:right w:w="0" w:type="dxa"/>
            </w:tcMar>
            <w:vAlign w:val="center"/>
          </w:tcPr>
          <w:p w14:paraId="27ED30F0"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intercept</w:t>
            </w:r>
          </w:p>
        </w:tc>
        <w:tc>
          <w:tcPr>
            <w:tcW w:w="2248" w:type="dxa"/>
            <w:tcBorders>
              <w:top w:val="single" w:sz="3" w:space="0" w:color="000000"/>
              <w:left w:val="nil"/>
              <w:bottom w:val="nil"/>
              <w:right w:val="nil"/>
            </w:tcBorders>
            <w:tcMar>
              <w:top w:w="0" w:type="dxa"/>
              <w:left w:w="0" w:type="dxa"/>
              <w:bottom w:w="0" w:type="dxa"/>
              <w:right w:w="0" w:type="dxa"/>
            </w:tcMar>
            <w:vAlign w:val="center"/>
          </w:tcPr>
          <w:p w14:paraId="517B3A35"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1.041±0.027</w:t>
            </w:r>
          </w:p>
        </w:tc>
        <w:tc>
          <w:tcPr>
            <w:tcW w:w="1320" w:type="dxa"/>
            <w:tcBorders>
              <w:top w:val="single" w:sz="3" w:space="0" w:color="000000"/>
              <w:left w:val="nil"/>
              <w:bottom w:val="nil"/>
              <w:right w:val="nil"/>
            </w:tcBorders>
            <w:tcMar>
              <w:top w:w="0" w:type="dxa"/>
              <w:left w:w="0" w:type="dxa"/>
              <w:bottom w:w="0" w:type="dxa"/>
              <w:right w:w="0" w:type="dxa"/>
            </w:tcMar>
            <w:vAlign w:val="center"/>
          </w:tcPr>
          <w:p w14:paraId="7F74E6FB"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38.055</w:t>
            </w:r>
          </w:p>
        </w:tc>
        <w:tc>
          <w:tcPr>
            <w:tcW w:w="900" w:type="dxa"/>
            <w:tcBorders>
              <w:top w:val="single" w:sz="3" w:space="0" w:color="000000"/>
              <w:left w:val="nil"/>
              <w:bottom w:val="nil"/>
              <w:right w:val="nil"/>
            </w:tcBorders>
            <w:tcMar>
              <w:top w:w="0" w:type="dxa"/>
              <w:left w:w="0" w:type="dxa"/>
              <w:bottom w:w="0" w:type="dxa"/>
              <w:right w:w="0" w:type="dxa"/>
            </w:tcMar>
            <w:vAlign w:val="center"/>
          </w:tcPr>
          <w:p w14:paraId="42CE225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&lt;0.001</w:t>
            </w:r>
          </w:p>
        </w:tc>
        <w:tc>
          <w:tcPr>
            <w:tcW w:w="451" w:type="dxa"/>
            <w:tcBorders>
              <w:top w:val="single" w:sz="3" w:space="0" w:color="000000"/>
              <w:left w:val="nil"/>
              <w:bottom w:val="nil"/>
              <w:right w:val="nil"/>
            </w:tcBorders>
            <w:tcMar>
              <w:top w:w="0" w:type="dxa"/>
              <w:left w:w="0" w:type="dxa"/>
              <w:bottom w:w="0" w:type="dxa"/>
              <w:right w:w="0" w:type="dxa"/>
            </w:tcMar>
            <w:vAlign w:val="center"/>
          </w:tcPr>
          <w:p w14:paraId="79077648"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w:t>
            </w:r>
          </w:p>
        </w:tc>
      </w:tr>
      <w:tr w:rsidR="00B83530" w:rsidRPr="0032528B" w14:paraId="74D1F839" w14:textId="77777777" w:rsidTr="009508DA">
        <w:trPr>
          <w:trHeight w:val="27"/>
        </w:trPr>
        <w:tc>
          <w:tcPr>
            <w:tcW w:w="4328" w:type="dxa"/>
            <w:tcBorders>
              <w:top w:val="nil"/>
              <w:left w:val="nil"/>
              <w:bottom w:val="nil"/>
              <w:right w:val="nil"/>
            </w:tcBorders>
            <w:tcMar>
              <w:top w:w="0" w:type="dxa"/>
              <w:left w:w="0" w:type="dxa"/>
              <w:bottom w:w="0" w:type="dxa"/>
              <w:right w:w="0" w:type="dxa"/>
            </w:tcMar>
            <w:vAlign w:val="center"/>
          </w:tcPr>
          <w:p w14:paraId="0DA08401"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language (TM [bilingual])</w:t>
            </w:r>
          </w:p>
        </w:tc>
        <w:tc>
          <w:tcPr>
            <w:tcW w:w="2248" w:type="dxa"/>
            <w:tcBorders>
              <w:top w:val="nil"/>
              <w:left w:val="nil"/>
              <w:bottom w:val="nil"/>
              <w:right w:val="nil"/>
            </w:tcBorders>
            <w:tcMar>
              <w:top w:w="0" w:type="dxa"/>
              <w:left w:w="0" w:type="dxa"/>
              <w:bottom w:w="0" w:type="dxa"/>
              <w:right w:w="0" w:type="dxa"/>
            </w:tcMar>
            <w:vAlign w:val="center"/>
          </w:tcPr>
          <w:p w14:paraId="61F4C3DF"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0.000±0.042</w:t>
            </w:r>
          </w:p>
        </w:tc>
        <w:tc>
          <w:tcPr>
            <w:tcW w:w="1320" w:type="dxa"/>
            <w:tcBorders>
              <w:top w:val="nil"/>
              <w:left w:val="nil"/>
              <w:bottom w:val="nil"/>
              <w:right w:val="nil"/>
            </w:tcBorders>
            <w:tcMar>
              <w:top w:w="0" w:type="dxa"/>
              <w:left w:w="0" w:type="dxa"/>
              <w:bottom w:w="0" w:type="dxa"/>
              <w:right w:w="0" w:type="dxa"/>
            </w:tcMar>
            <w:vAlign w:val="center"/>
          </w:tcPr>
          <w:p w14:paraId="060B33FB"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0.005</w:t>
            </w:r>
          </w:p>
        </w:tc>
        <w:tc>
          <w:tcPr>
            <w:tcW w:w="900" w:type="dxa"/>
            <w:tcBorders>
              <w:top w:val="nil"/>
              <w:left w:val="nil"/>
              <w:bottom w:val="nil"/>
              <w:right w:val="nil"/>
            </w:tcBorders>
            <w:tcMar>
              <w:top w:w="0" w:type="dxa"/>
              <w:left w:w="0" w:type="dxa"/>
              <w:bottom w:w="0" w:type="dxa"/>
              <w:right w:w="0" w:type="dxa"/>
            </w:tcMar>
            <w:vAlign w:val="center"/>
          </w:tcPr>
          <w:p w14:paraId="76D5E239"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0.996</w:t>
            </w:r>
          </w:p>
        </w:tc>
        <w:tc>
          <w:tcPr>
            <w:tcW w:w="451" w:type="dxa"/>
            <w:tcBorders>
              <w:top w:val="nil"/>
              <w:left w:val="nil"/>
              <w:bottom w:val="nil"/>
              <w:right w:val="nil"/>
            </w:tcBorders>
            <w:tcMar>
              <w:top w:w="0" w:type="dxa"/>
              <w:left w:w="0" w:type="dxa"/>
              <w:bottom w:w="0" w:type="dxa"/>
              <w:right w:w="0" w:type="dxa"/>
            </w:tcMar>
            <w:vAlign w:val="center"/>
          </w:tcPr>
          <w:p w14:paraId="06548DD6"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6F7E4F5B" w14:textId="77777777" w:rsidTr="009508DA">
        <w:trPr>
          <w:trHeight w:val="27"/>
        </w:trPr>
        <w:tc>
          <w:tcPr>
            <w:tcW w:w="4328" w:type="dxa"/>
            <w:tcBorders>
              <w:top w:val="nil"/>
              <w:left w:val="nil"/>
              <w:bottom w:val="nil"/>
              <w:right w:val="nil"/>
            </w:tcBorders>
            <w:tcMar>
              <w:top w:w="0" w:type="dxa"/>
              <w:left w:w="0" w:type="dxa"/>
              <w:bottom w:w="0" w:type="dxa"/>
              <w:right w:w="0" w:type="dxa"/>
            </w:tcMar>
            <w:vAlign w:val="center"/>
          </w:tcPr>
          <w:p w14:paraId="362C865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w:t>
            </w:r>
          </w:p>
        </w:tc>
        <w:tc>
          <w:tcPr>
            <w:tcW w:w="2248" w:type="dxa"/>
            <w:tcBorders>
              <w:top w:val="nil"/>
              <w:left w:val="nil"/>
              <w:bottom w:val="nil"/>
              <w:right w:val="nil"/>
            </w:tcBorders>
            <w:tcMar>
              <w:top w:w="0" w:type="dxa"/>
              <w:left w:w="0" w:type="dxa"/>
              <w:bottom w:w="0" w:type="dxa"/>
              <w:right w:w="0" w:type="dxa"/>
            </w:tcMar>
            <w:vAlign w:val="center"/>
          </w:tcPr>
          <w:p w14:paraId="652B679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0.055±0.042</w:t>
            </w:r>
          </w:p>
        </w:tc>
        <w:tc>
          <w:tcPr>
            <w:tcW w:w="1320" w:type="dxa"/>
            <w:tcBorders>
              <w:top w:val="nil"/>
              <w:left w:val="nil"/>
              <w:bottom w:val="nil"/>
              <w:right w:val="nil"/>
            </w:tcBorders>
            <w:tcMar>
              <w:top w:w="0" w:type="dxa"/>
              <w:left w:w="0" w:type="dxa"/>
              <w:bottom w:w="0" w:type="dxa"/>
              <w:right w:w="0" w:type="dxa"/>
            </w:tcMar>
            <w:vAlign w:val="center"/>
          </w:tcPr>
          <w:p w14:paraId="4D31E279"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1.296</w:t>
            </w:r>
          </w:p>
        </w:tc>
        <w:tc>
          <w:tcPr>
            <w:tcW w:w="900" w:type="dxa"/>
            <w:tcBorders>
              <w:top w:val="nil"/>
              <w:left w:val="nil"/>
              <w:bottom w:val="nil"/>
              <w:right w:val="nil"/>
            </w:tcBorders>
            <w:tcMar>
              <w:top w:w="0" w:type="dxa"/>
              <w:left w:w="0" w:type="dxa"/>
              <w:bottom w:w="0" w:type="dxa"/>
              <w:right w:w="0" w:type="dxa"/>
            </w:tcMar>
            <w:vAlign w:val="center"/>
          </w:tcPr>
          <w:p w14:paraId="0DCA14E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0.199</w:t>
            </w:r>
          </w:p>
        </w:tc>
        <w:tc>
          <w:tcPr>
            <w:tcW w:w="451" w:type="dxa"/>
            <w:tcBorders>
              <w:top w:val="nil"/>
              <w:left w:val="nil"/>
              <w:bottom w:val="nil"/>
              <w:right w:val="nil"/>
            </w:tcBorders>
            <w:tcMar>
              <w:top w:w="0" w:type="dxa"/>
              <w:left w:w="0" w:type="dxa"/>
              <w:bottom w:w="0" w:type="dxa"/>
              <w:right w:w="0" w:type="dxa"/>
            </w:tcMar>
            <w:vAlign w:val="center"/>
          </w:tcPr>
          <w:p w14:paraId="1C908656"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4017D426" w14:textId="77777777" w:rsidTr="009508DA">
        <w:trPr>
          <w:trHeight w:val="75"/>
        </w:trPr>
        <w:tc>
          <w:tcPr>
            <w:tcW w:w="4328" w:type="dxa"/>
            <w:tcBorders>
              <w:top w:val="nil"/>
              <w:left w:val="nil"/>
              <w:bottom w:val="nil"/>
              <w:right w:val="nil"/>
            </w:tcBorders>
            <w:tcMar>
              <w:top w:w="0" w:type="dxa"/>
              <w:left w:w="0" w:type="dxa"/>
              <w:bottom w:w="0" w:type="dxa"/>
              <w:right w:w="0" w:type="dxa"/>
            </w:tcMar>
            <w:vAlign w:val="center"/>
          </w:tcPr>
          <w:p w14:paraId="5BB74626"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target tone</w:t>
            </w:r>
          </w:p>
        </w:tc>
        <w:tc>
          <w:tcPr>
            <w:tcW w:w="2248" w:type="dxa"/>
            <w:tcBorders>
              <w:top w:val="nil"/>
              <w:left w:val="nil"/>
              <w:bottom w:val="nil"/>
              <w:right w:val="nil"/>
            </w:tcBorders>
            <w:tcMar>
              <w:top w:w="0" w:type="dxa"/>
              <w:left w:w="0" w:type="dxa"/>
              <w:bottom w:w="0" w:type="dxa"/>
              <w:right w:w="0" w:type="dxa"/>
            </w:tcMar>
            <w:vAlign w:val="center"/>
          </w:tcPr>
          <w:p w14:paraId="210B15D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−0.166±0.055</w:t>
            </w:r>
          </w:p>
        </w:tc>
        <w:tc>
          <w:tcPr>
            <w:tcW w:w="1320" w:type="dxa"/>
            <w:tcBorders>
              <w:top w:val="nil"/>
              <w:left w:val="nil"/>
              <w:bottom w:val="nil"/>
              <w:right w:val="nil"/>
            </w:tcBorders>
            <w:tcMar>
              <w:top w:w="0" w:type="dxa"/>
              <w:left w:w="0" w:type="dxa"/>
              <w:bottom w:w="0" w:type="dxa"/>
              <w:right w:w="0" w:type="dxa"/>
            </w:tcMar>
            <w:vAlign w:val="center"/>
          </w:tcPr>
          <w:p w14:paraId="4150CFFD"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−3.027</w:t>
            </w:r>
          </w:p>
        </w:tc>
        <w:tc>
          <w:tcPr>
            <w:tcW w:w="900" w:type="dxa"/>
            <w:tcBorders>
              <w:top w:val="nil"/>
              <w:left w:val="nil"/>
              <w:bottom w:val="nil"/>
              <w:right w:val="nil"/>
            </w:tcBorders>
            <w:tcMar>
              <w:top w:w="0" w:type="dxa"/>
              <w:left w:w="0" w:type="dxa"/>
              <w:bottom w:w="0" w:type="dxa"/>
              <w:right w:w="0" w:type="dxa"/>
            </w:tcMar>
            <w:vAlign w:val="center"/>
          </w:tcPr>
          <w:p w14:paraId="5447E750"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0.003</w:t>
            </w:r>
          </w:p>
        </w:tc>
        <w:tc>
          <w:tcPr>
            <w:tcW w:w="451" w:type="dxa"/>
            <w:tcBorders>
              <w:top w:val="nil"/>
              <w:left w:val="nil"/>
              <w:bottom w:val="nil"/>
              <w:right w:val="nil"/>
            </w:tcBorders>
            <w:tcMar>
              <w:top w:w="0" w:type="dxa"/>
              <w:left w:w="0" w:type="dxa"/>
              <w:bottom w:w="0" w:type="dxa"/>
              <w:right w:w="0" w:type="dxa"/>
            </w:tcMar>
            <w:vAlign w:val="center"/>
          </w:tcPr>
          <w:p w14:paraId="6581D010"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w:t>
            </w:r>
          </w:p>
        </w:tc>
      </w:tr>
      <w:tr w:rsidR="00B83530" w:rsidRPr="0032528B" w14:paraId="18CA5907" w14:textId="77777777" w:rsidTr="009508DA">
        <w:trPr>
          <w:trHeight w:val="27"/>
        </w:trPr>
        <w:tc>
          <w:tcPr>
            <w:tcW w:w="4328" w:type="dxa"/>
            <w:tcBorders>
              <w:top w:val="nil"/>
              <w:left w:val="nil"/>
              <w:bottom w:val="nil"/>
              <w:right w:val="nil"/>
            </w:tcBorders>
            <w:tcMar>
              <w:top w:w="0" w:type="dxa"/>
              <w:left w:w="0" w:type="dxa"/>
              <w:bottom w:w="0" w:type="dxa"/>
              <w:right w:w="0" w:type="dxa"/>
            </w:tcMar>
            <w:vAlign w:val="center"/>
          </w:tcPr>
          <w:p w14:paraId="6D328394"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[bilingual]):target tone</w:t>
            </w:r>
          </w:p>
        </w:tc>
        <w:tc>
          <w:tcPr>
            <w:tcW w:w="2248" w:type="dxa"/>
            <w:tcBorders>
              <w:top w:val="nil"/>
              <w:left w:val="nil"/>
              <w:bottom w:val="nil"/>
              <w:right w:val="nil"/>
            </w:tcBorders>
            <w:tcMar>
              <w:top w:w="0" w:type="dxa"/>
              <w:left w:w="0" w:type="dxa"/>
              <w:bottom w:w="0" w:type="dxa"/>
              <w:right w:w="0" w:type="dxa"/>
            </w:tcMar>
            <w:vAlign w:val="center"/>
          </w:tcPr>
          <w:p w14:paraId="45EEB36F"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−0.029±0.084</w:t>
            </w:r>
          </w:p>
        </w:tc>
        <w:tc>
          <w:tcPr>
            <w:tcW w:w="1320" w:type="dxa"/>
            <w:tcBorders>
              <w:top w:val="nil"/>
              <w:left w:val="nil"/>
              <w:bottom w:val="nil"/>
              <w:right w:val="nil"/>
            </w:tcBorders>
            <w:tcMar>
              <w:top w:w="0" w:type="dxa"/>
              <w:left w:w="0" w:type="dxa"/>
              <w:bottom w:w="0" w:type="dxa"/>
              <w:right w:w="0" w:type="dxa"/>
            </w:tcMar>
            <w:vAlign w:val="center"/>
          </w:tcPr>
          <w:p w14:paraId="71668E1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−0.340</w:t>
            </w:r>
          </w:p>
        </w:tc>
        <w:tc>
          <w:tcPr>
            <w:tcW w:w="900" w:type="dxa"/>
            <w:tcBorders>
              <w:top w:val="nil"/>
              <w:left w:val="nil"/>
              <w:bottom w:val="nil"/>
              <w:right w:val="nil"/>
            </w:tcBorders>
            <w:tcMar>
              <w:top w:w="0" w:type="dxa"/>
              <w:left w:w="0" w:type="dxa"/>
              <w:bottom w:w="0" w:type="dxa"/>
              <w:right w:w="0" w:type="dxa"/>
            </w:tcMar>
            <w:vAlign w:val="center"/>
          </w:tcPr>
          <w:p w14:paraId="0666610D"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0.735</w:t>
            </w:r>
          </w:p>
        </w:tc>
        <w:tc>
          <w:tcPr>
            <w:tcW w:w="451" w:type="dxa"/>
            <w:tcBorders>
              <w:top w:val="nil"/>
              <w:left w:val="nil"/>
              <w:bottom w:val="nil"/>
              <w:right w:val="nil"/>
            </w:tcBorders>
            <w:tcMar>
              <w:top w:w="0" w:type="dxa"/>
              <w:left w:w="0" w:type="dxa"/>
              <w:bottom w:w="0" w:type="dxa"/>
              <w:right w:w="0" w:type="dxa"/>
            </w:tcMar>
            <w:vAlign w:val="center"/>
          </w:tcPr>
          <w:p w14:paraId="20A5EEE4"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p>
        </w:tc>
      </w:tr>
      <w:tr w:rsidR="00B83530" w:rsidRPr="0032528B" w14:paraId="3AB5ED98" w14:textId="77777777" w:rsidTr="009508DA">
        <w:trPr>
          <w:trHeight w:val="27"/>
        </w:trPr>
        <w:tc>
          <w:tcPr>
            <w:tcW w:w="4328" w:type="dxa"/>
            <w:tcBorders>
              <w:top w:val="nil"/>
              <w:left w:val="nil"/>
              <w:bottom w:val="double" w:sz="4" w:space="0" w:color="000000"/>
              <w:right w:val="nil"/>
            </w:tcBorders>
            <w:tcMar>
              <w:top w:w="0" w:type="dxa"/>
              <w:left w:w="0" w:type="dxa"/>
              <w:bottom w:w="0" w:type="dxa"/>
              <w:right w:w="0" w:type="dxa"/>
            </w:tcMar>
            <w:vAlign w:val="center"/>
          </w:tcPr>
          <w:p w14:paraId="25C61DD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(TSM):target tone</w:t>
            </w:r>
          </w:p>
        </w:tc>
        <w:tc>
          <w:tcPr>
            <w:tcW w:w="2248" w:type="dxa"/>
            <w:tcBorders>
              <w:top w:val="nil"/>
              <w:left w:val="nil"/>
              <w:bottom w:val="double" w:sz="4" w:space="0" w:color="000000"/>
              <w:right w:val="nil"/>
            </w:tcBorders>
            <w:tcMar>
              <w:top w:w="0" w:type="dxa"/>
              <w:left w:w="0" w:type="dxa"/>
              <w:bottom w:w="0" w:type="dxa"/>
              <w:right w:w="0" w:type="dxa"/>
            </w:tcMar>
            <w:vAlign w:val="center"/>
          </w:tcPr>
          <w:p w14:paraId="3C74633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0.897±0.084</w:t>
            </w:r>
          </w:p>
        </w:tc>
        <w:tc>
          <w:tcPr>
            <w:tcW w:w="1320" w:type="dxa"/>
            <w:tcBorders>
              <w:top w:val="nil"/>
              <w:left w:val="nil"/>
              <w:bottom w:val="double" w:sz="4" w:space="0" w:color="000000"/>
              <w:right w:val="nil"/>
            </w:tcBorders>
            <w:tcMar>
              <w:top w:w="0" w:type="dxa"/>
              <w:left w:w="0" w:type="dxa"/>
              <w:bottom w:w="0" w:type="dxa"/>
              <w:right w:w="0" w:type="dxa"/>
            </w:tcMar>
            <w:vAlign w:val="center"/>
          </w:tcPr>
          <w:p w14:paraId="580F8DE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10.660</w:t>
            </w:r>
          </w:p>
        </w:tc>
        <w:tc>
          <w:tcPr>
            <w:tcW w:w="900" w:type="dxa"/>
            <w:tcBorders>
              <w:top w:val="nil"/>
              <w:left w:val="nil"/>
              <w:bottom w:val="double" w:sz="4" w:space="0" w:color="000000"/>
              <w:right w:val="nil"/>
            </w:tcBorders>
            <w:tcMar>
              <w:top w:w="0" w:type="dxa"/>
              <w:left w:w="0" w:type="dxa"/>
              <w:bottom w:w="0" w:type="dxa"/>
              <w:right w:w="0" w:type="dxa"/>
            </w:tcMar>
            <w:vAlign w:val="center"/>
          </w:tcPr>
          <w:p w14:paraId="67C3849F"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&lt;0.001</w:t>
            </w:r>
          </w:p>
        </w:tc>
        <w:tc>
          <w:tcPr>
            <w:tcW w:w="451" w:type="dxa"/>
            <w:tcBorders>
              <w:top w:val="nil"/>
              <w:left w:val="nil"/>
              <w:bottom w:val="double" w:sz="4" w:space="0" w:color="000000"/>
              <w:right w:val="nil"/>
            </w:tcBorders>
            <w:tcMar>
              <w:top w:w="0" w:type="dxa"/>
              <w:left w:w="0" w:type="dxa"/>
              <w:bottom w:w="0" w:type="dxa"/>
              <w:right w:w="0" w:type="dxa"/>
            </w:tcMar>
            <w:vAlign w:val="center"/>
          </w:tcPr>
          <w:p w14:paraId="52C3C052"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w:t>
            </w:r>
          </w:p>
        </w:tc>
      </w:tr>
    </w:tbl>
    <w:p w14:paraId="02CEE216" w14:textId="77777777" w:rsidR="00B83530" w:rsidRPr="0032528B" w:rsidRDefault="00B83530" w:rsidP="00B83530">
      <w:pPr>
        <w:pStyle w:val="JASABodyText"/>
        <w:ind w:firstLine="0"/>
        <w:rPr>
          <w:rFonts w:ascii="Times New Roman" w:eastAsia="STKaiti" w:hAnsi="Times New Roman" w:cs="Times New Roman"/>
          <w:color w:val="000000" w:themeColor="text1"/>
        </w:rPr>
      </w:pPr>
    </w:p>
    <w:p w14:paraId="53F27777" w14:textId="4A21B837" w:rsidR="00986D36" w:rsidRPr="0032528B" w:rsidRDefault="004720FC" w:rsidP="00B83530">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regression results show that, contrary to our prediction, the general steepness of acceptance rates was not significantly different between TSM and TM (monolingual;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=0.005;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=0.905), as well as between TM (monolingual) vs. TM (bilingual;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=0.007;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=0.858). It should be noted that in this experiment, we take the steepness of the acceptance rates as an indicator of how categorically speakers distinguish between the low tone and the falling tone. As such, this result would serve to suggest that, in general, TSM participants are not more strict/categorical in their perception between the low tone and the falling tone.</w:t>
      </w:r>
    </w:p>
    <w:p w14:paraId="696C5355" w14:textId="3A95CDD7" w:rsidR="00986D36" w:rsidRPr="0032528B" w:rsidRDefault="00986D36" w:rsidP="003D309D">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However, the regression model also shows an interaction between tone and language (TSM), as also seen in Figure 6, where TSM participants had steeper acceptance rates when the target tone was the falling tone instead of the low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=0.809;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&lt;0.001). On the flip side, in monolingual TM participants’ perception, it was the low tone that received steeper acceptance rates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=−0.166;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=0.01). This difference was not found in bilingual participants’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=0.025;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 xml:space="preserve">=0.581) TM perception between the two target tones.</w:t>
      </w:r>
    </w:p>
    <w:p w14:paraId="4AC00B67" w14:textId="55685CD2" w:rsidR="00986D36" w:rsidRPr="0032528B" w:rsidRDefault="00986D36" w:rsidP="00986D36">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This interaction was even more pronounced when only the advanced bilingual speakers were included in the TSM (bilingual) group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=0.897;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&lt;0.001).</w:t>
      </w:r>
    </w:p>
    <w:p w14:paraId="17CCA4E5" w14:textId="280AFBC6" w:rsidR="00986D36" w:rsidRPr="0032528B" w:rsidRDefault="00986D36" w:rsidP="00986D36">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Follow-up models</w:t>
      </w:r>
      <w:r>
        <w:rPr>
          <w:rStyle w:val="Appelnotedebasdep"/>
          <w:rFonts w:eastAsia="STKaiti" w:cs="Times New Roman"/>
          <w:color w:val="000000" w:themeColor="text1"/>
        </w:rPr>
        <w:footnoteReference w:id="34"/>
      </w:r>
      <w:r>
        <w:rPr>
          <w:rFonts w:ascii="Times New Roman" w:eastAsia="STKaiti" w:hAnsi="Times New Roman" w:cs="Times New Roman"/>
          <w:color w:val="000000" w:themeColor="text1"/>
        </w:rPr>
        <w:t xml:space="preserve"> were also fitted to examine this cross-language comparison within each of the two target tones. When all participants were included, the steepness of acceptance rates was lower for TSM than TM (monolingual) for the low tone perception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=−0.400;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w:t>
        <w:lastRenderedPageBreak/>
        <w:t>On the flip side, it was significantly higher for TSM than TM in the falling tone perception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=0.409;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When only advanced speakers were considered, such a difference was more salient: TSM had a less steep slope of acceptance than TM for the low tone perception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=−0.394;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but a steeper slope for the falling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=0.503;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Additionally, it was also found that within the bilingual participants, similar patterns were also attested between TSM and TM for all participants (low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=−0.394;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falling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=0.389; </w:t>
      </w:r>
      <w:r>
        <w:rPr>
          <w:rFonts w:ascii="Times New Roman" w:eastAsia="STKaiti" w:hAnsi="Times New Roman" w:cs="Times New Roman"/>
          <w:i/>
          <w:iCs/>
          <w:color w:val="000000" w:themeColor="text1"/>
        </w:rPr>
        <w:t>p</w:t>
      </w:r>
      <w:r>
        <w:rPr>
          <w:rFonts w:ascii="Times New Roman" w:eastAsia="STKaiti" w:hAnsi="Times New Roman" w:cs="Times New Roman"/>
          <w:i/>
          <w:color w:val="000000" w:themeColor="text1"/>
        </w:rPr>
        <w:t>&lt;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and advanced participants (low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=−0.408;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falling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=0.517;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001).</w:t>
      </w:r>
    </w:p>
    <w:p w14:paraId="32139863" w14:textId="764D4AEA" w:rsidR="00986D36" w:rsidRPr="0032528B" w:rsidRDefault="00791131" w:rsidP="00986D36">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Overall, the results suggested that TSM speakers and TM speakers reacted differently when perceiving low vs. falling tones. When perceiving a low tone, TM speakers had a steeper slope of acceptance rates (more categorical perception). In contrast, when the target was a falling tone, it was the TSM speakers who demonstrated more categorical perception, and this difference was also observed in the bilingual speakers’ responses.</w:t>
      </w:r>
    </w:p>
    <w:p w14:paraId="54A8EA5D" w14:textId="77777777" w:rsidR="00697678" w:rsidRPr="0032528B" w:rsidRDefault="00697678" w:rsidP="00A1648F">
      <w:pPr>
        <w:pStyle w:val="JASABodyText"/>
        <w:ind w:firstLine="0"/>
        <w:rPr>
          <w:rFonts w:ascii="Times New Roman" w:eastAsia="STKaiti" w:hAnsi="Times New Roman" w:cs="Times New Roman"/>
          <w:color w:val="000000" w:themeColor="text1"/>
        </w:rPr>
      </w:pPr>
    </w:p>
    <w:p w14:paraId="3FD87E82" w14:textId="32AACBCB" w:rsidR="00350AB0" w:rsidRPr="0032528B" w:rsidRDefault="006C5DBB" w:rsidP="006C5DBB">
      <w:pPr>
        <w:pStyle w:val="JASABodyText"/>
        <w:ind w:firstLine="0"/>
        <w:rPr>
          <w:rFonts w:ascii="Times New Roman" w:eastAsia="STKaiti" w:hAnsi="Times New Roman" w:cs="Times New Roman"/>
          <w:b/>
          <w:color w:val="000000" w:themeColor="text1"/>
        </w:rPr>
      </w:pPr>
      <w:r>
        <w:rPr>
          <w:rFonts w:ascii="Times New Roman" w:eastAsia="STKaiti" w:hAnsi="Times New Roman" w:cs="Times New Roman"/>
          <w:b/>
          <w:color w:val="000000" w:themeColor="text1"/>
        </w:rPr>
        <w:t xml:space="preserve">4.2.2 Thresholds of acceptance</w:t>
      </w:r>
    </w:p>
    <w:p w14:paraId="25EC6BCE" w14:textId="02F9EDB8" w:rsidR="00791131" w:rsidRPr="0032528B" w:rsidRDefault="00791131"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The second parameter that was investigated is the threshold of acceptance.</w:t>
      </w:r>
    </w:p>
    <w:p w14:paraId="697EC789" w14:textId="2CEAF05D" w:rsidR="00B83530" w:rsidRPr="0032528B" w:rsidRDefault="002325C2" w:rsidP="002325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distribution of the steepness of acceptance rate for the two target tones among the three language groups is shown in Figure 7. The low tone perception seems to pattern with that seen in Figure 6, while the linguistic differences in falling tone perception are less pronounced.</w:t>
      </w:r>
    </w:p>
    <w:p w14:paraId="3E9C9BEB"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noProof/>
          <w:color w:val="000000" w:themeColor="text1"/>
        </w:rPr>
        <w:lastRenderedPageBreak/>
        <w:drawing>
          <wp:inline distT="0" distB="0" distL="0" distR="0" wp14:anchorId="0CAEEFB0" wp14:editId="2E2DDBA0">
            <wp:extent cx="5878953" cy="2147306"/>
            <wp:effectExtent l="0" t="0" r="1270" b="0"/>
            <wp:docPr id="1710917844" name="Picture 3385"/>
            <wp:cNvGraphicFramePr/>
            <a:graphic xmlns:a="http://schemas.openxmlformats.org/drawingml/2006/main">
              <a:graphicData uri="http://schemas.openxmlformats.org/drawingml/2006/picture">
                <pic:pic xmlns:pic="http://schemas.openxmlformats.org/drawingml/2006/picture">
                  <pic:nvPicPr>
                    <pic:cNvPr id="3385" name="Picture 3385"/>
                    <pic:cNvPicPr/>
                  </pic:nvPicPr>
                  <pic:blipFill>
                    <a:blip r:embed="rId19"/>
                    <a:stretch>
                      <a:fillRect/>
                    </a:stretch>
                  </pic:blipFill>
                  <pic:spPr>
                    <a:xfrm>
                      <a:off x="0" y="0"/>
                      <a:ext cx="5878953" cy="2147306"/>
                    </a:xfrm>
                    <a:prstGeom prst="rect">
                      <a:avLst/>
                    </a:prstGeom>
                  </pic:spPr>
                </pic:pic>
              </a:graphicData>
            </a:graphic>
          </wp:inline>
        </w:drawing>
      </w:r>
    </w:p>
    <w:p w14:paraId="19166F0C" w14:textId="0813C399"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7. Thresholds of acceptance for the falling tone and the low tone among the three language groups (all participants: a; advanced speakers only: b).</w:t>
      </w:r>
    </w:p>
    <w:p w14:paraId="24F286D9" w14:textId="77777777" w:rsidR="00B83530" w:rsidRPr="0032528B" w:rsidRDefault="00B83530" w:rsidP="00911042">
      <w:pPr>
        <w:pStyle w:val="JASABodyText"/>
        <w:ind w:firstLine="0"/>
        <w:rPr>
          <w:rFonts w:ascii="Times New Roman" w:eastAsia="STKaiti" w:hAnsi="Times New Roman" w:cs="Times New Roman"/>
          <w:color w:val="000000" w:themeColor="text1"/>
        </w:rPr>
      </w:pPr>
    </w:p>
    <w:p w14:paraId="18800643" w14:textId="77777777" w:rsidR="00B83530" w:rsidRPr="0032528B" w:rsidRDefault="002325C2" w:rsidP="002325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regression results are shown in Tables 7 (all speakers) and </w:t>
      </w:r>
      <w:r>
        <w:rPr>
          <w:rFonts w:ascii="Times New Roman" w:eastAsia="STKaiti" w:hAnsi="Times New Roman" w:cs="Times New Roman"/>
          <w:color w:val="000000" w:themeColor="text1"/>
          <w:lang w:eastAsia="zh-TW"/>
        </w:rPr>
        <w:t>8</w:t>
      </w:r>
      <w:r>
        <w:rPr>
          <w:rFonts w:ascii="Times New Roman" w:eastAsia="STKaiti" w:hAnsi="Times New Roman" w:cs="Times New Roman"/>
          <w:color w:val="000000" w:themeColor="text1"/>
        </w:rPr>
        <w:t xml:space="preserve"> (advanced speakers only).</w:t>
      </w:r>
    </w:p>
    <w:p w14:paraId="21EBF1B9"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7. Regression table for the maximal model examining the thresholds of acceptance.</w:t>
      </w:r>
    </w:p>
    <w:tbl>
      <w:tblPr>
        <w:tblW w:w="9247" w:type="dxa"/>
        <w:tblLayout w:type="fixed"/>
        <w:tblCellMar>
          <w:top w:w="220" w:type="dxa"/>
          <w:bottom w:w="177" w:type="dxa"/>
          <w:right w:w="50" w:type="dxa"/>
        </w:tblCellMar>
        <w:tblLook w:val="04A0" w:firstRow="1" w:lastRow="0" w:firstColumn="1" w:lastColumn="0" w:noHBand="0" w:noVBand="1"/>
      </w:tblPr>
      <w:tblGrid>
        <w:gridCol w:w="4820"/>
        <w:gridCol w:w="1559"/>
        <w:gridCol w:w="992"/>
        <w:gridCol w:w="1321"/>
        <w:gridCol w:w="555"/>
      </w:tblGrid>
      <w:tr w:rsidR="00B83530" w:rsidRPr="0032528B" w14:paraId="171860B3" w14:textId="77777777" w:rsidTr="009508DA">
        <w:trPr>
          <w:trHeight w:val="13"/>
        </w:trPr>
        <w:tc>
          <w:tcPr>
            <w:tcW w:w="4820" w:type="dxa"/>
            <w:tcBorders>
              <w:top w:val="double" w:sz="4" w:space="0" w:color="000000"/>
              <w:left w:val="nil"/>
              <w:bottom w:val="nil"/>
              <w:right w:val="nil"/>
            </w:tcBorders>
            <w:tcMar>
              <w:top w:w="0" w:type="dxa"/>
              <w:left w:w="0" w:type="dxa"/>
              <w:bottom w:w="0" w:type="dxa"/>
              <w:right w:w="0" w:type="dxa"/>
            </w:tcMar>
            <w:vAlign w:val="center"/>
          </w:tcPr>
          <w:p w14:paraId="73A51554"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Effect</w:t>
            </w:r>
          </w:p>
        </w:tc>
        <w:tc>
          <w:tcPr>
            <w:tcW w:w="1559" w:type="dxa"/>
            <w:tcBorders>
              <w:top w:val="double" w:sz="4" w:space="0" w:color="000000"/>
              <w:left w:val="nil"/>
              <w:bottom w:val="nil"/>
              <w:right w:val="nil"/>
            </w:tcBorders>
            <w:tcMar>
              <w:top w:w="0" w:type="dxa"/>
              <w:left w:w="0" w:type="dxa"/>
              <w:bottom w:w="0" w:type="dxa"/>
              <w:right w:w="0" w:type="dxa"/>
            </w:tcMar>
            <w:vAlign w:val="center"/>
          </w:tcPr>
          <w:p w14:paraId="1F303087"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Est. (±SE)</w:t>
            </w:r>
          </w:p>
        </w:tc>
        <w:tc>
          <w:tcPr>
            <w:tcW w:w="992" w:type="dxa"/>
            <w:tcBorders>
              <w:top w:val="double" w:sz="4" w:space="0" w:color="000000"/>
              <w:left w:val="nil"/>
              <w:bottom w:val="nil"/>
              <w:right w:val="nil"/>
            </w:tcBorders>
            <w:tcMar>
              <w:top w:w="0" w:type="dxa"/>
              <w:left w:w="0" w:type="dxa"/>
              <w:bottom w:w="0" w:type="dxa"/>
              <w:right w:w="0" w:type="dxa"/>
            </w:tcMar>
            <w:vAlign w:val="center"/>
          </w:tcPr>
          <w:p w14:paraId="16C26C0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t</w:t>
            </w:r>
            <w:r>
              <w:rPr>
                <w:rFonts w:ascii="Times New Roman" w:eastAsia="STKaiti" w:hAnsi="Times New Roman" w:cs="Times New Roman"/>
                <w:color w:val="000000" w:themeColor="text1"/>
              </w:rPr>
              <w:t>-value</w:t>
            </w:r>
          </w:p>
        </w:tc>
        <w:tc>
          <w:tcPr>
            <w:tcW w:w="1321" w:type="dxa"/>
            <w:tcBorders>
              <w:top w:val="double" w:sz="4" w:space="0" w:color="000000"/>
              <w:left w:val="nil"/>
              <w:bottom w:val="nil"/>
              <w:right w:val="nil"/>
            </w:tcBorders>
            <w:tcMar>
              <w:top w:w="0" w:type="dxa"/>
              <w:left w:w="0" w:type="dxa"/>
              <w:bottom w:w="0" w:type="dxa"/>
              <w:right w:w="0" w:type="dxa"/>
            </w:tcMar>
            <w:vAlign w:val="center"/>
          </w:tcPr>
          <w:p w14:paraId="3BB64EB6" w14:textId="77777777" w:rsidR="00B83530" w:rsidRPr="0032528B" w:rsidRDefault="00B83530" w:rsidP="009508DA">
            <w:pPr>
              <w:pStyle w:val="JASABodyText"/>
              <w:spacing w:line="240" w:lineRule="auto"/>
              <w:ind w:firstLine="0"/>
              <w:jc w:val="right"/>
              <w:rPr>
                <w:rFonts w:ascii="Times New Roman" w:eastAsia="STKaiti" w:hAnsi="Times New Roman" w:cs="Times New Roman"/>
                <w:i/>
                <w:color w:val="000000" w:themeColor="text1"/>
              </w:rPr>
            </w:pP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-value</w:t>
            </w:r>
          </w:p>
        </w:tc>
        <w:tc>
          <w:tcPr>
            <w:tcW w:w="555" w:type="dxa"/>
            <w:tcBorders>
              <w:top w:val="double" w:sz="4" w:space="0" w:color="000000"/>
              <w:left w:val="nil"/>
              <w:bottom w:val="nil"/>
              <w:right w:val="nil"/>
            </w:tcBorders>
            <w:tcMar>
              <w:top w:w="0" w:type="dxa"/>
              <w:left w:w="0" w:type="dxa"/>
              <w:bottom w:w="0" w:type="dxa"/>
              <w:right w:w="0" w:type="dxa"/>
            </w:tcMar>
            <w:vAlign w:val="center"/>
          </w:tcPr>
          <w:p w14:paraId="5BF6689E"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7A283930" w14:textId="77777777" w:rsidTr="009508DA">
        <w:trPr>
          <w:trHeight w:val="20"/>
        </w:trPr>
        <w:tc>
          <w:tcPr>
            <w:tcW w:w="4820" w:type="dxa"/>
            <w:tcBorders>
              <w:top w:val="single" w:sz="3" w:space="0" w:color="000000"/>
              <w:left w:val="nil"/>
              <w:bottom w:val="nil"/>
              <w:right w:val="nil"/>
            </w:tcBorders>
            <w:tcMar>
              <w:top w:w="0" w:type="dxa"/>
              <w:left w:w="0" w:type="dxa"/>
              <w:bottom w:w="0" w:type="dxa"/>
              <w:right w:w="0" w:type="dxa"/>
            </w:tcMar>
            <w:vAlign w:val="center"/>
          </w:tcPr>
          <w:p w14:paraId="1D426AB4"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intercept</w:t>
            </w:r>
          </w:p>
        </w:tc>
        <w:tc>
          <w:tcPr>
            <w:tcW w:w="1559" w:type="dxa"/>
            <w:tcBorders>
              <w:top w:val="single" w:sz="3" w:space="0" w:color="000000"/>
              <w:left w:val="nil"/>
              <w:bottom w:val="nil"/>
              <w:right w:val="nil"/>
            </w:tcBorders>
            <w:tcMar>
              <w:top w:w="0" w:type="dxa"/>
              <w:left w:w="0" w:type="dxa"/>
              <w:bottom w:w="0" w:type="dxa"/>
              <w:right w:w="0" w:type="dxa"/>
            </w:tcMar>
            <w:vAlign w:val="center"/>
          </w:tcPr>
          <w:p w14:paraId="18042D4C"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5</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133±0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165</w:t>
            </w:r>
          </w:p>
        </w:tc>
        <w:tc>
          <w:tcPr>
            <w:tcW w:w="992" w:type="dxa"/>
            <w:tcBorders>
              <w:top w:val="single" w:sz="3" w:space="0" w:color="000000"/>
              <w:left w:val="nil"/>
              <w:bottom w:val="nil"/>
              <w:right w:val="nil"/>
            </w:tcBorders>
            <w:tcMar>
              <w:top w:w="0" w:type="dxa"/>
              <w:left w:w="0" w:type="dxa"/>
              <w:bottom w:w="0" w:type="dxa"/>
              <w:right w:w="0" w:type="dxa"/>
            </w:tcMar>
            <w:vAlign w:val="center"/>
          </w:tcPr>
          <w:p w14:paraId="734A6F09"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31</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039</w:t>
            </w:r>
          </w:p>
        </w:tc>
        <w:tc>
          <w:tcPr>
            <w:tcW w:w="1321" w:type="dxa"/>
            <w:tcBorders>
              <w:top w:val="single" w:sz="3" w:space="0" w:color="000000"/>
              <w:left w:val="nil"/>
              <w:bottom w:val="nil"/>
              <w:right w:val="nil"/>
            </w:tcBorders>
            <w:tcMar>
              <w:top w:w="0" w:type="dxa"/>
              <w:left w:w="0" w:type="dxa"/>
              <w:bottom w:w="0" w:type="dxa"/>
              <w:right w:w="0" w:type="dxa"/>
            </w:tcMar>
            <w:vAlign w:val="center"/>
          </w:tcPr>
          <w:p w14:paraId="09928F7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001</w:t>
            </w:r>
          </w:p>
        </w:tc>
        <w:tc>
          <w:tcPr>
            <w:tcW w:w="555" w:type="dxa"/>
            <w:tcBorders>
              <w:top w:val="single" w:sz="3" w:space="0" w:color="000000"/>
              <w:left w:val="nil"/>
              <w:bottom w:val="nil"/>
              <w:right w:val="nil"/>
            </w:tcBorders>
            <w:tcMar>
              <w:top w:w="0" w:type="dxa"/>
              <w:left w:w="0" w:type="dxa"/>
              <w:bottom w:w="0" w:type="dxa"/>
              <w:right w:w="0" w:type="dxa"/>
            </w:tcMar>
            <w:vAlign w:val="center"/>
          </w:tcPr>
          <w:p w14:paraId="569701AD"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rPr>
              <w:t>***</w:t>
            </w:r>
          </w:p>
        </w:tc>
      </w:tr>
      <w:tr w:rsidR="00B83530" w:rsidRPr="0032528B" w14:paraId="075E1856" w14:textId="77777777" w:rsidTr="009508DA">
        <w:trPr>
          <w:trHeight w:val="27"/>
        </w:trPr>
        <w:tc>
          <w:tcPr>
            <w:tcW w:w="4820" w:type="dxa"/>
            <w:tcBorders>
              <w:top w:val="nil"/>
              <w:left w:val="nil"/>
              <w:bottom w:val="nil"/>
              <w:right w:val="nil"/>
            </w:tcBorders>
            <w:tcMar>
              <w:top w:w="0" w:type="dxa"/>
              <w:left w:w="0" w:type="dxa"/>
              <w:bottom w:w="0" w:type="dxa"/>
              <w:right w:w="0" w:type="dxa"/>
            </w:tcMar>
            <w:vAlign w:val="center"/>
          </w:tcPr>
          <w:p w14:paraId="7426E37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w:t>
            </w:r>
          </w:p>
        </w:tc>
        <w:tc>
          <w:tcPr>
            <w:tcW w:w="1559" w:type="dxa"/>
            <w:tcBorders>
              <w:top w:val="nil"/>
              <w:left w:val="nil"/>
              <w:bottom w:val="nil"/>
              <w:right w:val="nil"/>
            </w:tcBorders>
            <w:tcMar>
              <w:top w:w="0" w:type="dxa"/>
              <w:left w:w="0" w:type="dxa"/>
              <w:bottom w:w="0" w:type="dxa"/>
              <w:right w:w="0" w:type="dxa"/>
            </w:tcMar>
            <w:vAlign w:val="center"/>
          </w:tcPr>
          <w:p w14:paraId="12F238C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133±0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205</w:t>
            </w:r>
          </w:p>
        </w:tc>
        <w:tc>
          <w:tcPr>
            <w:tcW w:w="992" w:type="dxa"/>
            <w:tcBorders>
              <w:top w:val="nil"/>
              <w:left w:val="nil"/>
              <w:bottom w:val="nil"/>
              <w:right w:val="nil"/>
            </w:tcBorders>
            <w:tcMar>
              <w:top w:w="0" w:type="dxa"/>
              <w:left w:w="0" w:type="dxa"/>
              <w:bottom w:w="0" w:type="dxa"/>
              <w:right w:w="0" w:type="dxa"/>
            </w:tcMar>
            <w:vAlign w:val="center"/>
          </w:tcPr>
          <w:p w14:paraId="7178382D"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651</w:t>
            </w:r>
          </w:p>
        </w:tc>
        <w:tc>
          <w:tcPr>
            <w:tcW w:w="1321" w:type="dxa"/>
            <w:tcBorders>
              <w:top w:val="nil"/>
              <w:left w:val="nil"/>
              <w:bottom w:val="nil"/>
              <w:right w:val="nil"/>
            </w:tcBorders>
            <w:tcMar>
              <w:top w:w="0" w:type="dxa"/>
              <w:left w:w="0" w:type="dxa"/>
              <w:bottom w:w="0" w:type="dxa"/>
              <w:right w:w="0" w:type="dxa"/>
            </w:tcMar>
            <w:vAlign w:val="center"/>
          </w:tcPr>
          <w:p w14:paraId="2C0FFE0D"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517</w:t>
            </w:r>
          </w:p>
        </w:tc>
        <w:tc>
          <w:tcPr>
            <w:tcW w:w="555" w:type="dxa"/>
            <w:tcBorders>
              <w:top w:val="nil"/>
              <w:left w:val="nil"/>
              <w:bottom w:val="nil"/>
              <w:right w:val="nil"/>
            </w:tcBorders>
            <w:tcMar>
              <w:top w:w="0" w:type="dxa"/>
              <w:left w:w="0" w:type="dxa"/>
              <w:bottom w:w="0" w:type="dxa"/>
              <w:right w:w="0" w:type="dxa"/>
            </w:tcMar>
            <w:vAlign w:val="center"/>
          </w:tcPr>
          <w:p w14:paraId="7C91FB2E"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70D1CD19" w14:textId="77777777" w:rsidTr="009508DA">
        <w:trPr>
          <w:trHeight w:val="27"/>
        </w:trPr>
        <w:tc>
          <w:tcPr>
            <w:tcW w:w="4820" w:type="dxa"/>
            <w:tcBorders>
              <w:top w:val="nil"/>
              <w:left w:val="nil"/>
              <w:bottom w:val="nil"/>
              <w:right w:val="nil"/>
            </w:tcBorders>
            <w:tcMar>
              <w:top w:w="0" w:type="dxa"/>
              <w:left w:w="0" w:type="dxa"/>
              <w:bottom w:w="0" w:type="dxa"/>
              <w:right w:w="0" w:type="dxa"/>
            </w:tcMar>
            <w:vAlign w:val="center"/>
          </w:tcPr>
          <w:p w14:paraId="3FD8620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w:t>
            </w:r>
          </w:p>
        </w:tc>
        <w:tc>
          <w:tcPr>
            <w:tcW w:w="1559" w:type="dxa"/>
            <w:tcBorders>
              <w:top w:val="nil"/>
              <w:left w:val="nil"/>
              <w:bottom w:val="nil"/>
              <w:right w:val="nil"/>
            </w:tcBorders>
            <w:tcMar>
              <w:top w:w="0" w:type="dxa"/>
              <w:left w:w="0" w:type="dxa"/>
              <w:bottom w:w="0" w:type="dxa"/>
              <w:right w:w="0" w:type="dxa"/>
            </w:tcMar>
            <w:vAlign w:val="center"/>
          </w:tcPr>
          <w:p w14:paraId="6B36592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383±0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205</w:t>
            </w:r>
          </w:p>
        </w:tc>
        <w:tc>
          <w:tcPr>
            <w:tcW w:w="992" w:type="dxa"/>
            <w:tcBorders>
              <w:top w:val="nil"/>
              <w:left w:val="nil"/>
              <w:bottom w:val="nil"/>
              <w:right w:val="nil"/>
            </w:tcBorders>
            <w:tcMar>
              <w:top w:w="0" w:type="dxa"/>
              <w:left w:w="0" w:type="dxa"/>
              <w:bottom w:w="0" w:type="dxa"/>
              <w:right w:w="0" w:type="dxa"/>
            </w:tcMar>
            <w:vAlign w:val="center"/>
          </w:tcPr>
          <w:p w14:paraId="1F06EB2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870</w:t>
            </w:r>
          </w:p>
        </w:tc>
        <w:tc>
          <w:tcPr>
            <w:tcW w:w="1321" w:type="dxa"/>
            <w:tcBorders>
              <w:top w:val="nil"/>
              <w:left w:val="nil"/>
              <w:bottom w:val="nil"/>
              <w:right w:val="nil"/>
            </w:tcBorders>
            <w:tcMar>
              <w:top w:w="0" w:type="dxa"/>
              <w:left w:w="0" w:type="dxa"/>
              <w:bottom w:w="0" w:type="dxa"/>
              <w:right w:w="0" w:type="dxa"/>
            </w:tcMar>
            <w:vAlign w:val="center"/>
          </w:tcPr>
          <w:p w14:paraId="67775995"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065</w:t>
            </w:r>
          </w:p>
        </w:tc>
        <w:tc>
          <w:tcPr>
            <w:tcW w:w="555" w:type="dxa"/>
            <w:tcBorders>
              <w:top w:val="nil"/>
              <w:left w:val="nil"/>
              <w:bottom w:val="nil"/>
              <w:right w:val="nil"/>
            </w:tcBorders>
            <w:tcMar>
              <w:top w:w="0" w:type="dxa"/>
              <w:left w:w="0" w:type="dxa"/>
              <w:bottom w:w="0" w:type="dxa"/>
              <w:right w:w="0" w:type="dxa"/>
            </w:tcMar>
            <w:vAlign w:val="center"/>
          </w:tcPr>
          <w:p w14:paraId="68B487FC"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7E43B598" w14:textId="77777777" w:rsidTr="009508DA">
        <w:trPr>
          <w:trHeight w:val="75"/>
        </w:trPr>
        <w:tc>
          <w:tcPr>
            <w:tcW w:w="4820" w:type="dxa"/>
            <w:tcBorders>
              <w:top w:val="nil"/>
              <w:left w:val="nil"/>
              <w:bottom w:val="nil"/>
              <w:right w:val="nil"/>
            </w:tcBorders>
            <w:tcMar>
              <w:top w:w="0" w:type="dxa"/>
              <w:left w:w="0" w:type="dxa"/>
              <w:bottom w:w="0" w:type="dxa"/>
              <w:right w:w="0" w:type="dxa"/>
            </w:tcMar>
            <w:vAlign w:val="center"/>
          </w:tcPr>
          <w:p w14:paraId="3BB63045"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lang w:eastAsia="zh-TW"/>
              </w:rPr>
              <w:t xml:space="preserve">target </w:t>
            </w:r>
            <w:r>
              <w:rPr>
                <w:rFonts w:ascii="Times New Roman" w:eastAsia="STKaiti" w:hAnsi="Times New Roman" w:cs="Times New Roman"/>
                <w:color w:val="000000" w:themeColor="text1"/>
              </w:rPr>
              <w:t>tone</w:t>
            </w:r>
          </w:p>
        </w:tc>
        <w:tc>
          <w:tcPr>
            <w:tcW w:w="1559" w:type="dxa"/>
            <w:tcBorders>
              <w:top w:val="nil"/>
              <w:left w:val="nil"/>
              <w:bottom w:val="nil"/>
              <w:right w:val="nil"/>
            </w:tcBorders>
            <w:tcMar>
              <w:top w:w="0" w:type="dxa"/>
              <w:left w:w="0" w:type="dxa"/>
              <w:bottom w:w="0" w:type="dxa"/>
              <w:right w:w="0" w:type="dxa"/>
            </w:tcMar>
            <w:vAlign w:val="center"/>
          </w:tcPr>
          <w:p w14:paraId="57668807"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2</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000±0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298</w:t>
            </w:r>
          </w:p>
        </w:tc>
        <w:tc>
          <w:tcPr>
            <w:tcW w:w="992" w:type="dxa"/>
            <w:tcBorders>
              <w:top w:val="nil"/>
              <w:left w:val="nil"/>
              <w:bottom w:val="nil"/>
              <w:right w:val="nil"/>
            </w:tcBorders>
            <w:tcMar>
              <w:top w:w="0" w:type="dxa"/>
              <w:left w:w="0" w:type="dxa"/>
              <w:bottom w:w="0" w:type="dxa"/>
              <w:right w:w="0" w:type="dxa"/>
            </w:tcMar>
            <w:vAlign w:val="center"/>
          </w:tcPr>
          <w:p w14:paraId="137D60E4"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6</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707</w:t>
            </w:r>
          </w:p>
        </w:tc>
        <w:tc>
          <w:tcPr>
            <w:tcW w:w="1321" w:type="dxa"/>
            <w:tcBorders>
              <w:top w:val="nil"/>
              <w:left w:val="nil"/>
              <w:bottom w:val="nil"/>
              <w:right w:val="nil"/>
            </w:tcBorders>
            <w:tcMar>
              <w:top w:w="0" w:type="dxa"/>
              <w:left w:w="0" w:type="dxa"/>
              <w:bottom w:w="0" w:type="dxa"/>
              <w:right w:w="0" w:type="dxa"/>
            </w:tcMar>
            <w:vAlign w:val="center"/>
          </w:tcPr>
          <w:p w14:paraId="4BFAD754"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001</w:t>
            </w:r>
          </w:p>
        </w:tc>
        <w:tc>
          <w:tcPr>
            <w:tcW w:w="555" w:type="dxa"/>
            <w:tcBorders>
              <w:top w:val="nil"/>
              <w:left w:val="nil"/>
              <w:bottom w:val="nil"/>
              <w:right w:val="nil"/>
            </w:tcBorders>
            <w:tcMar>
              <w:top w:w="0" w:type="dxa"/>
              <w:left w:w="0" w:type="dxa"/>
              <w:bottom w:w="0" w:type="dxa"/>
              <w:right w:w="0" w:type="dxa"/>
            </w:tcMar>
            <w:vAlign w:val="center"/>
          </w:tcPr>
          <w:p w14:paraId="71239CCF"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rPr>
              <w:t>***</w:t>
            </w:r>
          </w:p>
        </w:tc>
      </w:tr>
      <w:tr w:rsidR="00B83530" w:rsidRPr="0032528B" w14:paraId="7AA72E3A" w14:textId="77777777" w:rsidTr="009508DA">
        <w:trPr>
          <w:trHeight w:val="27"/>
        </w:trPr>
        <w:tc>
          <w:tcPr>
            <w:tcW w:w="4820" w:type="dxa"/>
            <w:tcBorders>
              <w:top w:val="nil"/>
              <w:left w:val="nil"/>
              <w:bottom w:val="nil"/>
              <w:right w:val="nil"/>
            </w:tcBorders>
            <w:tcMar>
              <w:top w:w="0" w:type="dxa"/>
              <w:left w:w="0" w:type="dxa"/>
              <w:bottom w:w="0" w:type="dxa"/>
              <w:right w:w="0" w:type="dxa"/>
            </w:tcMar>
            <w:vAlign w:val="center"/>
          </w:tcPr>
          <w:p w14:paraId="069A86E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w:t>
            </w:r>
            <w:r>
              <w:rPr>
                <w:rFonts w:ascii="Times New Roman" w:eastAsia="STKaiti" w:hAnsi="Times New Roman" w:cs="Times New Roman"/>
                <w:color w:val="000000" w:themeColor="text1"/>
                <w:lang w:eastAsia="zh-TW"/>
              </w:rPr>
              <w:t xml:space="preserve">target </w:t>
            </w:r>
            <w:r>
              <w:rPr>
                <w:rFonts w:ascii="Times New Roman" w:eastAsia="STKaiti" w:hAnsi="Times New Roman" w:cs="Times New Roman"/>
                <w:color w:val="000000" w:themeColor="text1"/>
              </w:rPr>
              <w:t>tone</w:t>
            </w:r>
          </w:p>
        </w:tc>
        <w:tc>
          <w:tcPr>
            <w:tcW w:w="1559" w:type="dxa"/>
            <w:tcBorders>
              <w:top w:val="nil"/>
              <w:left w:val="nil"/>
              <w:bottom w:val="nil"/>
              <w:right w:val="nil"/>
            </w:tcBorders>
            <w:tcMar>
              <w:top w:w="0" w:type="dxa"/>
              <w:left w:w="0" w:type="dxa"/>
              <w:bottom w:w="0" w:type="dxa"/>
              <w:right w:w="0" w:type="dxa"/>
            </w:tcMar>
            <w:vAlign w:val="center"/>
          </w:tcPr>
          <w:p w14:paraId="7136EB91"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143±0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370</w:t>
            </w:r>
          </w:p>
        </w:tc>
        <w:tc>
          <w:tcPr>
            <w:tcW w:w="992" w:type="dxa"/>
            <w:tcBorders>
              <w:top w:val="nil"/>
              <w:left w:val="nil"/>
              <w:bottom w:val="nil"/>
              <w:right w:val="nil"/>
            </w:tcBorders>
            <w:tcMar>
              <w:top w:w="0" w:type="dxa"/>
              <w:left w:w="0" w:type="dxa"/>
              <w:bottom w:w="0" w:type="dxa"/>
              <w:right w:w="0" w:type="dxa"/>
            </w:tcMar>
            <w:vAlign w:val="center"/>
          </w:tcPr>
          <w:p w14:paraId="62F7FFB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387</w:t>
            </w:r>
          </w:p>
        </w:tc>
        <w:tc>
          <w:tcPr>
            <w:tcW w:w="1321" w:type="dxa"/>
            <w:tcBorders>
              <w:top w:val="nil"/>
              <w:left w:val="nil"/>
              <w:bottom w:val="nil"/>
              <w:right w:val="nil"/>
            </w:tcBorders>
            <w:tcMar>
              <w:top w:w="0" w:type="dxa"/>
              <w:left w:w="0" w:type="dxa"/>
              <w:bottom w:w="0" w:type="dxa"/>
              <w:right w:w="0" w:type="dxa"/>
            </w:tcMar>
            <w:vAlign w:val="center"/>
          </w:tcPr>
          <w:p w14:paraId="5F1A6B8B"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700</w:t>
            </w:r>
          </w:p>
        </w:tc>
        <w:tc>
          <w:tcPr>
            <w:tcW w:w="555" w:type="dxa"/>
            <w:tcBorders>
              <w:top w:val="nil"/>
              <w:left w:val="nil"/>
              <w:bottom w:val="nil"/>
              <w:right w:val="nil"/>
            </w:tcBorders>
            <w:tcMar>
              <w:top w:w="0" w:type="dxa"/>
              <w:left w:w="0" w:type="dxa"/>
              <w:bottom w:w="0" w:type="dxa"/>
              <w:right w:w="0" w:type="dxa"/>
            </w:tcMar>
            <w:vAlign w:val="center"/>
          </w:tcPr>
          <w:p w14:paraId="139C9FB2"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0FB21DD4" w14:textId="77777777" w:rsidTr="009508DA">
        <w:trPr>
          <w:trHeight w:val="27"/>
        </w:trPr>
        <w:tc>
          <w:tcPr>
            <w:tcW w:w="4820" w:type="dxa"/>
            <w:tcBorders>
              <w:top w:val="nil"/>
              <w:left w:val="nil"/>
              <w:bottom w:val="double" w:sz="4" w:space="0" w:color="000000"/>
              <w:right w:val="nil"/>
            </w:tcBorders>
            <w:tcMar>
              <w:top w:w="0" w:type="dxa"/>
              <w:left w:w="0" w:type="dxa"/>
              <w:bottom w:w="0" w:type="dxa"/>
              <w:right w:w="0" w:type="dxa"/>
            </w:tcMar>
            <w:vAlign w:val="center"/>
          </w:tcPr>
          <w:p w14:paraId="7AA55A9B"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w:t>
            </w:r>
            <w:r>
              <w:rPr>
                <w:rFonts w:ascii="Times New Roman" w:eastAsia="STKaiti" w:hAnsi="Times New Roman" w:cs="Times New Roman"/>
                <w:color w:val="000000" w:themeColor="text1"/>
                <w:lang w:eastAsia="zh-TW"/>
              </w:rPr>
              <w:t xml:space="preserve">target </w:t>
            </w:r>
            <w:r>
              <w:rPr>
                <w:rFonts w:ascii="Times New Roman" w:eastAsia="STKaiti" w:hAnsi="Times New Roman" w:cs="Times New Roman"/>
                <w:color w:val="000000" w:themeColor="text1"/>
              </w:rPr>
              <w:t>tone</w:t>
            </w:r>
          </w:p>
        </w:tc>
        <w:tc>
          <w:tcPr>
            <w:tcW w:w="1559" w:type="dxa"/>
            <w:tcBorders>
              <w:top w:val="nil"/>
              <w:left w:val="nil"/>
              <w:bottom w:val="double" w:sz="4" w:space="0" w:color="000000"/>
              <w:right w:val="nil"/>
            </w:tcBorders>
            <w:tcMar>
              <w:top w:w="0" w:type="dxa"/>
              <w:left w:w="0" w:type="dxa"/>
              <w:bottom w:w="0" w:type="dxa"/>
              <w:right w:w="0" w:type="dxa"/>
            </w:tcMar>
            <w:vAlign w:val="center"/>
          </w:tcPr>
          <w:p w14:paraId="3491EFF5"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1</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143±0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370</w:t>
            </w:r>
          </w:p>
        </w:tc>
        <w:tc>
          <w:tcPr>
            <w:tcW w:w="992" w:type="dxa"/>
            <w:tcBorders>
              <w:top w:val="nil"/>
              <w:left w:val="nil"/>
              <w:bottom w:val="double" w:sz="4" w:space="0" w:color="000000"/>
              <w:right w:val="nil"/>
            </w:tcBorders>
            <w:tcMar>
              <w:top w:w="0" w:type="dxa"/>
              <w:left w:w="0" w:type="dxa"/>
              <w:bottom w:w="0" w:type="dxa"/>
              <w:right w:w="0" w:type="dxa"/>
            </w:tcMar>
            <w:vAlign w:val="center"/>
          </w:tcPr>
          <w:p w14:paraId="5DAF696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3</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093</w:t>
            </w:r>
          </w:p>
        </w:tc>
        <w:tc>
          <w:tcPr>
            <w:tcW w:w="1321" w:type="dxa"/>
            <w:tcBorders>
              <w:top w:val="nil"/>
              <w:left w:val="nil"/>
              <w:bottom w:val="double" w:sz="4" w:space="0" w:color="000000"/>
              <w:right w:val="nil"/>
            </w:tcBorders>
            <w:tcMar>
              <w:top w:w="0" w:type="dxa"/>
              <w:left w:w="0" w:type="dxa"/>
              <w:bottom w:w="0" w:type="dxa"/>
              <w:right w:w="0" w:type="dxa"/>
            </w:tcMar>
            <w:vAlign w:val="center"/>
          </w:tcPr>
          <w:p w14:paraId="2D6ADD9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003</w:t>
            </w:r>
          </w:p>
        </w:tc>
        <w:tc>
          <w:tcPr>
            <w:tcW w:w="555" w:type="dxa"/>
            <w:tcBorders>
              <w:top w:val="nil"/>
              <w:left w:val="nil"/>
              <w:bottom w:val="double" w:sz="4" w:space="0" w:color="000000"/>
              <w:right w:val="nil"/>
            </w:tcBorders>
            <w:tcMar>
              <w:top w:w="0" w:type="dxa"/>
              <w:left w:w="0" w:type="dxa"/>
              <w:bottom w:w="0" w:type="dxa"/>
              <w:right w:w="0" w:type="dxa"/>
            </w:tcMar>
            <w:vAlign w:val="center"/>
          </w:tcPr>
          <w:p w14:paraId="77C30560"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rPr>
              <w:t>**</w:t>
            </w:r>
          </w:p>
        </w:tc>
      </w:tr>
    </w:tbl>
    <w:p w14:paraId="3F2EFB59"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Formula: acceptance threshold </w:t>
      </w:r>
      <w:r>
        <w:rPr>
          <w:rFonts w:ascii="Cambria Math" w:eastAsia="STKaiti" w:hAnsi="Cambria Math" w:cs="Cambria Math"/>
          <w:color w:val="000000" w:themeColor="text1"/>
        </w:rPr>
        <w:t>∼</w:t>
      </w:r>
      <w:r>
        <w:rPr>
          <w:rFonts w:ascii="Times New Roman" w:eastAsia="STKaiti" w:hAnsi="Times New Roman" w:cs="Times New Roman"/>
          <w:color w:val="000000" w:themeColor="text1"/>
        </w:rPr>
        <w:t xml:space="preserve"> language * target tone + (1 | participant)</w:t>
      </w:r>
    </w:p>
    <w:p w14:paraId="086D5B0E" w14:textId="77777777" w:rsidR="00B83530" w:rsidRPr="0032528B" w:rsidRDefault="00B83530" w:rsidP="00B83530">
      <w:pPr>
        <w:pStyle w:val="JASABodyText"/>
        <w:ind w:firstLine="0"/>
        <w:rPr>
          <w:rFonts w:ascii="Times New Roman" w:eastAsia="STKaiti" w:hAnsi="Times New Roman" w:cs="Times New Roman"/>
          <w:color w:val="000000" w:themeColor="text1"/>
        </w:rPr>
      </w:pPr>
    </w:p>
    <w:p w14:paraId="664AD3C4"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8. Regression table for the maximal model examining the thresholds of acceptance  (advanced speakers only).</w:t>
      </w:r>
    </w:p>
    <w:tbl>
      <w:tblPr>
        <w:tblW w:w="9247" w:type="dxa"/>
        <w:tblCellMar>
          <w:top w:w="220" w:type="dxa"/>
          <w:bottom w:w="177" w:type="dxa"/>
          <w:right w:w="50" w:type="dxa"/>
        </w:tblCellMar>
        <w:tblLook w:val="04A0" w:firstRow="1" w:lastRow="0" w:firstColumn="1" w:lastColumn="0" w:noHBand="0" w:noVBand="1"/>
      </w:tblPr>
      <w:tblGrid>
        <w:gridCol w:w="4820"/>
        <w:gridCol w:w="1553"/>
        <w:gridCol w:w="1031"/>
        <w:gridCol w:w="1276"/>
        <w:gridCol w:w="567"/>
      </w:tblGrid>
      <w:tr w:rsidR="00B83530" w:rsidRPr="0032528B" w14:paraId="4CE9693E" w14:textId="77777777" w:rsidTr="009508DA">
        <w:trPr>
          <w:trHeight w:val="45"/>
        </w:trPr>
        <w:tc>
          <w:tcPr>
            <w:tcW w:w="4820" w:type="dxa"/>
            <w:tcBorders>
              <w:top w:val="double" w:sz="4" w:space="0" w:color="000000"/>
              <w:left w:val="nil"/>
              <w:bottom w:val="nil"/>
              <w:right w:val="nil"/>
            </w:tcBorders>
            <w:tcMar>
              <w:top w:w="0" w:type="dxa"/>
              <w:left w:w="0" w:type="dxa"/>
              <w:bottom w:w="0" w:type="dxa"/>
              <w:right w:w="0" w:type="dxa"/>
            </w:tcMar>
          </w:tcPr>
          <w:p w14:paraId="5FAB026F"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Effect</w:t>
            </w:r>
          </w:p>
        </w:tc>
        <w:tc>
          <w:tcPr>
            <w:tcW w:w="1553" w:type="dxa"/>
            <w:tcBorders>
              <w:top w:val="double" w:sz="4" w:space="0" w:color="000000"/>
              <w:left w:val="nil"/>
              <w:bottom w:val="nil"/>
              <w:right w:val="nil"/>
            </w:tcBorders>
            <w:tcMar>
              <w:top w:w="0" w:type="dxa"/>
              <w:left w:w="0" w:type="dxa"/>
              <w:bottom w:w="0" w:type="dxa"/>
              <w:right w:w="0" w:type="dxa"/>
            </w:tcMar>
          </w:tcPr>
          <w:p w14:paraId="3E893C4F"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color w:val="000000" w:themeColor="text1"/>
              </w:rPr>
              <w:t>Est. (±SE)</w:t>
            </w:r>
          </w:p>
        </w:tc>
        <w:tc>
          <w:tcPr>
            <w:tcW w:w="1031" w:type="dxa"/>
            <w:tcBorders>
              <w:top w:val="double" w:sz="4" w:space="0" w:color="000000"/>
              <w:left w:val="nil"/>
              <w:bottom w:val="nil"/>
              <w:right w:val="nil"/>
            </w:tcBorders>
            <w:tcMar>
              <w:top w:w="0" w:type="dxa"/>
              <w:left w:w="0" w:type="dxa"/>
              <w:bottom w:w="0" w:type="dxa"/>
              <w:right w:w="0" w:type="dxa"/>
            </w:tcMar>
          </w:tcPr>
          <w:p w14:paraId="31DB705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eastAsia="STKaiti" w:hAnsi="Times New Roman" w:cs="Times New Roman"/>
                <w:i/>
                <w:color w:val="000000" w:themeColor="text1"/>
              </w:rPr>
              <w:t>t</w:t>
            </w:r>
            <w:r>
              <w:rPr>
                <w:rFonts w:ascii="Times New Roman" w:eastAsia="STKaiti" w:hAnsi="Times New Roman" w:cs="Times New Roman"/>
                <w:color w:val="000000" w:themeColor="text1"/>
              </w:rPr>
              <w:t>-value</w:t>
            </w:r>
          </w:p>
        </w:tc>
        <w:tc>
          <w:tcPr>
            <w:tcW w:w="1276" w:type="dxa"/>
            <w:tcBorders>
              <w:top w:val="double" w:sz="4" w:space="0" w:color="000000"/>
              <w:left w:val="nil"/>
              <w:bottom w:val="nil"/>
              <w:right w:val="nil"/>
            </w:tcBorders>
            <w:tcMar>
              <w:top w:w="0" w:type="dxa"/>
              <w:left w:w="0" w:type="dxa"/>
              <w:bottom w:w="0" w:type="dxa"/>
              <w:right w:w="0" w:type="dxa"/>
            </w:tcMar>
          </w:tcPr>
          <w:p w14:paraId="4A7100E2" w14:textId="77777777" w:rsidR="00B83530" w:rsidRPr="0032528B" w:rsidRDefault="00B83530" w:rsidP="009508DA">
            <w:pPr>
              <w:pStyle w:val="JASABodyText"/>
              <w:spacing w:line="240" w:lineRule="auto"/>
              <w:ind w:firstLine="0"/>
              <w:jc w:val="right"/>
              <w:rPr>
                <w:rFonts w:ascii="Times New Roman" w:eastAsia="STKaiti" w:hAnsi="Times New Roman" w:cs="Times New Roman"/>
                <w:i/>
                <w:color w:val="000000" w:themeColor="text1"/>
              </w:rPr>
            </w:pP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-value</w:t>
            </w:r>
          </w:p>
        </w:tc>
        <w:tc>
          <w:tcPr>
            <w:tcW w:w="567" w:type="dxa"/>
            <w:tcBorders>
              <w:top w:val="double" w:sz="4" w:space="0" w:color="000000"/>
              <w:left w:val="nil"/>
              <w:bottom w:val="nil"/>
              <w:right w:val="nil"/>
            </w:tcBorders>
            <w:tcMar>
              <w:top w:w="0" w:type="dxa"/>
              <w:left w:w="0" w:type="dxa"/>
              <w:bottom w:w="0" w:type="dxa"/>
              <w:right w:w="0" w:type="dxa"/>
            </w:tcMar>
          </w:tcPr>
          <w:p w14:paraId="6C3BCB0C"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471D2579" w14:textId="77777777" w:rsidTr="009508DA">
        <w:trPr>
          <w:trHeight w:val="20"/>
        </w:trPr>
        <w:tc>
          <w:tcPr>
            <w:tcW w:w="4820" w:type="dxa"/>
            <w:tcBorders>
              <w:top w:val="single" w:sz="3" w:space="0" w:color="000000"/>
              <w:left w:val="nil"/>
              <w:bottom w:val="nil"/>
              <w:right w:val="nil"/>
            </w:tcBorders>
            <w:tcMar>
              <w:top w:w="0" w:type="dxa"/>
              <w:left w:w="0" w:type="dxa"/>
              <w:bottom w:w="0" w:type="dxa"/>
              <w:right w:w="0" w:type="dxa"/>
            </w:tcMar>
          </w:tcPr>
          <w:p w14:paraId="3177604B"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intercept</w:t>
            </w:r>
          </w:p>
        </w:tc>
        <w:tc>
          <w:tcPr>
            <w:tcW w:w="1553" w:type="dxa"/>
            <w:tcBorders>
              <w:top w:val="single" w:sz="3" w:space="0" w:color="000000"/>
              <w:left w:val="nil"/>
              <w:bottom w:val="nil"/>
              <w:right w:val="nil"/>
            </w:tcBorders>
            <w:tcMar>
              <w:top w:w="0" w:type="dxa"/>
              <w:left w:w="0" w:type="dxa"/>
              <w:bottom w:w="0" w:type="dxa"/>
              <w:right w:w="0" w:type="dxa"/>
            </w:tcMar>
          </w:tcPr>
          <w:p w14:paraId="4BB5DEE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5</w:t>
            </w:r>
            <w:r>
              <w:rPr>
                <w:rFonts w:ascii="Times New Roman" w:hAnsi="Times New Roman" w:cs="Times New Roman"/>
                <w:i/>
                <w:color w:val="000000" w:themeColor="text1"/>
              </w:rPr>
              <w:t>.</w:t>
            </w:r>
            <w:r>
              <w:rPr>
                <w:rFonts w:ascii="Times New Roman" w:hAnsi="Times New Roman" w:cs="Times New Roman"/>
                <w:color w:val="000000" w:themeColor="text1"/>
              </w:rPr>
              <w:t>133±0</w:t>
            </w:r>
            <w:r>
              <w:rPr>
                <w:rFonts w:ascii="Times New Roman" w:hAnsi="Times New Roman" w:cs="Times New Roman"/>
                <w:i/>
                <w:color w:val="000000" w:themeColor="text1"/>
              </w:rPr>
              <w:t>.</w:t>
            </w:r>
            <w:r>
              <w:rPr>
                <w:rFonts w:ascii="Times New Roman" w:hAnsi="Times New Roman" w:cs="Times New Roman"/>
                <w:color w:val="000000" w:themeColor="text1"/>
              </w:rPr>
              <w:t>154</w:t>
            </w:r>
          </w:p>
        </w:tc>
        <w:tc>
          <w:tcPr>
            <w:tcW w:w="1031" w:type="dxa"/>
            <w:tcBorders>
              <w:top w:val="single" w:sz="3" w:space="0" w:color="000000"/>
              <w:left w:val="nil"/>
              <w:bottom w:val="nil"/>
              <w:right w:val="nil"/>
            </w:tcBorders>
            <w:tcMar>
              <w:top w:w="0" w:type="dxa"/>
              <w:left w:w="0" w:type="dxa"/>
              <w:bottom w:w="0" w:type="dxa"/>
              <w:right w:w="0" w:type="dxa"/>
            </w:tcMar>
          </w:tcPr>
          <w:p w14:paraId="1B346270"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33</w:t>
            </w:r>
            <w:r>
              <w:rPr>
                <w:rFonts w:ascii="Times New Roman" w:hAnsi="Times New Roman" w:cs="Times New Roman"/>
                <w:i/>
                <w:color w:val="000000" w:themeColor="text1"/>
              </w:rPr>
              <w:t>.</w:t>
            </w:r>
            <w:r>
              <w:rPr>
                <w:rFonts w:ascii="Times New Roman" w:hAnsi="Times New Roman" w:cs="Times New Roman"/>
                <w:color w:val="000000" w:themeColor="text1"/>
              </w:rPr>
              <w:t>237</w:t>
            </w:r>
          </w:p>
        </w:tc>
        <w:tc>
          <w:tcPr>
            <w:tcW w:w="1276" w:type="dxa"/>
            <w:tcBorders>
              <w:top w:val="single" w:sz="3" w:space="0" w:color="000000"/>
              <w:left w:val="nil"/>
              <w:bottom w:val="nil"/>
              <w:right w:val="nil"/>
            </w:tcBorders>
            <w:tcMar>
              <w:top w:w="0" w:type="dxa"/>
              <w:left w:w="0" w:type="dxa"/>
              <w:bottom w:w="0" w:type="dxa"/>
              <w:right w:w="0" w:type="dxa"/>
            </w:tcMar>
          </w:tcPr>
          <w:p w14:paraId="43B13077"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i/>
                <w:color w:val="000000" w:themeColor="text1"/>
              </w:rPr>
              <w:t>&lt;</w:t>
            </w: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001</w:t>
            </w:r>
          </w:p>
        </w:tc>
        <w:tc>
          <w:tcPr>
            <w:tcW w:w="567" w:type="dxa"/>
            <w:tcBorders>
              <w:top w:val="single" w:sz="3" w:space="0" w:color="000000"/>
              <w:left w:val="nil"/>
              <w:bottom w:val="nil"/>
              <w:right w:val="nil"/>
            </w:tcBorders>
            <w:tcMar>
              <w:top w:w="0" w:type="dxa"/>
              <w:left w:w="0" w:type="dxa"/>
              <w:bottom w:w="0" w:type="dxa"/>
              <w:right w:w="0" w:type="dxa"/>
            </w:tcMar>
          </w:tcPr>
          <w:p w14:paraId="7F9D0D88"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rPr>
              <w:t>***</w:t>
            </w:r>
          </w:p>
        </w:tc>
      </w:tr>
      <w:tr w:rsidR="00B83530" w:rsidRPr="0032528B" w14:paraId="1D1637E1" w14:textId="77777777" w:rsidTr="009508DA">
        <w:trPr>
          <w:trHeight w:val="27"/>
        </w:trPr>
        <w:tc>
          <w:tcPr>
            <w:tcW w:w="4820" w:type="dxa"/>
            <w:tcBorders>
              <w:top w:val="nil"/>
              <w:left w:val="nil"/>
              <w:bottom w:val="nil"/>
              <w:right w:val="nil"/>
            </w:tcBorders>
            <w:tcMar>
              <w:top w:w="0" w:type="dxa"/>
              <w:left w:w="0" w:type="dxa"/>
              <w:bottom w:w="0" w:type="dxa"/>
              <w:right w:w="0" w:type="dxa"/>
            </w:tcMar>
          </w:tcPr>
          <w:p w14:paraId="44337197"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w:t>
            </w:r>
          </w:p>
        </w:tc>
        <w:tc>
          <w:tcPr>
            <w:tcW w:w="1553" w:type="dxa"/>
            <w:tcBorders>
              <w:top w:val="nil"/>
              <w:left w:val="nil"/>
              <w:bottom w:val="nil"/>
              <w:right w:val="nil"/>
            </w:tcBorders>
            <w:tcMar>
              <w:top w:w="0" w:type="dxa"/>
              <w:left w:w="0" w:type="dxa"/>
              <w:bottom w:w="0" w:type="dxa"/>
              <w:right w:w="0" w:type="dxa"/>
            </w:tcMar>
          </w:tcPr>
          <w:p w14:paraId="04999782"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088±0</w:t>
            </w:r>
            <w:r>
              <w:rPr>
                <w:rFonts w:ascii="Times New Roman" w:hAnsi="Times New Roman" w:cs="Times New Roman"/>
                <w:i/>
                <w:color w:val="000000" w:themeColor="text1"/>
              </w:rPr>
              <w:t>.</w:t>
            </w:r>
            <w:r>
              <w:rPr>
                <w:rFonts w:ascii="Times New Roman" w:hAnsi="Times New Roman" w:cs="Times New Roman"/>
                <w:color w:val="000000" w:themeColor="text1"/>
              </w:rPr>
              <w:t>237</w:t>
            </w:r>
          </w:p>
        </w:tc>
        <w:tc>
          <w:tcPr>
            <w:tcW w:w="1031" w:type="dxa"/>
            <w:tcBorders>
              <w:top w:val="nil"/>
              <w:left w:val="nil"/>
              <w:bottom w:val="nil"/>
              <w:right w:val="nil"/>
            </w:tcBorders>
            <w:tcMar>
              <w:top w:w="0" w:type="dxa"/>
              <w:left w:w="0" w:type="dxa"/>
              <w:bottom w:w="0" w:type="dxa"/>
              <w:right w:w="0" w:type="dxa"/>
            </w:tcMar>
          </w:tcPr>
          <w:p w14:paraId="13560E0D"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370</w:t>
            </w:r>
          </w:p>
        </w:tc>
        <w:tc>
          <w:tcPr>
            <w:tcW w:w="1276" w:type="dxa"/>
            <w:tcBorders>
              <w:top w:val="nil"/>
              <w:left w:val="nil"/>
              <w:bottom w:val="nil"/>
              <w:right w:val="nil"/>
            </w:tcBorders>
            <w:tcMar>
              <w:top w:w="0" w:type="dxa"/>
              <w:left w:w="0" w:type="dxa"/>
              <w:bottom w:w="0" w:type="dxa"/>
              <w:right w:w="0" w:type="dxa"/>
            </w:tcMar>
          </w:tcPr>
          <w:p w14:paraId="6765C88F"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713</w:t>
            </w:r>
          </w:p>
        </w:tc>
        <w:tc>
          <w:tcPr>
            <w:tcW w:w="567" w:type="dxa"/>
            <w:tcBorders>
              <w:top w:val="nil"/>
              <w:left w:val="nil"/>
              <w:bottom w:val="nil"/>
              <w:right w:val="nil"/>
            </w:tcBorders>
            <w:tcMar>
              <w:top w:w="0" w:type="dxa"/>
              <w:left w:w="0" w:type="dxa"/>
              <w:bottom w:w="0" w:type="dxa"/>
              <w:right w:w="0" w:type="dxa"/>
            </w:tcMar>
          </w:tcPr>
          <w:p w14:paraId="46CC0CDC"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1A6C4525" w14:textId="77777777" w:rsidTr="009508DA">
        <w:trPr>
          <w:trHeight w:val="27"/>
        </w:trPr>
        <w:tc>
          <w:tcPr>
            <w:tcW w:w="4820" w:type="dxa"/>
            <w:tcBorders>
              <w:top w:val="nil"/>
              <w:left w:val="nil"/>
              <w:bottom w:val="nil"/>
              <w:right w:val="nil"/>
            </w:tcBorders>
            <w:tcMar>
              <w:top w:w="0" w:type="dxa"/>
              <w:left w:w="0" w:type="dxa"/>
              <w:bottom w:w="0" w:type="dxa"/>
              <w:right w:w="0" w:type="dxa"/>
            </w:tcMar>
          </w:tcPr>
          <w:p w14:paraId="786A720D"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w:t>
            </w:r>
          </w:p>
        </w:tc>
        <w:tc>
          <w:tcPr>
            <w:tcW w:w="1553" w:type="dxa"/>
            <w:tcBorders>
              <w:top w:val="nil"/>
              <w:left w:val="nil"/>
              <w:bottom w:val="nil"/>
              <w:right w:val="nil"/>
            </w:tcBorders>
            <w:tcMar>
              <w:top w:w="0" w:type="dxa"/>
              <w:left w:w="0" w:type="dxa"/>
              <w:bottom w:w="0" w:type="dxa"/>
              <w:right w:w="0" w:type="dxa"/>
            </w:tcMar>
          </w:tcPr>
          <w:p w14:paraId="26A64938"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315±0</w:t>
            </w:r>
            <w:r>
              <w:rPr>
                <w:rFonts w:ascii="Times New Roman" w:hAnsi="Times New Roman" w:cs="Times New Roman"/>
                <w:i/>
                <w:color w:val="000000" w:themeColor="text1"/>
              </w:rPr>
              <w:t>.</w:t>
            </w:r>
            <w:r>
              <w:rPr>
                <w:rFonts w:ascii="Times New Roman" w:hAnsi="Times New Roman" w:cs="Times New Roman"/>
                <w:color w:val="000000" w:themeColor="text1"/>
              </w:rPr>
              <w:t>237</w:t>
            </w:r>
          </w:p>
        </w:tc>
        <w:tc>
          <w:tcPr>
            <w:tcW w:w="1031" w:type="dxa"/>
            <w:tcBorders>
              <w:top w:val="nil"/>
              <w:left w:val="nil"/>
              <w:bottom w:val="nil"/>
              <w:right w:val="nil"/>
            </w:tcBorders>
            <w:tcMar>
              <w:top w:w="0" w:type="dxa"/>
              <w:left w:w="0" w:type="dxa"/>
              <w:bottom w:w="0" w:type="dxa"/>
              <w:right w:w="0" w:type="dxa"/>
            </w:tcMar>
          </w:tcPr>
          <w:p w14:paraId="5453C3C8"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−1</w:t>
            </w:r>
            <w:r>
              <w:rPr>
                <w:rFonts w:ascii="Times New Roman" w:hAnsi="Times New Roman" w:cs="Times New Roman"/>
                <w:i/>
                <w:color w:val="000000" w:themeColor="text1"/>
              </w:rPr>
              <w:t>.</w:t>
            </w:r>
            <w:r>
              <w:rPr>
                <w:rFonts w:ascii="Times New Roman" w:hAnsi="Times New Roman" w:cs="Times New Roman"/>
                <w:color w:val="000000" w:themeColor="text1"/>
              </w:rPr>
              <w:t>327</w:t>
            </w:r>
          </w:p>
        </w:tc>
        <w:tc>
          <w:tcPr>
            <w:tcW w:w="1276" w:type="dxa"/>
            <w:tcBorders>
              <w:top w:val="nil"/>
              <w:left w:val="nil"/>
              <w:bottom w:val="nil"/>
              <w:right w:val="nil"/>
            </w:tcBorders>
            <w:tcMar>
              <w:top w:w="0" w:type="dxa"/>
              <w:left w:w="0" w:type="dxa"/>
              <w:bottom w:w="0" w:type="dxa"/>
              <w:right w:w="0" w:type="dxa"/>
            </w:tcMar>
          </w:tcPr>
          <w:p w14:paraId="2C8AB2B7"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192</w:t>
            </w:r>
          </w:p>
        </w:tc>
        <w:tc>
          <w:tcPr>
            <w:tcW w:w="567" w:type="dxa"/>
            <w:tcBorders>
              <w:top w:val="nil"/>
              <w:left w:val="nil"/>
              <w:bottom w:val="nil"/>
              <w:right w:val="nil"/>
            </w:tcBorders>
            <w:tcMar>
              <w:top w:w="0" w:type="dxa"/>
              <w:left w:w="0" w:type="dxa"/>
              <w:bottom w:w="0" w:type="dxa"/>
              <w:right w:w="0" w:type="dxa"/>
            </w:tcMar>
          </w:tcPr>
          <w:p w14:paraId="5FF6CEE6"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730BEE6D" w14:textId="77777777" w:rsidTr="009508DA">
        <w:trPr>
          <w:trHeight w:val="27"/>
        </w:trPr>
        <w:tc>
          <w:tcPr>
            <w:tcW w:w="4820" w:type="dxa"/>
            <w:tcBorders>
              <w:top w:val="nil"/>
              <w:left w:val="nil"/>
              <w:bottom w:val="nil"/>
              <w:right w:val="nil"/>
            </w:tcBorders>
            <w:tcMar>
              <w:top w:w="0" w:type="dxa"/>
              <w:left w:w="0" w:type="dxa"/>
              <w:bottom w:w="0" w:type="dxa"/>
              <w:right w:w="0" w:type="dxa"/>
            </w:tcMar>
          </w:tcPr>
          <w:p w14:paraId="46A54C05"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lang w:eastAsia="zh-TW"/>
              </w:rPr>
              <w:t xml:space="preserve">target </w:t>
            </w:r>
            <w:r>
              <w:rPr>
                <w:rFonts w:ascii="Times New Roman" w:eastAsia="STKaiti" w:hAnsi="Times New Roman" w:cs="Times New Roman"/>
                <w:color w:val="000000" w:themeColor="text1"/>
              </w:rPr>
              <w:t>tone</w:t>
            </w:r>
          </w:p>
        </w:tc>
        <w:tc>
          <w:tcPr>
            <w:tcW w:w="1553" w:type="dxa"/>
            <w:tcBorders>
              <w:top w:val="nil"/>
              <w:left w:val="nil"/>
              <w:bottom w:val="nil"/>
              <w:right w:val="nil"/>
            </w:tcBorders>
            <w:tcMar>
              <w:top w:w="0" w:type="dxa"/>
              <w:left w:w="0" w:type="dxa"/>
              <w:bottom w:w="0" w:type="dxa"/>
              <w:right w:w="0" w:type="dxa"/>
            </w:tcMar>
          </w:tcPr>
          <w:p w14:paraId="4E6242C4"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i/>
                <w:color w:val="000000" w:themeColor="text1"/>
              </w:rPr>
              <w:t>.</w:t>
            </w:r>
            <w:r>
              <w:rPr>
                <w:rFonts w:ascii="Times New Roman" w:hAnsi="Times New Roman" w:cs="Times New Roman"/>
                <w:color w:val="000000" w:themeColor="text1"/>
              </w:rPr>
              <w:t>000±0</w:t>
            </w:r>
            <w:r>
              <w:rPr>
                <w:rFonts w:ascii="Times New Roman" w:hAnsi="Times New Roman" w:cs="Times New Roman"/>
                <w:i/>
                <w:color w:val="000000" w:themeColor="text1"/>
              </w:rPr>
              <w:t>.</w:t>
            </w:r>
            <w:r>
              <w:rPr>
                <w:rFonts w:ascii="Times New Roman" w:hAnsi="Times New Roman" w:cs="Times New Roman"/>
                <w:color w:val="000000" w:themeColor="text1"/>
              </w:rPr>
              <w:t>245</w:t>
            </w:r>
          </w:p>
        </w:tc>
        <w:tc>
          <w:tcPr>
            <w:tcW w:w="1031" w:type="dxa"/>
            <w:tcBorders>
              <w:top w:val="nil"/>
              <w:left w:val="nil"/>
              <w:bottom w:val="nil"/>
              <w:right w:val="nil"/>
            </w:tcBorders>
            <w:tcMar>
              <w:top w:w="0" w:type="dxa"/>
              <w:left w:w="0" w:type="dxa"/>
              <w:bottom w:w="0" w:type="dxa"/>
              <w:right w:w="0" w:type="dxa"/>
            </w:tcMar>
          </w:tcPr>
          <w:p w14:paraId="2AA8491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8</w:t>
            </w:r>
            <w:r>
              <w:rPr>
                <w:rFonts w:ascii="Times New Roman" w:hAnsi="Times New Roman" w:cs="Times New Roman"/>
                <w:i/>
                <w:color w:val="000000" w:themeColor="text1"/>
              </w:rPr>
              <w:t>.</w:t>
            </w:r>
            <w:r>
              <w:rPr>
                <w:rFonts w:ascii="Times New Roman" w:hAnsi="Times New Roman" w:cs="Times New Roman"/>
                <w:color w:val="000000" w:themeColor="text1"/>
              </w:rPr>
              <w:t>171</w:t>
            </w:r>
          </w:p>
        </w:tc>
        <w:tc>
          <w:tcPr>
            <w:tcW w:w="1276" w:type="dxa"/>
            <w:tcBorders>
              <w:top w:val="nil"/>
              <w:left w:val="nil"/>
              <w:bottom w:val="nil"/>
              <w:right w:val="nil"/>
            </w:tcBorders>
            <w:tcMar>
              <w:top w:w="0" w:type="dxa"/>
              <w:left w:w="0" w:type="dxa"/>
              <w:bottom w:w="0" w:type="dxa"/>
              <w:right w:w="0" w:type="dxa"/>
            </w:tcMar>
          </w:tcPr>
          <w:p w14:paraId="150818A6"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i/>
                <w:color w:val="000000" w:themeColor="text1"/>
              </w:rPr>
              <w:t>&lt;</w:t>
            </w: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001</w:t>
            </w:r>
          </w:p>
        </w:tc>
        <w:tc>
          <w:tcPr>
            <w:tcW w:w="567" w:type="dxa"/>
            <w:tcBorders>
              <w:top w:val="nil"/>
              <w:left w:val="nil"/>
              <w:bottom w:val="nil"/>
              <w:right w:val="nil"/>
            </w:tcBorders>
            <w:tcMar>
              <w:top w:w="0" w:type="dxa"/>
              <w:left w:w="0" w:type="dxa"/>
              <w:bottom w:w="0" w:type="dxa"/>
              <w:right w:w="0" w:type="dxa"/>
            </w:tcMar>
          </w:tcPr>
          <w:p w14:paraId="72A65B5D"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rPr>
              <w:t>***</w:t>
            </w:r>
          </w:p>
        </w:tc>
      </w:tr>
      <w:tr w:rsidR="00B83530" w:rsidRPr="0032528B" w14:paraId="05C6EC7D" w14:textId="77777777" w:rsidTr="009508DA">
        <w:trPr>
          <w:trHeight w:val="27"/>
        </w:trPr>
        <w:tc>
          <w:tcPr>
            <w:tcW w:w="4820" w:type="dxa"/>
            <w:tcBorders>
              <w:top w:val="nil"/>
              <w:left w:val="nil"/>
              <w:bottom w:val="nil"/>
              <w:right w:val="nil"/>
            </w:tcBorders>
            <w:tcMar>
              <w:top w:w="0" w:type="dxa"/>
              <w:left w:w="0" w:type="dxa"/>
              <w:bottom w:w="0" w:type="dxa"/>
              <w:right w:w="0" w:type="dxa"/>
            </w:tcMar>
          </w:tcPr>
          <w:p w14:paraId="2BC6BE2A"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(TM [bilingual]):</w:t>
            </w:r>
            <w:r>
              <w:rPr>
                <w:rFonts w:ascii="Times New Roman" w:eastAsia="STKaiti" w:hAnsi="Times New Roman" w:cs="Times New Roman"/>
                <w:color w:val="000000" w:themeColor="text1"/>
                <w:lang w:eastAsia="zh-TW"/>
              </w:rPr>
              <w:t xml:space="preserve">target </w:t>
            </w:r>
            <w:r>
              <w:rPr>
                <w:rFonts w:ascii="Times New Roman" w:eastAsia="STKaiti" w:hAnsi="Times New Roman" w:cs="Times New Roman"/>
                <w:color w:val="000000" w:themeColor="text1"/>
              </w:rPr>
              <w:t>tone</w:t>
            </w:r>
          </w:p>
        </w:tc>
        <w:tc>
          <w:tcPr>
            <w:tcW w:w="1553" w:type="dxa"/>
            <w:tcBorders>
              <w:top w:val="nil"/>
              <w:left w:val="nil"/>
              <w:bottom w:val="nil"/>
              <w:right w:val="nil"/>
            </w:tcBorders>
            <w:tcMar>
              <w:top w:w="0" w:type="dxa"/>
              <w:left w:w="0" w:type="dxa"/>
              <w:bottom w:w="0" w:type="dxa"/>
              <w:right w:w="0" w:type="dxa"/>
            </w:tcMar>
          </w:tcPr>
          <w:p w14:paraId="027A20C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273±0</w:t>
            </w:r>
            <w:r>
              <w:rPr>
                <w:rFonts w:ascii="Times New Roman" w:hAnsi="Times New Roman" w:cs="Times New Roman"/>
                <w:i/>
                <w:color w:val="000000" w:themeColor="text1"/>
              </w:rPr>
              <w:t>.</w:t>
            </w:r>
            <w:r>
              <w:rPr>
                <w:rFonts w:ascii="Times New Roman" w:hAnsi="Times New Roman" w:cs="Times New Roman"/>
                <w:color w:val="000000" w:themeColor="text1"/>
              </w:rPr>
              <w:t>376</w:t>
            </w:r>
          </w:p>
        </w:tc>
        <w:tc>
          <w:tcPr>
            <w:tcW w:w="1031" w:type="dxa"/>
            <w:tcBorders>
              <w:top w:val="nil"/>
              <w:left w:val="nil"/>
              <w:bottom w:val="nil"/>
              <w:right w:val="nil"/>
            </w:tcBorders>
            <w:tcMar>
              <w:top w:w="0" w:type="dxa"/>
              <w:left w:w="0" w:type="dxa"/>
              <w:bottom w:w="0" w:type="dxa"/>
              <w:right w:w="0" w:type="dxa"/>
            </w:tcMar>
          </w:tcPr>
          <w:p w14:paraId="2247819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725</w:t>
            </w:r>
          </w:p>
        </w:tc>
        <w:tc>
          <w:tcPr>
            <w:tcW w:w="1276" w:type="dxa"/>
            <w:tcBorders>
              <w:top w:val="nil"/>
              <w:left w:val="nil"/>
              <w:bottom w:val="nil"/>
              <w:right w:val="nil"/>
            </w:tcBorders>
            <w:tcMar>
              <w:top w:w="0" w:type="dxa"/>
              <w:left w:w="0" w:type="dxa"/>
              <w:bottom w:w="0" w:type="dxa"/>
              <w:right w:w="0" w:type="dxa"/>
            </w:tcMar>
          </w:tcPr>
          <w:p w14:paraId="2C43C398"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472</w:t>
            </w:r>
          </w:p>
        </w:tc>
        <w:tc>
          <w:tcPr>
            <w:tcW w:w="567" w:type="dxa"/>
            <w:tcBorders>
              <w:top w:val="nil"/>
              <w:left w:val="nil"/>
              <w:bottom w:val="nil"/>
              <w:right w:val="nil"/>
            </w:tcBorders>
            <w:tcMar>
              <w:top w:w="0" w:type="dxa"/>
              <w:left w:w="0" w:type="dxa"/>
              <w:bottom w:w="0" w:type="dxa"/>
              <w:right w:w="0" w:type="dxa"/>
            </w:tcMar>
          </w:tcPr>
          <w:p w14:paraId="3EB3761C"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p>
        </w:tc>
      </w:tr>
      <w:tr w:rsidR="00B83530" w:rsidRPr="0032528B" w14:paraId="2F9E17A3" w14:textId="77777777" w:rsidTr="009508DA">
        <w:trPr>
          <w:trHeight w:val="75"/>
        </w:trPr>
        <w:tc>
          <w:tcPr>
            <w:tcW w:w="4820" w:type="dxa"/>
            <w:tcBorders>
              <w:top w:val="nil"/>
              <w:left w:val="nil"/>
              <w:bottom w:val="double" w:sz="4" w:space="0" w:color="000000"/>
              <w:right w:val="nil"/>
            </w:tcBorders>
            <w:tcMar>
              <w:top w:w="0" w:type="dxa"/>
              <w:left w:w="0" w:type="dxa"/>
              <w:bottom w:w="0" w:type="dxa"/>
              <w:right w:w="0" w:type="dxa"/>
            </w:tcMar>
          </w:tcPr>
          <w:p w14:paraId="3B6B227F" w14:textId="77777777" w:rsidR="00B83530" w:rsidRPr="0032528B" w:rsidRDefault="00B83530" w:rsidP="009508DA">
            <w:pPr>
              <w:pStyle w:val="JASABodyText"/>
              <w:spacing w:line="240"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language (TSM):</w:t>
            </w:r>
            <w:r>
              <w:rPr>
                <w:rFonts w:ascii="Times New Roman" w:eastAsia="STKaiti" w:hAnsi="Times New Roman" w:cs="Times New Roman"/>
                <w:color w:val="000000" w:themeColor="text1"/>
                <w:lang w:eastAsia="zh-TW"/>
              </w:rPr>
              <w:t xml:space="preserve">target </w:t>
            </w:r>
            <w:r>
              <w:rPr>
                <w:rFonts w:ascii="Times New Roman" w:eastAsia="STKaiti" w:hAnsi="Times New Roman" w:cs="Times New Roman"/>
                <w:color w:val="000000" w:themeColor="text1"/>
              </w:rPr>
              <w:t>tone</w:t>
            </w:r>
          </w:p>
        </w:tc>
        <w:tc>
          <w:tcPr>
            <w:tcW w:w="1553" w:type="dxa"/>
            <w:tcBorders>
              <w:top w:val="nil"/>
              <w:left w:val="nil"/>
              <w:bottom w:val="double" w:sz="4" w:space="0" w:color="000000"/>
              <w:right w:val="nil"/>
            </w:tcBorders>
            <w:tcMar>
              <w:top w:w="0" w:type="dxa"/>
              <w:left w:w="0" w:type="dxa"/>
              <w:bottom w:w="0" w:type="dxa"/>
              <w:right w:w="0" w:type="dxa"/>
            </w:tcMar>
          </w:tcPr>
          <w:p w14:paraId="181726A0"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1</w:t>
            </w:r>
            <w:r>
              <w:rPr>
                <w:rFonts w:ascii="Times New Roman" w:hAnsi="Times New Roman" w:cs="Times New Roman"/>
                <w:i/>
                <w:color w:val="000000" w:themeColor="text1"/>
              </w:rPr>
              <w:t>.</w:t>
            </w:r>
            <w:r>
              <w:rPr>
                <w:rFonts w:ascii="Times New Roman" w:hAnsi="Times New Roman" w:cs="Times New Roman"/>
                <w:color w:val="000000" w:themeColor="text1"/>
              </w:rPr>
              <w:t>273±0</w:t>
            </w:r>
            <w:r>
              <w:rPr>
                <w:rFonts w:ascii="Times New Roman" w:hAnsi="Times New Roman" w:cs="Times New Roman"/>
                <w:i/>
                <w:color w:val="000000" w:themeColor="text1"/>
              </w:rPr>
              <w:t>.</w:t>
            </w:r>
            <w:r>
              <w:rPr>
                <w:rFonts w:ascii="Times New Roman" w:hAnsi="Times New Roman" w:cs="Times New Roman"/>
                <w:color w:val="000000" w:themeColor="text1"/>
              </w:rPr>
              <w:t>376</w:t>
            </w:r>
          </w:p>
        </w:tc>
        <w:tc>
          <w:tcPr>
            <w:tcW w:w="1031" w:type="dxa"/>
            <w:tcBorders>
              <w:top w:val="nil"/>
              <w:left w:val="nil"/>
              <w:bottom w:val="double" w:sz="4" w:space="0" w:color="000000"/>
              <w:right w:val="nil"/>
            </w:tcBorders>
            <w:tcMar>
              <w:top w:w="0" w:type="dxa"/>
              <w:left w:w="0" w:type="dxa"/>
              <w:bottom w:w="0" w:type="dxa"/>
              <w:right w:w="0" w:type="dxa"/>
            </w:tcMar>
          </w:tcPr>
          <w:p w14:paraId="4B317C5A"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3</w:t>
            </w:r>
            <w:r>
              <w:rPr>
                <w:rFonts w:ascii="Times New Roman" w:hAnsi="Times New Roman" w:cs="Times New Roman"/>
                <w:i/>
                <w:color w:val="000000" w:themeColor="text1"/>
              </w:rPr>
              <w:t>.</w:t>
            </w:r>
            <w:r>
              <w:rPr>
                <w:rFonts w:ascii="Times New Roman" w:hAnsi="Times New Roman" w:cs="Times New Roman"/>
                <w:color w:val="000000" w:themeColor="text1"/>
              </w:rPr>
              <w:t>382</w:t>
            </w:r>
          </w:p>
        </w:tc>
        <w:tc>
          <w:tcPr>
            <w:tcW w:w="1276" w:type="dxa"/>
            <w:tcBorders>
              <w:top w:val="nil"/>
              <w:left w:val="nil"/>
              <w:bottom w:val="double" w:sz="4" w:space="0" w:color="000000"/>
              <w:right w:val="nil"/>
            </w:tcBorders>
            <w:tcMar>
              <w:top w:w="0" w:type="dxa"/>
              <w:left w:w="0" w:type="dxa"/>
              <w:bottom w:w="0" w:type="dxa"/>
              <w:right w:w="0" w:type="dxa"/>
            </w:tcMar>
          </w:tcPr>
          <w:p w14:paraId="447C5353" w14:textId="77777777" w:rsidR="00B83530" w:rsidRPr="0032528B" w:rsidRDefault="00B83530" w:rsidP="009508DA">
            <w:pPr>
              <w:pStyle w:val="JASABodyText"/>
              <w:spacing w:line="240" w:lineRule="auto"/>
              <w:ind w:firstLine="0"/>
              <w:jc w:val="right"/>
              <w:rPr>
                <w:rFonts w:ascii="Times New Roman" w:eastAsia="STKaiti" w:hAnsi="Times New Roman" w:cs="Times New Roman"/>
                <w:color w:val="000000" w:themeColor="text1"/>
              </w:rPr>
            </w:pPr>
            <w:r>
              <w:rPr>
                <w:rFonts w:ascii="Times New Roman" w:hAnsi="Times New Roman" w:cs="Times New Roman"/>
                <w:color w:val="000000" w:themeColor="text1"/>
              </w:rPr>
              <w:t>0</w:t>
            </w:r>
            <w:r>
              <w:rPr>
                <w:rFonts w:ascii="Times New Roman" w:hAnsi="Times New Roman" w:cs="Times New Roman"/>
                <w:i/>
                <w:color w:val="000000" w:themeColor="text1"/>
              </w:rPr>
              <w:t>.</w:t>
            </w:r>
            <w:r>
              <w:rPr>
                <w:rFonts w:ascii="Times New Roman" w:hAnsi="Times New Roman" w:cs="Times New Roman"/>
                <w:color w:val="000000" w:themeColor="text1"/>
              </w:rPr>
              <w:t>001</w:t>
            </w:r>
          </w:p>
        </w:tc>
        <w:tc>
          <w:tcPr>
            <w:tcW w:w="567" w:type="dxa"/>
            <w:tcBorders>
              <w:top w:val="nil"/>
              <w:left w:val="nil"/>
              <w:bottom w:val="double" w:sz="4" w:space="0" w:color="000000"/>
              <w:right w:val="nil"/>
            </w:tcBorders>
            <w:tcMar>
              <w:top w:w="0" w:type="dxa"/>
              <w:left w:w="0" w:type="dxa"/>
              <w:bottom w:w="0" w:type="dxa"/>
              <w:right w:w="0" w:type="dxa"/>
            </w:tcMar>
          </w:tcPr>
          <w:p w14:paraId="70956DB1" w14:textId="77777777" w:rsidR="00B83530" w:rsidRPr="0032528B" w:rsidRDefault="00B83530" w:rsidP="009508DA">
            <w:pPr>
              <w:pStyle w:val="JASABodyText"/>
              <w:spacing w:line="240" w:lineRule="auto"/>
              <w:ind w:firstLine="0"/>
              <w:rPr>
                <w:rFonts w:ascii="Times New Roman" w:eastAsia="STKaiti" w:hAnsi="Times New Roman" w:cs="Times New Roman"/>
                <w:iCs/>
                <w:color w:val="000000" w:themeColor="text1"/>
              </w:rPr>
            </w:pPr>
            <w:r>
              <w:rPr>
                <w:rFonts w:ascii="Times New Roman" w:eastAsia="STKaiti" w:hAnsi="Times New Roman" w:cs="Times New Roman"/>
                <w:iCs/>
                <w:color w:val="000000" w:themeColor="text1"/>
              </w:rPr>
              <w:t>**</w:t>
            </w:r>
          </w:p>
        </w:tc>
      </w:tr>
    </w:tbl>
    <w:p w14:paraId="5EFD971D" w14:textId="77777777" w:rsidR="00B83530" w:rsidRPr="0032528B" w:rsidRDefault="00B83530" w:rsidP="00B83530">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Formula: acceptance threshold </w:t>
      </w:r>
      <w:r>
        <w:rPr>
          <w:rFonts w:ascii="Cambria Math" w:eastAsia="STKaiti" w:hAnsi="Cambria Math" w:cs="Cambria Math"/>
          <w:color w:val="000000" w:themeColor="text1"/>
        </w:rPr>
        <w:t>∼</w:t>
      </w:r>
      <w:r>
        <w:rPr>
          <w:rFonts w:ascii="Times New Roman" w:eastAsia="STKaiti" w:hAnsi="Times New Roman" w:cs="Times New Roman"/>
          <w:color w:val="000000" w:themeColor="text1"/>
        </w:rPr>
        <w:t xml:space="preserve"> language * target tone + (1 | participant)</w:t>
      </w:r>
    </w:p>
    <w:p w14:paraId="31DCD2F4" w14:textId="77777777" w:rsidR="00B83530" w:rsidRPr="0032528B" w:rsidRDefault="00B83530" w:rsidP="003D64B7">
      <w:pPr>
        <w:pStyle w:val="JASABodyText"/>
        <w:ind w:firstLine="0"/>
        <w:rPr>
          <w:rFonts w:ascii="Times New Roman" w:eastAsia="STKaiti" w:hAnsi="Times New Roman" w:cs="Times New Roman"/>
          <w:color w:val="000000" w:themeColor="text1"/>
        </w:rPr>
      </w:pPr>
    </w:p>
    <w:p w14:paraId="3324F4B4" w14:textId="369AB713" w:rsidR="00DE4D58" w:rsidRPr="0032528B" w:rsidRDefault="00DE4D58" w:rsidP="002325C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Overall, as seen in Figure 7, a very similar pattern was found for the thresholds of acceptance. No systematic differences were found between TSM and TM (monolingual;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=−0.383; </w:t>
      </w:r>
      <w:r>
        <w:rPr>
          <w:rFonts w:ascii="Times New Roman" w:eastAsia="STKaiti" w:hAnsi="Times New Roman" w:cs="Times New Roman"/>
          <w:i/>
          <w:color w:val="000000" w:themeColor="text1"/>
        </w:rPr>
        <w:t>p</w:t>
      </w:r>
      <w:r>
        <w:rPr>
          <w:rFonts w:ascii="Times New Roman" w:eastAsia="STKaiti" w:hAnsi="Times New Roman" w:cs="Times New Roman"/>
          <w:iCs/>
          <w:color w:val="000000" w:themeColor="text1"/>
        </w:rPr>
        <w:t>=0.065</w:t>
      </w:r>
      <w:r>
        <w:rPr>
          <w:rFonts w:ascii="Times New Roman" w:eastAsia="STKaiti" w:hAnsi="Times New Roman" w:cs="Times New Roman"/>
          <w:color w:val="000000" w:themeColor="text1"/>
        </w:rPr>
        <w:t xml:space="preserve">). This would suggest that TM participants were not more likely to accept an ambiguous tone as acceptable than their TM counterparts.</w:t>
      </w:r>
    </w:p>
    <w:p w14:paraId="2BCC7608" w14:textId="289524A9" w:rsidR="00DE4D58" w:rsidRPr="0032528B" w:rsidRDefault="00F72B46" w:rsidP="00DE4D58">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Meanwhile, tone-specific differences were once again found. TSM participants had higher thresholds for the falling tone than monolingual TM participants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=1.143; </w:t>
      </w: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003).</w:t>
      </w:r>
    </w:p>
    <w:p w14:paraId="204E83BE" w14:textId="41C7C1F7" w:rsidR="00BC39B1" w:rsidRPr="0032528B" w:rsidRDefault="006C4F9A" w:rsidP="00885B30">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This interaction was also more pronounced when only the advanced speakers were included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=1.273;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=0.003).</w:t>
      </w:r>
    </w:p>
    <w:p w14:paraId="42CC4E6C" w14:textId="0D935A84" w:rsidR="002D629A" w:rsidRPr="0032528B" w:rsidRDefault="00DE4D58">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Examination of follow-up models</w:t>
      </w:r>
      <w:r>
        <w:rPr>
          <w:rStyle w:val="Appelnotedebasdep"/>
          <w:rFonts w:eastAsia="STKaiti" w:cs="Times New Roman"/>
          <w:color w:val="000000" w:themeColor="text1"/>
        </w:rPr>
        <w:footnoteReference w:id="35"/>
      </w:r>
      <w:r>
        <w:rPr>
          <w:rFonts w:ascii="Times New Roman" w:eastAsia="STKaiti" w:hAnsi="Times New Roman" w:cs="Times New Roman"/>
          <w:color w:val="000000" w:themeColor="text1"/>
        </w:rPr>
        <w:t xml:space="preserve"> showed that when all participants were included, the thresholds of acceptance were lower for TSM</w:t>
      </w:r>
      <w:r>
        <w:rPr>
          <w:rFonts w:ascii="Times New Roman" w:eastAsia="STKaiti" w:hAnsi="Times New Roman" w:cs="Times New Roman"/>
          <w:color w:val="000000" w:themeColor="text1"/>
          <w:lang w:eastAsia="zh-TW"/>
        </w:rPr>
        <w:t xml:space="preserve"> </w:t>
      </w:r>
      <w:r>
        <w:rPr>
          <w:rFonts w:ascii="Times New Roman" w:eastAsia="STKaiti" w:hAnsi="Times New Roman" w:cs="Times New Roman"/>
          <w:color w:val="000000" w:themeColor="text1"/>
        </w:rPr>
        <w:t>than TM (monolingual) for the low tone perception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=−0.955; </w:t>
      </w:r>
      <w:r>
        <w:rPr>
          <w:rFonts w:ascii="Times New Roman" w:eastAsia="STKaiti" w:hAnsi="Times New Roman" w:cs="Times New Roman"/>
          <w:i/>
          <w:color w:val="000000" w:themeColor="text1"/>
        </w:rPr>
        <w:t>p&lt;</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001) but no difference for the falling tone perception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=0.188; </w:t>
      </w:r>
      <w:r>
        <w:rPr>
          <w:rFonts w:ascii="Times New Roman" w:eastAsia="STKaiti" w:hAnsi="Times New Roman" w:cs="Times New Roman"/>
          <w:i/>
          <w:color w:val="000000" w:themeColor="text1"/>
        </w:rPr>
        <w:t>p</w:t>
      </w:r>
      <w:r>
        <w:rPr>
          <w:rFonts w:ascii="Times New Roman" w:eastAsia="STKaiti" w:hAnsi="Times New Roman" w:cs="Times New Roman"/>
          <w:color w:val="000000" w:themeColor="text1"/>
        </w:rPr>
        <w:t>=0</w:t>
      </w:r>
      <w:r>
        <w:rPr>
          <w:rFonts w:ascii="Times New Roman" w:eastAsia="STKaiti" w:hAnsi="Times New Roman" w:cs="Times New Roman"/>
          <w:i/>
          <w:color w:val="000000" w:themeColor="text1"/>
        </w:rPr>
        <w:t>.</w:t>
      </w:r>
      <w:r>
        <w:rPr>
          <w:rFonts w:ascii="Times New Roman" w:eastAsia="STKaiti" w:hAnsi="Times New Roman" w:cs="Times New Roman"/>
          <w:color w:val="000000" w:themeColor="text1"/>
        </w:rPr>
        <w:t xml:space="preserve">532), though the numerical directions patterned similarly (higher thresholds for TSM) as in the maximal model. In addition, when only advanced speakers were considered, such linguistic patterns remained: TSM had less steep slopes of acceptance than TM for the low tone perception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=−0.952;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=0.003), but not for the falling tone (</w:t>
      </w:r>
      <m:oMath>
        <m:acc>
          <m:accPr>
            <m:ctrlPr>
              <w:rPr>
                <w:rFonts w:ascii="Cambria Math" w:eastAsia="STKaiti" w:hAnsi="Cambria Math" w:cs="Times New Roman"/>
                <w:i/>
                <w:color w:val="000000" w:themeColor="text1"/>
              </w:rPr>
            </m:ctrlPr>
          </m:accPr>
          <m:e>
            <m:r>
              <w:rPr>
                <w:rFonts w:ascii="Cambria Math" w:eastAsia="STKaiti" w:hAnsi="Cambria Math" w:cs="Times New Roman"/>
                <w:color w:val="000000" w:themeColor="text1"/>
              </w:rPr>
              <m:t>β</m:t>
            </m:r>
          </m:e>
        </m:acc>
      </m:oMath>
      <w:r>
        <w:rPr>
          <w:rFonts w:ascii="Times New Roman" w:eastAsia="STKaiti" w:hAnsi="Times New Roman" w:cs="Times New Roman"/>
          <w:color w:val="000000" w:themeColor="text1"/>
        </w:rPr>
        <w:t xml:space="preserve">=0.321; </w:t>
      </w:r>
      <w:r>
        <w:rPr>
          <w:rFonts w:ascii="Times New Roman" w:eastAsia="STKaiti" w:hAnsi="Times New Roman" w:cs="Times New Roman"/>
          <w:i/>
          <w:iCs/>
          <w:color w:val="000000" w:themeColor="text1"/>
        </w:rPr>
        <w:t>p</w:t>
      </w:r>
      <w:r>
        <w:rPr>
          <w:rFonts w:ascii="Times New Roman" w:eastAsia="STKaiti" w:hAnsi="Times New Roman" w:cs="Times New Roman"/>
          <w:color w:val="000000" w:themeColor="text1"/>
        </w:rPr>
        <w:t>=0.299).</w:t>
      </w:r>
    </w:p>
    <w:p w14:paraId="60908F02" w14:textId="77777777" w:rsidR="00D73217" w:rsidRPr="0032528B" w:rsidRDefault="00D73217" w:rsidP="003D64B7">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Overall, we found different acceptance ranges for the low tone and the falling tone in TM and TSM. TSM had a larger acceptance range for the low tone, but a generally stricter acceptance range for the falling tone, though follow-up models showed less robust results. This is likely due to the reduced number of data points for each follow-up model and the subsequent lower power to capture the effects. This is summarized in Table </w:t>
      </w:r>
      <w:r>
        <w:rPr>
          <w:rFonts w:ascii="Times New Roman" w:eastAsia="STKaiti" w:hAnsi="Times New Roman" w:cs="Times New Roman"/>
          <w:color w:val="000000" w:themeColor="text1"/>
          <w:lang w:eastAsia="zh-TW"/>
        </w:rPr>
        <w:t>9</w:t>
      </w:r>
      <w:r>
        <w:rPr>
          <w:rFonts w:ascii="Times New Roman" w:eastAsia="STKaiti" w:hAnsi="Times New Roman" w:cs="Times New Roman"/>
          <w:color w:val="000000" w:themeColor="text1"/>
        </w:rPr>
        <w:t>.</w:t>
      </w:r>
    </w:p>
    <w:p w14:paraId="1E865F39" w14:textId="77777777" w:rsidR="00D73217" w:rsidRPr="0032528B" w:rsidRDefault="00D73217" w:rsidP="003D64B7">
      <w:pPr>
        <w:pStyle w:val="JASABodyText"/>
        <w:rPr>
          <w:rFonts w:ascii="Times New Roman" w:eastAsia="STKaiti" w:hAnsi="Times New Roman" w:cs="Times New Roman"/>
          <w:color w:val="000000" w:themeColor="text1"/>
        </w:rPr>
      </w:pPr>
    </w:p>
    <w:p w14:paraId="3E9BC4E4" w14:textId="2BA6B2CE" w:rsidR="00DE4D58" w:rsidRPr="0032528B" w:rsidRDefault="00DE4D58" w:rsidP="00A1648F">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Table </w:t>
      </w:r>
      <w:r>
        <w:rPr>
          <w:rFonts w:ascii="Times New Roman" w:eastAsia="STKaiti" w:hAnsi="Times New Roman" w:cs="Times New Roman"/>
          <w:color w:val="000000" w:themeColor="text1"/>
          <w:lang w:eastAsia="zh-TW"/>
        </w:rPr>
        <w:t>9</w:t>
      </w:r>
      <w:r>
        <w:rPr>
          <w:rFonts w:ascii="Times New Roman" w:eastAsia="STKaiti" w:hAnsi="Times New Roman" w:cs="Times New Roman"/>
          <w:color w:val="000000" w:themeColor="text1"/>
        </w:rPr>
        <w:t>. Summary of the results in Experiment 3.</w:t>
      </w:r>
    </w:p>
    <w:tbl>
      <w:tblPr>
        <w:tblW w:w="9325" w:type="dxa"/>
        <w:tblCellMar>
          <w:right w:w="40" w:type="dxa"/>
        </w:tblCellMar>
        <w:tblLook w:val="04A0" w:firstRow="1" w:lastRow="0" w:firstColumn="1" w:lastColumn="0" w:noHBand="0" w:noVBand="1"/>
      </w:tblPr>
      <w:tblGrid>
        <w:gridCol w:w="3748"/>
        <w:gridCol w:w="2061"/>
        <w:gridCol w:w="3516"/>
      </w:tblGrid>
      <w:tr w:rsidR="0006295E" w:rsidRPr="0032528B" w14:paraId="57F2CD8D" w14:textId="77777777" w:rsidTr="00DB1E76">
        <w:trPr>
          <w:trHeight w:val="45"/>
        </w:trPr>
        <w:tc>
          <w:tcPr>
            <w:tcW w:w="3748" w:type="dxa"/>
            <w:tcBorders>
              <w:top w:val="double" w:sz="4" w:space="0" w:color="000000"/>
              <w:left w:val="nil"/>
              <w:bottom w:val="nil"/>
              <w:right w:val="nil"/>
            </w:tcBorders>
            <w:tcMar>
              <w:left w:w="0" w:type="dxa"/>
              <w:right w:w="0" w:type="dxa"/>
            </w:tcMar>
            <w:vAlign w:val="center"/>
          </w:tcPr>
          <w:p w14:paraId="502CC254" w14:textId="5A310E10"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Acceptance measurement</w:t>
            </w:r>
          </w:p>
        </w:tc>
        <w:tc>
          <w:tcPr>
            <w:tcW w:w="2061" w:type="dxa"/>
            <w:tcBorders>
              <w:top w:val="double" w:sz="4" w:space="0" w:color="000000"/>
              <w:left w:val="nil"/>
              <w:bottom w:val="nil"/>
              <w:right w:val="nil"/>
            </w:tcBorders>
            <w:tcMar>
              <w:left w:w="0" w:type="dxa"/>
              <w:right w:w="0" w:type="dxa"/>
            </w:tcMar>
            <w:vAlign w:val="center"/>
          </w:tcPr>
          <w:p w14:paraId="6027FD63" w14:textId="2EA7A38B"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Low tone</w:t>
            </w:r>
          </w:p>
        </w:tc>
        <w:tc>
          <w:tcPr>
            <w:tcW w:w="3516" w:type="dxa"/>
            <w:tcBorders>
              <w:top w:val="double" w:sz="4" w:space="0" w:color="000000"/>
              <w:left w:val="nil"/>
              <w:bottom w:val="nil"/>
              <w:right w:val="nil"/>
            </w:tcBorders>
            <w:tcMar>
              <w:left w:w="0" w:type="dxa"/>
              <w:right w:w="0" w:type="dxa"/>
            </w:tcMar>
            <w:vAlign w:val="center"/>
          </w:tcPr>
          <w:p w14:paraId="793095E1" w14:textId="58AB5BAF"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Falling tone</w:t>
            </w:r>
          </w:p>
        </w:tc>
      </w:tr>
      <w:tr w:rsidR="0006295E" w:rsidRPr="0032528B" w14:paraId="656BE985" w14:textId="77777777" w:rsidTr="00DB1E76">
        <w:trPr>
          <w:trHeight w:val="68"/>
        </w:trPr>
        <w:tc>
          <w:tcPr>
            <w:tcW w:w="3748" w:type="dxa"/>
            <w:tcBorders>
              <w:top w:val="single" w:sz="3" w:space="0" w:color="000000"/>
              <w:left w:val="nil"/>
              <w:bottom w:val="nil"/>
              <w:right w:val="nil"/>
            </w:tcBorders>
            <w:tcMar>
              <w:left w:w="0" w:type="dxa"/>
              <w:right w:w="0" w:type="dxa"/>
            </w:tcMar>
            <w:vAlign w:val="center"/>
          </w:tcPr>
          <w:p w14:paraId="78DD30CC" w14:textId="77777777"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Steepness of acceptance rates</w:t>
            </w:r>
          </w:p>
        </w:tc>
        <w:tc>
          <w:tcPr>
            <w:tcW w:w="2061" w:type="dxa"/>
            <w:tcBorders>
              <w:top w:val="single" w:sz="3" w:space="0" w:color="000000"/>
              <w:left w:val="nil"/>
              <w:bottom w:val="nil"/>
              <w:right w:val="nil"/>
            </w:tcBorders>
            <w:tcMar>
              <w:left w:w="0" w:type="dxa"/>
              <w:right w:w="0" w:type="dxa"/>
            </w:tcMar>
            <w:vAlign w:val="center"/>
          </w:tcPr>
          <w:p w14:paraId="58A5F75F" w14:textId="77777777"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TM </w:t>
            </w:r>
            <w:r>
              <w:rPr>
                <w:rFonts w:ascii="Times New Roman" w:eastAsia="STKaiti" w:hAnsi="Times New Roman" w:cs="Times New Roman"/>
                <w:i/>
                <w:color w:val="000000" w:themeColor="text1"/>
              </w:rPr>
              <w:t xml:space="preserve">&gt; </w:t>
            </w:r>
            <w:r>
              <w:rPr>
                <w:rFonts w:ascii="Times New Roman" w:eastAsia="STKaiti" w:hAnsi="Times New Roman" w:cs="Times New Roman"/>
                <w:color w:val="000000" w:themeColor="text1"/>
              </w:rPr>
              <w:t>TSM</w:t>
            </w:r>
          </w:p>
        </w:tc>
        <w:tc>
          <w:tcPr>
            <w:tcW w:w="3516" w:type="dxa"/>
            <w:tcBorders>
              <w:top w:val="single" w:sz="3" w:space="0" w:color="000000"/>
              <w:left w:val="nil"/>
              <w:bottom w:val="nil"/>
              <w:right w:val="nil"/>
            </w:tcBorders>
            <w:tcMar>
              <w:left w:w="0" w:type="dxa"/>
              <w:right w:w="0" w:type="dxa"/>
            </w:tcMar>
            <w:vAlign w:val="center"/>
          </w:tcPr>
          <w:p w14:paraId="720FDBB0" w14:textId="3055B2E9"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TSM </w:t>
            </w:r>
            <w:r>
              <w:rPr>
                <w:rFonts w:ascii="Times New Roman" w:eastAsia="STKaiti" w:hAnsi="Times New Roman" w:cs="Times New Roman"/>
                <w:i/>
                <w:color w:val="000000" w:themeColor="text1"/>
              </w:rPr>
              <w:t xml:space="preserve">&gt; </w:t>
            </w:r>
            <w:r>
              <w:rPr>
                <w:rFonts w:ascii="Times New Roman" w:eastAsia="STKaiti" w:hAnsi="Times New Roman" w:cs="Times New Roman"/>
                <w:color w:val="000000" w:themeColor="text1"/>
              </w:rPr>
              <w:t>TM</w:t>
            </w:r>
          </w:p>
        </w:tc>
      </w:tr>
      <w:tr w:rsidR="00DE4D58" w:rsidRPr="0032528B" w14:paraId="400AEE7D" w14:textId="77777777" w:rsidTr="00DB1E76">
        <w:trPr>
          <w:trHeight w:val="75"/>
        </w:trPr>
        <w:tc>
          <w:tcPr>
            <w:tcW w:w="3748" w:type="dxa"/>
            <w:tcBorders>
              <w:top w:val="nil"/>
              <w:left w:val="nil"/>
              <w:bottom w:val="double" w:sz="4" w:space="0" w:color="000000"/>
              <w:right w:val="nil"/>
            </w:tcBorders>
            <w:tcMar>
              <w:left w:w="0" w:type="dxa"/>
              <w:right w:w="0" w:type="dxa"/>
            </w:tcMar>
            <w:vAlign w:val="center"/>
          </w:tcPr>
          <w:p w14:paraId="77EA7372" w14:textId="77777777"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Threshold of acceptance</w:t>
            </w:r>
          </w:p>
        </w:tc>
        <w:tc>
          <w:tcPr>
            <w:tcW w:w="2061" w:type="dxa"/>
            <w:tcBorders>
              <w:top w:val="nil"/>
              <w:left w:val="nil"/>
              <w:bottom w:val="double" w:sz="4" w:space="0" w:color="000000"/>
              <w:right w:val="nil"/>
            </w:tcBorders>
            <w:tcMar>
              <w:left w:w="0" w:type="dxa"/>
              <w:right w:w="0" w:type="dxa"/>
            </w:tcMar>
            <w:vAlign w:val="center"/>
          </w:tcPr>
          <w:p w14:paraId="785BDE56" w14:textId="77777777"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TM </w:t>
            </w:r>
            <w:r>
              <w:rPr>
                <w:rFonts w:ascii="Times New Roman" w:eastAsia="STKaiti" w:hAnsi="Times New Roman" w:cs="Times New Roman"/>
                <w:i/>
                <w:color w:val="000000" w:themeColor="text1"/>
              </w:rPr>
              <w:t xml:space="preserve">&gt; </w:t>
            </w:r>
            <w:r>
              <w:rPr>
                <w:rFonts w:ascii="Times New Roman" w:eastAsia="STKaiti" w:hAnsi="Times New Roman" w:cs="Times New Roman"/>
                <w:color w:val="000000" w:themeColor="text1"/>
              </w:rPr>
              <w:t>TSM</w:t>
            </w:r>
          </w:p>
        </w:tc>
        <w:tc>
          <w:tcPr>
            <w:tcW w:w="3516" w:type="dxa"/>
            <w:tcBorders>
              <w:top w:val="nil"/>
              <w:left w:val="nil"/>
              <w:bottom w:val="double" w:sz="4" w:space="0" w:color="000000"/>
              <w:right w:val="nil"/>
            </w:tcBorders>
            <w:tcMar>
              <w:left w:w="0" w:type="dxa"/>
              <w:right w:w="0" w:type="dxa"/>
            </w:tcMar>
            <w:vAlign w:val="center"/>
          </w:tcPr>
          <w:p w14:paraId="776D8818" w14:textId="77777777" w:rsidR="00DE4D58" w:rsidRPr="0032528B" w:rsidRDefault="00DE4D58" w:rsidP="007C3E45">
            <w:pPr>
              <w:pStyle w:val="JASABodyText"/>
              <w:spacing w:line="276" w:lineRule="auto"/>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TSM </w:t>
            </w:r>
            <w:r>
              <w:rPr>
                <w:rFonts w:ascii="Times New Roman" w:eastAsia="STKaiti" w:hAnsi="Times New Roman" w:cs="Times New Roman"/>
                <w:i/>
                <w:color w:val="000000" w:themeColor="text1"/>
              </w:rPr>
              <w:t xml:space="preserve">&gt; </w:t>
            </w:r>
            <w:r>
              <w:rPr>
                <w:rFonts w:ascii="Times New Roman" w:eastAsia="STKaiti" w:hAnsi="Times New Roman" w:cs="Times New Roman"/>
                <w:color w:val="000000" w:themeColor="text1"/>
              </w:rPr>
              <w:t>TM (less robust)</w:t>
            </w:r>
          </w:p>
        </w:tc>
      </w:tr>
    </w:tbl>
    <w:p w14:paraId="1CC03EDA" w14:textId="77777777" w:rsidR="00A40BF8" w:rsidRPr="0032528B" w:rsidRDefault="00A40BF8" w:rsidP="00A40BF8">
      <w:pPr>
        <w:pStyle w:val="JASAsecond-levelheading"/>
        <w:rPr>
          <w:rFonts w:ascii="Times New Roman" w:eastAsia="STKaiti" w:hAnsi="Times New Roman" w:cs="Times New Roman"/>
        </w:rPr>
      </w:pPr>
    </w:p>
    <w:p w14:paraId="7F075CC1" w14:textId="688EC02C" w:rsidR="00761D6B"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4.3 Discussion</w:t>
      </w:r>
    </w:p>
    <w:p w14:paraId="6970EFA8" w14:textId="69042B67" w:rsidR="00350AB0" w:rsidRPr="0032528B" w:rsidRDefault="00761D6B"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As mentioned previously, it is hypothesized that TSM as a language with a large tone inventory, and the subsequent higher difficulty to recruit perceptual compensation during the processing of coarticulated tones, may maintain narrower tone acceptance ranges to reduce the possibility of confusing a coarticulated tone with another lexical tone. This hypothesis was partially borne out in the results for the falling tone. The results of the steepness and threshold measurements revealed opposite patterns of acceptance range for the low and falling tones in the two languages. It was seen that the acceptance range was narrower in TSM than in TM when participants were asked to judge whether an ambiguous falling tone was a good token, and this trend was more pronounced in the advanced speakers. This trend, however, was not shown when it came to the low tone. This is likely due to the fact that under the sandhi rules in TSM (cf. Appendix D), a low tone is turned into a falling tone. Despite the fact that the stimuli were isolated disyllabic words, and that participants were reminded that the words were produced in isolation with no preceding and following contexts and therefore should not undergo sandhi changes, several reported feeling both the low tone and falling tone to be acceptable for them on the same words, which may be accounted for by the potential sandhi contexts. This might explain why the boundaries for the low tone were not significantly stricter than the falling tone. With this in mind, the results overall suggest that tone acceptance ranges in TSM could be </w:t>
        <w:lastRenderedPageBreak/>
        <w:t xml:space="preserve">narrower than in TM </w:t>
      </w:r>
      <w:r>
        <w:rPr>
          <w:rFonts w:ascii="Times New Roman" w:eastAsia="STKaiti" w:hAnsi="Times New Roman" w:cs="Times New Roman"/>
          <w:color w:val="000000" w:themeColor="text1"/>
          <w:highlight w:val="yellow"/>
        </w:rPr>
        <w:t>(though see Section 5.4.4 on the fixed task order).</w:t>
      </w:r>
      <w:r>
        <w:rPr>
          <w:rFonts w:ascii="Times New Roman" w:eastAsia="STKaiti" w:hAnsi="Times New Roman" w:cs="Times New Roman"/>
          <w:color w:val="000000" w:themeColor="text1"/>
        </w:rPr>
        <w:t xml:space="preserve"> This finding reconciles the question pertaining to the robust tonal coarticulation in both TSM and TM and the weaker perceptual compensation effects seen in TSM as compared with TM. It is inferred that while TSM does not rely as heavily on perceptual compensation when perceiving coarticulated tones, keeping a stricter tone acceptance range may reduce the possible tone confusion induced by tonal coarticulation.</w:t>
      </w:r>
    </w:p>
    <w:p w14:paraId="59DF83F1" w14:textId="21C476C6" w:rsidR="00761D6B" w:rsidRPr="0032528B" w:rsidRDefault="006C5DBB" w:rsidP="006C5DBB">
      <w:pPr>
        <w:pStyle w:val="JASAFIRST-LEVELHEADING"/>
        <w:numPr>
          <w:ilvl w:val="0"/>
          <w:numId w:val="0"/>
        </w:numPr>
        <w:rPr>
          <w:rFonts w:ascii="Times New Roman" w:eastAsia="STKaiti" w:hAnsi="Times New Roman" w:cs="Times New Roman"/>
          <w:caps w:val="0"/>
        </w:rPr>
      </w:pPr>
      <w:r>
        <w:rPr>
          <w:rFonts w:ascii="Times New Roman" w:eastAsia="STKaiti" w:hAnsi="Times New Roman" w:cs="Times New Roman"/>
          <w:caps w:val="0"/>
        </w:rPr>
        <w:t xml:space="preserve">5 General discussion and conclusion</w:t>
      </w:r>
    </w:p>
    <w:p w14:paraId="77F91460" w14:textId="0EBC24E3" w:rsidR="00761D6B"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5.1 Production and perception of tonal coarticulation in Taiwan Mandarin and Taiwan Southern Min</w:t>
      </w:r>
    </w:p>
    <w:p w14:paraId="798487AA" w14:textId="77777777" w:rsidR="00761D6B" w:rsidRPr="0032528B" w:rsidRDefault="00761D6B"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This study investigated the production and perception of tonal coarticulation in TM and TSM.</w:t>
      </w:r>
    </w:p>
    <w:p w14:paraId="67FE486F" w14:textId="38D205D1" w:rsidR="00761D6B" w:rsidRPr="0032528B" w:rsidRDefault="00761D6B"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the three experiments, three aspects were examined: 1) the magnitude of tonal coarticulation, 2) the magnitude of perceptual compensation for tonal coarticulation, and 3) the tone acceptance ranges. It is predicted that TSM, due to a larger tone inventory, may refrain from having the same magnitude of tonal coarticulation as TM and BM to reduce the subsequent tone variations (Hypothesis 1). Alternatively, it is also hypothesized that the magnitude of perceptual compensation for tonal coarticulation may also be lower in TSM due to the lower recoverability of the target tone. Consequently, TSM may opt to maintain stricter tone acceptance ranges to prevent a coarticulated target tone from being perceived as another lexical tone (Hypothesis 2). In our results, the predictions for the second scenario were borne out. For TM, tonal coarticulation was indeed attested, as was observed in BM. Likewise, robust tonal coarticulation was found in both TSM and TM, </w:t>
      </w:r>
      <w:r>
        <w:rPr>
          <w:rFonts w:ascii="Times New Roman" w:eastAsia="STKaiti" w:hAnsi="Times New Roman" w:cs="Times New Roman"/>
          <w:color w:val="000000" w:themeColor="text1"/>
          <w:highlight w:val="yellow"/>
        </w:rPr>
        <w:t>with TSM showing stronger magnitudes</w:t>
      </w:r>
      <w:r>
        <w:rPr>
          <w:rFonts w:ascii="Times New Roman" w:eastAsia="STKaiti" w:hAnsi="Times New Roman" w:cs="Times New Roman"/>
          <w:color w:val="000000" w:themeColor="text1"/>
        </w:rPr>
        <w:t xml:space="preserve">, disfavoring our first hypothesis (Experiment 1). On the flip side, our second hypothesis predicts that a lower </w:t>
        <w:lastRenderedPageBreak/>
        <w:t xml:space="preserve">recoverability for TSM would increase the difficulty of TSM to rely entirely on perceptual compensation, and TSM would, in turn, require other perceptual mechanisms. Indeed, while both TM and TSM listeners employed perceptual compensation to compensate for tonal coarticulation, the perceptual compensation observed in TSM was significantly weaker than in TM (Experiment 2). Conversely, TSM also demonstrated narrower ranges of tone acceptance (at least for the falling tone), serving as an auxiliary mechanism in response to tone variations induced by tonal coarticulation (Experiment 3).</w:t>
      </w:r>
    </w:p>
    <w:p w14:paraId="6C2425EA" w14:textId="2E3D320F" w:rsidR="00350AB0" w:rsidRDefault="00D41A2A" w:rsidP="00D41A2A">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Our results therefore suggest that the realization of tonal coarticulation is not obviously constrained by language-specific structural factors. Speakers instead cope with the structural differences across languages through perceptual mechanisms.</w:t>
      </w:r>
      <w:r>
        <w:rPr>
          <w:rFonts w:ascii="Times New Roman" w:eastAsia="STKaiti" w:hAnsi="Times New Roman" w:cs="Times New Roman"/>
          <w:color w:val="000000" w:themeColor="text1"/>
        </w:rPr>
        <w:t xml:space="preserve"> This result is therefore compatible with the account that tonal coarticulation is universal, driven by phonetic constraints. This conception, however, requires further scrutiny and shall be discussed in the next section.</w:t>
      </w:r>
    </w:p>
    <w:p w14:paraId="41EDDF5F" w14:textId="4D6E818A" w:rsidR="00C3433E" w:rsidRPr="0032528B" w:rsidRDefault="00C3433E" w:rsidP="00D41A2A">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Our study also points out the two proposed perceptual mechanisms, i.e., perceptual compensation and tone acceptance range, as two potentially independent and interacting factors that jointly modulate the perception of tonal coarticulation cross-linguistically. Such a possibility remains to be tested in further sresearch.</w:t>
      </w:r>
      <w:r>
        <w:rPr>
          <w:rFonts w:ascii="Times New Roman" w:eastAsia="STKaiti" w:hAnsi="Times New Roman" w:cs="Times New Roman"/>
          <w:color w:val="000000" w:themeColor="text1"/>
        </w:rPr>
        <w:t xml:space="preserve"> </w:t>
      </w:r>
    </w:p>
    <w:p w14:paraId="182CCA5D" w14:textId="77777777" w:rsidR="00971249" w:rsidRPr="0032528B" w:rsidRDefault="00971249" w:rsidP="00971249">
      <w:pPr>
        <w:pStyle w:val="JASAsecond-levelheading"/>
        <w:rPr>
          <w:rFonts w:ascii="Times New Roman" w:eastAsia="STKaiti" w:hAnsi="Times New Roman" w:cs="Times New Roman"/>
        </w:rPr>
      </w:pPr>
      <w:r>
        <w:rPr>
          <w:rFonts w:ascii="Times New Roman" w:eastAsia="STKaiti" w:hAnsi="Times New Roman" w:cs="Times New Roman"/>
        </w:rPr>
        <w:t>5.2 Universality of tonal coarticulation</w:t>
      </w:r>
    </w:p>
    <w:p w14:paraId="1D64F920" w14:textId="4803FF65" w:rsidR="00971249" w:rsidRPr="0032528B" w:rsidRDefault="00971249" w:rsidP="00EB73AF">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As mentioned in Section 1.1, there is still a debate on whether tonal coarticulation is a universal constraint induced by biomechanical factors (e.g., Shen 1992), or is conditioned by phonological contrasts and may thus vary among languages (e.g., Brunelle 2009; Flemming 2011). One objective of this study is to investigate whether differences in tone inventory sizes would lead to correspondingly different magnitudes of tonal coarticulation, as has been found in segmental coarticulation (Manuel 1990). TSM, with its larger tone inventory, is expected to </w:t>
        <w:lastRenderedPageBreak/>
        <w:t xml:space="preserve">exhibit more constrained tonal coarticulation, as it faces greater pressure to avoid perceptual confusion among tones. This was, however, not the case in the results. Instead, tonal coarticulation was stronger in terms of magnitude in TSM than in TM. </w:t>
      </w:r>
    </w:p>
    <w:p w14:paraId="010258F2" w14:textId="093157A5" w:rsidR="00727D3C" w:rsidRPr="0032528B" w:rsidRDefault="00727D3C" w:rsidP="00D37D7E">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We should, however, not rush to conclude that tonal coarticulation is conditioned purely by biomechanical constraints. </w:t>
      </w:r>
      <w:r>
        <w:rPr>
          <w:rFonts w:ascii="Times New Roman" w:eastAsia="STKaiti" w:hAnsi="Times New Roman" w:cs="Times New Roman"/>
          <w:color w:val="000000" w:themeColor="text1"/>
          <w:highlight w:val="yellow"/>
        </w:rPr>
        <w:t xml:space="preserve">Firstly, we do see that tonal coarticulation differs between TM monolingual speakers’ production and bilingual speakers’ TSM production, and also within the bilingual speakers when they produce TM versus TSM, though in a direction opposite to our prediction. Secondly, w</w:t>
      </w:r>
      <w:r>
        <w:rPr>
          <w:rFonts w:ascii="Times New Roman" w:eastAsia="STKaiti" w:hAnsi="Times New Roman" w:cs="Times New Roman"/>
          <w:color w:val="000000" w:themeColor="text1"/>
        </w:rPr>
        <w:t xml:space="preserve">hile an inverse result (differences in magnitudes in the predicted direction attested) would serve as solid evidence that tonal coarticulation is unlikely to be constrained merely by biomechanical factors, as linguistic factors are found, the reverse does not </w:t>
      </w:r>
      <w:r>
        <w:rPr>
          <w:rFonts w:ascii="Times New Roman" w:eastAsia="STKaiti" w:hAnsi="Times New Roman" w:cs="Times New Roman"/>
          <w:color w:val="000000" w:themeColor="text1"/>
          <w:highlight w:val="yellow"/>
        </w:rPr>
        <w:t>hold</w:t>
      </w:r>
      <w:r>
        <w:rPr>
          <w:rFonts w:ascii="Times New Roman" w:eastAsia="STKaiti" w:hAnsi="Times New Roman" w:cs="Times New Roman"/>
          <w:color w:val="000000" w:themeColor="text1"/>
        </w:rPr>
        <w:t xml:space="preserve">. One counterpoint would be the one proposed in Flemming (2011), where coarticulation is argued to be integrated into phonological grammar, with different prioritizations of articulatory and perceptual ease. Flemming argues that linguistic differences in coarticulation, such as tonal coarticulation and fronting effects of back vowels, serve as evidence that coarticulation is entrenched in phonology, with language-specific preferences of whether to prioritize articulatory or perceptual ease first.</w:t>
      </w:r>
    </w:p>
    <w:p w14:paraId="50FF42AF" w14:textId="3BF6E8A4" w:rsidR="00971249" w:rsidRPr="0032528B" w:rsidRDefault="00727D3C" w:rsidP="00971249">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Under this account, while a null effect of differences in inventory sizes </w:t>
      </w:r>
      <w:r>
        <w:rPr>
          <w:rFonts w:ascii="Times New Roman" w:eastAsia="STKaiti" w:hAnsi="Times New Roman" w:cs="Times New Roman"/>
          <w:color w:val="000000" w:themeColor="text1"/>
          <w:highlight w:val="yellow"/>
        </w:rPr>
        <w:t>in the predicted direction</w:t>
      </w:r>
      <w:r>
        <w:rPr>
          <w:rFonts w:ascii="Times New Roman" w:eastAsia="STKaiti" w:hAnsi="Times New Roman" w:cs="Times New Roman"/>
          <w:color w:val="000000" w:themeColor="text1"/>
        </w:rPr>
        <w:t xml:space="preserve"> is potentially compatible with a purely phonetic view of tonal coarticulation, it also cannot rule out the possibility of the phonological account. Such a result may well come from </w:t>
      </w:r>
      <w:r>
        <w:rPr>
          <w:rFonts w:ascii="Times New Roman" w:eastAsia="STKaiti" w:hAnsi="Times New Roman" w:cs="Times New Roman"/>
          <w:color w:val="000000" w:themeColor="text1"/>
          <w:highlight w:val="yellow"/>
        </w:rPr>
        <w:t>different</w:t>
      </w:r>
      <w:r>
        <w:rPr>
          <w:rFonts w:ascii="Times New Roman" w:eastAsia="STKaiti" w:hAnsi="Times New Roman" w:cs="Times New Roman"/>
          <w:color w:val="000000" w:themeColor="text1"/>
        </w:rPr>
        <w:t xml:space="preserve"> prioritizations in both TM and TSM </w:t>
      </w:r>
      <w:r>
        <w:rPr>
          <w:rFonts w:ascii="Times New Roman" w:eastAsia="STKaiti" w:hAnsi="Times New Roman" w:cs="Times New Roman"/>
          <w:color w:val="000000" w:themeColor="text1"/>
          <w:highlight w:val="yellow"/>
        </w:rPr>
        <w:t>that cannot be accounted for by tone inventory size</w:t>
      </w:r>
      <w:r>
        <w:rPr>
          <w:rFonts w:ascii="Times New Roman" w:eastAsia="STKaiti" w:hAnsi="Times New Roman" w:cs="Times New Roman"/>
          <w:color w:val="000000" w:themeColor="text1"/>
        </w:rPr>
        <w:t xml:space="preserve">. Specifically, while robust tonal coarticulation was found in both TSM and TM, differences in directionality were attested between BM and TM/TSM. In the current study, a more symmetric distribution was found for both TM and TSM. The general patterns for both carryover </w:t>
        <w:lastRenderedPageBreak/>
        <w:t xml:space="preserve">effects and anticipatory effects were assimilatory in both languages, despite certain inconsistencies. While such distributions are rather consistent with the TM results in Jeng (2012) and Huang (2013), and the TSM results in Peng (1997) and Wang (2002), such distributions are different from the findings of most previous studies in BM, where asymmetric distributions were consistently found (cf. Chang and Hsieh 2012), with carryover effects being assimilatory and anticipatory effects being dissimilatory. Such discrepancies, once again, support the view that tonal coarticulation may not be entirely insensitive to phonological and linguistic factors. Crucially, we attribute such an anomaly in TSM to the final prominence, as proposed in Chang and Hsieh (2012). A similar distribution in TM may in turn stem from language contact with TSM. </w:t>
      </w:r>
    </w:p>
    <w:p w14:paraId="0E0CF499" w14:textId="7A2A7102" w:rsidR="00727D3C" w:rsidRPr="0032528B" w:rsidRDefault="00727D3C" w:rsidP="00971249">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In general, while the magnitudes of tonal coarticulation in the two languages do not support a language-specific account, distributional differences in directionality do suggest that tonal coarticulation is in part subject to language-specific factors.</w:t>
      </w:r>
    </w:p>
    <w:p w14:paraId="4216B35E" w14:textId="1D0BB309" w:rsidR="006F5984"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5.3 Tonal coarticulation and tonal dispersion</w:t>
      </w:r>
    </w:p>
    <w:p w14:paraId="159EB685" w14:textId="59CA436E" w:rsidR="006F5984" w:rsidRPr="0032528B" w:rsidRDefault="006F5984"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Lastly, another issue that is tightly related to the articulatory and perceptual mechanisms under coarticulation attested in this study is tonal dispersion. As briefly mentioned in Section 1.3, Dispersion Theory (Lindblom 1986, and 1990) states that speech communication is mediated by the tug-of-war between articulatory ease and perceptual contrast. Previous studies examining tone systems further extended the application of this theory from vowel systems to tonal dispersion (e.g., Alexander 2010; Kuang 2013). In Alexander (2010), for instance, it was found that while the overall pitch ranges across languages with varying tone inventory sizes were comparable, sufficient contrast/dispersion was made for tonal distinction in the 2D onset-offset </w:t>
        <w:lastRenderedPageBreak/>
        <w:t xml:space="preserve">space. Likewise, Kuang (2013) also noted that in Black Miao, the additional use of phonation on top of pitch helps maintain the tonal dispersion among the multiple level tones.</w:t>
      </w:r>
    </w:p>
    <w:p w14:paraId="0042B69D" w14:textId="1B641F04" w:rsidR="00A87E31" w:rsidRPr="0032528B" w:rsidRDefault="00A87E31"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perceptual findings in this study, therefore, further inform us about the nature of tonal dispersion and the tug-of-war between articulatory ease and perceptual contrast. While these previous studies mainly focus on the role that the speaker plays in speech communication, the perceptual findings found in Experiment 3 suggest that the listener may also take on a more active role in speech communication. In this study, it was found that listeners may not always passively rely on speakers’ efforts to make larger contrasts. Listeners may also actively adjust their own perceptual acceptance to filter out confusable targets.</w:t>
      </w:r>
    </w:p>
    <w:p w14:paraId="2433C9FC" w14:textId="01A1939B" w:rsidR="00DE4D58" w:rsidRPr="0032528B" w:rsidRDefault="006C5DBB" w:rsidP="006C5DBB">
      <w:pPr>
        <w:pStyle w:val="JASAsecond-levelheading"/>
        <w:rPr>
          <w:rFonts w:ascii="Times New Roman" w:eastAsia="STKaiti" w:hAnsi="Times New Roman" w:cs="Times New Roman"/>
        </w:rPr>
      </w:pPr>
      <w:r>
        <w:rPr>
          <w:rFonts w:ascii="Times New Roman" w:eastAsia="STKaiti" w:hAnsi="Times New Roman" w:cs="Times New Roman"/>
        </w:rPr>
        <w:t xml:space="preserve">5.4 Limitations</w:t>
      </w:r>
    </w:p>
    <w:p w14:paraId="046AEF4B" w14:textId="3A5A9E7E" w:rsidR="00727D3C" w:rsidRPr="0032528B" w:rsidRDefault="006C5DBB" w:rsidP="006C5DBB">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5.4.1 Other possible mechanisms</w:t>
      </w:r>
    </w:p>
    <w:p w14:paraId="2CF02BE8" w14:textId="4CB9E807" w:rsidR="00727D3C" w:rsidRPr="0032528B" w:rsidRDefault="00727D3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Compared with a large number of studies on tonal coarticulation, much less work has investigated the perception of coarticulated tones. Most previous studies (e.g., Xu 1997; Zhang et al. 2022) merely focused on the role of perceptual compensation for tonal coarticulation as a possible mechanism to cope with the induced tone variations. In this study, we propose an alternative perceptual mechanism at work: tone acceptance ranges. Our results revealed that different ranges of tone acceptance between languages may help reduce the possibility of perceptual confusion induced by tone variations.</w:t>
      </w:r>
    </w:p>
    <w:p w14:paraId="3A5E6B30" w14:textId="118443C5" w:rsidR="00727D3C" w:rsidRPr="0032528B" w:rsidRDefault="00727D3C" w:rsidP="00D4298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It should be noted, however, that while this study focused only on three aspects regarding the routes from production to perception under tonal coarticulation, it should not be ignored that other mechanisms could also help differentiate one tone from another. Specifically, the present study principally considered pitch as a factor that could influence the production and perception of tones. Nevertheless, several previous studies have found that factors other than pitch may also </w:t>
        <w:lastRenderedPageBreak/>
        <w:t xml:space="preserve">modulate the production and perception of tones. One important factor put aside was lexicality. Studies have found that lexicality could promote the perception of tones. For example, children’s perception of Cantonese lexical tones was found to be better for words than non-words (Lee et al. 2002). Similarly, acoustic cues other than pitch were also shown to help differentiate lexical tones. Durational differences have been found to influence the perception of Mandarin rising tones and low tones (Blicher et al. 1990). Likewise, Kuang (2013) has found that phonation types could also be an additional dimension that helps to promote the distinction of lexical tones. Huang (2025) further found that creaky voicing is dissociable from the F0 contours in tonal coarticulation; this also suggests that voicing qualities could serve as an acoustic correlate for tone perception. Overall, whether other acoustic cues or phonation types interplay with tonal coarticulation would call for future research.</w:t>
      </w:r>
    </w:p>
    <w:p w14:paraId="57833896" w14:textId="7E58940F" w:rsidR="006C5B2E" w:rsidRPr="0032528B" w:rsidRDefault="006C5B2E" w:rsidP="006C5B2E">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5.4.2 The facilitatory effects of tonal coarticulation in lexical identification</w:t>
      </w:r>
    </w:p>
    <w:p w14:paraId="29B85D35" w14:textId="05FC1969" w:rsidR="006C5B2E" w:rsidRPr="0032528B" w:rsidRDefault="00B01DE4" w:rsidP="003E2E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In this study, we discuss the effect of tonal coarticulation as potentially hindering tone identification due to the potential of confusing different lexical tones. Several studies, however, have also shown that in contexts where the tones are not confusable (e.g., the two tones do not construct a minimal lexical pair), tonal coarticulation could serve as useful acoustic cues in lexical identification. Li (2023), for example, examined lexical identification with the Visual World Paradigm, and found that the Tianjin Mandarin speakers could identify the target word from a competitor that shared the same initial syllable faster when the second tone raised the pitch of the first tone in the target word. Such a finding was further replicated in Hasanah et al. (2024) on BM speakers. Likewise, Qin and Zhang (2024) also showed from eye-tracking data that tonal coarticulation helped the Cantonese-speaking participants identify the target word from a tonally mismatched competitor.</w:t>
      </w:r>
    </w:p>
    <w:p w14:paraId="10CA88C6" w14:textId="55C3714E" w:rsidR="00492B57" w:rsidRPr="0032528B" w:rsidRDefault="00492B57" w:rsidP="003E2E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These results, therefore, suggest that tonal coarticulation may not always be dispreferred in speech perception, and that our findings need to be understood in a more contextually specific way.</w:t>
      </w:r>
    </w:p>
    <w:p w14:paraId="24A4830A" w14:textId="77045D1A" w:rsidR="00727D3C" w:rsidRPr="0032528B" w:rsidRDefault="002E11BF" w:rsidP="002E11BF">
      <w:pPr>
        <w:pStyle w:val="JASAthird-levelheading"/>
        <w:numPr>
          <w:ilvl w:val="0"/>
          <w:numId w:val="0"/>
        </w:numPr>
        <w:rPr>
          <w:rFonts w:ascii="Times New Roman" w:eastAsia="STKaiti" w:hAnsi="Times New Roman" w:cs="Times New Roman"/>
          <w:i w:val="0"/>
          <w:iCs w:val="0"/>
        </w:rPr>
      </w:pPr>
      <w:r>
        <w:rPr>
          <w:rFonts w:ascii="Times New Roman" w:eastAsia="STKaiti" w:hAnsi="Times New Roman" w:cs="Times New Roman"/>
          <w:i w:val="0"/>
          <w:iCs w:val="0"/>
        </w:rPr>
        <w:t xml:space="preserve">5.4.3 </w:t>
      </w:r>
      <w:r>
        <w:rPr>
          <w:rFonts w:ascii="Times New Roman" w:eastAsia="STKaiti" w:hAnsi="Times New Roman" w:cs="Times New Roman"/>
          <w:i w:val="0"/>
          <w:iCs w:val="0"/>
          <w:highlight w:val="yellow"/>
        </w:rPr>
        <w:t>Limited stimuli:</w:t>
      </w:r>
      <w:r>
        <w:rPr>
          <w:rFonts w:ascii="Times New Roman" w:eastAsia="STKaiti" w:hAnsi="Times New Roman" w:cs="Times New Roman"/>
          <w:i w:val="0"/>
          <w:iCs w:val="0"/>
        </w:rPr>
        <w:t xml:space="preserve"> other lexical tone pairs, the anticipatory effects</w:t>
      </w:r>
      <w:r>
        <w:rPr>
          <w:rFonts w:ascii="Times New Roman" w:eastAsia="STKaiti" w:hAnsi="Times New Roman" w:cs="Times New Roman"/>
          <w:i w:val="0"/>
          <w:iCs w:val="0"/>
          <w:highlight w:val="yellow"/>
        </w:rPr>
        <w:t>, and model speakers</w:t>
      </w:r>
    </w:p>
    <w:p w14:paraId="6CB2B05B" w14:textId="00AA847D" w:rsidR="00E63103" w:rsidRPr="0032528B" w:rsidRDefault="00727D3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Another limitation of this study is </w:t>
      </w:r>
      <w:r>
        <w:rPr>
          <w:rFonts w:ascii="Times New Roman" w:eastAsia="STKaiti" w:hAnsi="Times New Roman" w:cs="Times New Roman"/>
          <w:color w:val="000000" w:themeColor="text1"/>
          <w:highlight w:val="yellow"/>
        </w:rPr>
        <w:t>the limited tone pairs and lexical items examined. In this study</w:t>
      </w:r>
      <w:r>
        <w:rPr>
          <w:rFonts w:ascii="Times New Roman" w:eastAsia="STKaiti" w:hAnsi="Times New Roman" w:cs="Times New Roman"/>
          <w:color w:val="000000" w:themeColor="text1"/>
        </w:rPr>
        <w:t xml:space="preserve">, only the low/falling tones in the carryover position were investigated. It is possible that the perceptual mechanisms of lexical tones under tonal coarticulation may differ for different tone pairs. Specifically, it is argued that the unexpected results in Experiment 3 may be due to tone sandhi between the low tone and the falling tone in TSM. The rising vs. high-level tone pair may, in this case, be ideal: In both languages, one does not become the other tone under tone sandhi, and they only differ in their onsets. </w:t>
      </w:r>
    </w:p>
    <w:p w14:paraId="0AE3A4C6" w14:textId="77777777" w:rsidR="00E63103" w:rsidRDefault="00E63103" w:rsidP="00E63103">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On the flip side, we might expect similar trends on other tone pairs for the perceptual compensation results in Experiment 2. While both this study and Zhang et al. (2022) only examined the low-falling tone continuum, Zhang et al. also inspected the perceptual compensation on non-linguistic pure tones, where similar, though weaker, effects were found. This suggests that perceptual compensation could be a general cognitive mechanism that is further tuned by linguistic experiences. We might thus expect to find perceptual compensation in other tone pairs or in the opposite (anticipatory) direction, and a similar language-specific difference.</w:t>
      </w:r>
    </w:p>
    <w:p w14:paraId="46BB6EF7" w14:textId="28A96656" w:rsidR="0007662F" w:rsidRPr="00EB73AF" w:rsidRDefault="00F905FF" w:rsidP="00E63103">
      <w:pPr>
        <w:pStyle w:val="JASABodyTex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Item-specific lexical variability may also affect how tonal coarticulation is realized in production and perceived by the language users. In this study, we accounted for such variability through the inclusion of segment-level effects and word frequency effects. However, since each tone combination in Experiments 1 and 2 was realized only by one lexical item, the </w:t>
        <w:lastRenderedPageBreak/>
        <w:t>generalizability of our results is constrained. We therefore recognize that the coarticulation results cannot be readily generalized across all lexical items, nor does the perceptual compensation in Experiment 2 apply automatically across the board.</w:t>
      </w:r>
    </w:p>
    <w:p w14:paraId="404DD78E" w14:textId="0EE14DB6" w:rsidR="0007662F" w:rsidRPr="0032528B" w:rsidRDefault="0007662F" w:rsidP="00E63103">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Lastly, in Experiments 2 and 3, the model speaker identity also confounded language. The intrinsic inter-speaker voice difference could also have contributed to the language differences attested.</w:t>
      </w:r>
    </w:p>
    <w:p w14:paraId="2E186840" w14:textId="2C1C2F6E" w:rsidR="00727D3C" w:rsidRDefault="00BE432E" w:rsidP="00F905FF">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Overall, however, further investigation is required for a more comprehensive conclusion to be drawn.</w:t>
      </w:r>
    </w:p>
    <w:p w14:paraId="4F0C6000" w14:textId="7A458EB3" w:rsidR="00884FDE" w:rsidRPr="00EB73AF" w:rsidRDefault="00884FDE" w:rsidP="00884FDE">
      <w:pPr>
        <w:pStyle w:val="JASAthird-levelheading"/>
        <w:numPr>
          <w:ilvl w:val="0"/>
          <w:numId w:val="0"/>
        </w:numPr>
        <w:rPr>
          <w:rFonts w:ascii="Times New Roman" w:eastAsia="STKaiti" w:hAnsi="Times New Roman" w:cs="Times New Roman"/>
          <w:i w:val="0"/>
          <w:iCs w:val="0"/>
          <w:highlight w:val="yellow"/>
        </w:rPr>
      </w:pPr>
      <w:r>
        <w:rPr>
          <w:rFonts w:ascii="Times New Roman" w:eastAsia="STKaiti" w:hAnsi="Times New Roman" w:cs="Times New Roman"/>
          <w:i w:val="0"/>
          <w:iCs w:val="0"/>
          <w:highlight w:val="yellow"/>
        </w:rPr>
        <w:t>5.4.4 Experiment order</w:t>
      </w:r>
    </w:p>
    <w:p w14:paraId="35E53AE3" w14:textId="1F708D69" w:rsidR="006C0CEF" w:rsidRPr="00EB73AF" w:rsidRDefault="0036484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We would also like to address the limitation that in all three experiments where the participants participated in both languages, the TM experiment always preceded the TSM one. We fixed this order instead of randomizing because all of our TSM speakers predominantly use TM in daily life. The participants were therefore all less familiar with the stimuli in TSM. To avoid the participants’ potential confusion about what tasks to do, we decided to always start with the language they were more familiar with.</w:t>
      </w:r>
    </w:p>
    <w:p w14:paraId="3CF9728F" w14:textId="7E37002A" w:rsidR="00F905FF" w:rsidRPr="00EB73AF" w:rsidRDefault="00884FDE">
      <w:pPr>
        <w:pStyle w:val="JASABodyText"/>
        <w:ind w:firstLine="72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This is a limitation due to the linguistic reality in Taiwan, but we would like to state that this order could confound the cross-linguistic differences we see in the three experiments. Specifically, two potential confounds are the fatigue effects and the participant’s increased familiarity with the task when doing the TSM experiments. On the one hand, the fatigue effects could reduce participants’ attention to the task, leading to the lower compensation attested in Experiment 2. Though we would also like to note that Experiments 2 and 3 were relatively short, with most participants finishing the two experiments for both languages (4 blocks) in less than an hour, with each block lasting about 10 minutes and breaks in between. The fatigue effects, if any, </w:t>
        <w:lastRenderedPageBreak/>
        <w:t>would thus be stronger between Experiments 2 and 3 than between the two languages. On the other hand, the increased familiarity could also allow the participants to be more sensitive to the stimuli’s differences across levels in Experiments 2 and 3.</w:t>
      </w:r>
    </w:p>
    <w:p w14:paraId="1AB379E7" w14:textId="25C286C1" w:rsidR="0036484A" w:rsidRPr="00EB73AF" w:rsidRDefault="0036484A" w:rsidP="0036484A">
      <w:pPr>
        <w:pStyle w:val="JASAthird-levelheading"/>
        <w:numPr>
          <w:ilvl w:val="0"/>
          <w:numId w:val="0"/>
        </w:numPr>
        <w:rPr>
          <w:rFonts w:ascii="Times New Roman" w:eastAsia="STKaiti" w:hAnsi="Times New Roman" w:cs="Times New Roman"/>
          <w:i w:val="0"/>
          <w:iCs w:val="0"/>
          <w:highlight w:val="yellow"/>
        </w:rPr>
      </w:pPr>
      <w:r>
        <w:rPr>
          <w:rFonts w:ascii="Times New Roman" w:eastAsia="STKaiti" w:hAnsi="Times New Roman" w:cs="Times New Roman"/>
          <w:i w:val="0"/>
          <w:iCs w:val="0"/>
          <w:highlight w:val="yellow"/>
        </w:rPr>
        <w:t>5.4.5 Participants’ variability in Taiwan Southern Min fluency</w:t>
      </w:r>
    </w:p>
    <w:p w14:paraId="614FF850" w14:textId="71BC73F9" w:rsidR="0036484A" w:rsidRPr="00EB73AF" w:rsidRDefault="0036484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 xml:space="preserve">Lastly, another factor to address is the variable levels of fluency of the participants in TSM. As also mentioned above, the linguistic landscape in Taiwan is that most younger TSM speakers are predominantly TM speakers. This resulted in the varying levels of TSM fluency among our participants. While we restricted the production experiment to only advanced (self-reported fluency score of eight or higher) speakers, our perception experiment results included all participants. As found in Experiment 3 in Section 4.2, there exists perceptual differences between advanced speakers and intermediate speakers. We therefore also examined the effects of fluency on the compensation and tone acceptance in Experiments 2 and 3. In Experiment 2, no fluency effects were found to interact with compensation. In Experiment 3, however, as the TSM fluency increased, the acceptance slopes became steeper for the target tone and less steep for the low tone. This suggests that the language differences between TSM and TM were more pronounced in more advanced speakers.</w:t>
      </w:r>
    </w:p>
    <w:p w14:paraId="31410CED" w14:textId="27BB65C1" w:rsidR="0047747C" w:rsidRPr="0032528B" w:rsidRDefault="0047747C" w:rsidP="00EB73AF">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 xml:space="preserve">Overall, however, it is still possible that the linguistic (non-)differences attested in this study are the result of our TSM speakers converging toward TM, advanced and intermediate speakers alike. All of our TSM speakers are dominant in TM and acquired TSM with comparatively constrained input. This is comparable to the acquisition of heritage languages, and their TSM may consequently carry the influence coming from TM. This is also consistent with the more pronounced linguistic differences seen in advanced speakers. It is therefore possible that further </w:t>
        <w:lastRenderedPageBreak/>
        <w:t>linguistic differences could be found in predominantly monolingual speakers of TSM. Such speakers, however, would be hard to recruit given the linguistic landscape in Taiwan.</w:t>
      </w:r>
    </w:p>
    <w:p w14:paraId="46611A84" w14:textId="3EBD1864" w:rsidR="00727D3C" w:rsidRPr="0032528B" w:rsidRDefault="002E11BF" w:rsidP="002E11BF">
      <w:pPr>
        <w:pStyle w:val="JASAsecond-levelheading"/>
        <w:rPr>
          <w:rFonts w:ascii="Times New Roman" w:eastAsia="STKaiti" w:hAnsi="Times New Roman" w:cs="Times New Roman"/>
        </w:rPr>
      </w:pPr>
      <w:r>
        <w:rPr>
          <w:rFonts w:ascii="Times New Roman" w:eastAsia="STKaiti" w:hAnsi="Times New Roman" w:cs="Times New Roman"/>
        </w:rPr>
        <w:t xml:space="preserve">6 Conclusion</w:t>
      </w:r>
    </w:p>
    <w:p w14:paraId="58C92D12" w14:textId="7CB8C1E9" w:rsidR="00727D3C" w:rsidRPr="0032528B" w:rsidRDefault="00727D3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This study investigated the routes from production to perception under tonal coarticulation in Taiwan Mandarin and Taiwan Southern Min. The results revealed that Taiwan Southern Min did not show reduced tonal coarticulation relative to Taiwan Mandarin; instead, TSM showed stronger tonal coarticulation in the present analysis. The two languages, however, differed in their perceptual mechanisms. In Taiwan Mandarin, stronger perceptual compensation for tonal coarticulation was found, as in Beijing Mandarin. On the flip side, Taiwan Southern Min was found to have weaker perceptual compensation and </w:t>
      </w:r>
      <w:r>
        <w:rPr>
          <w:rFonts w:ascii="Times New Roman" w:eastAsia="STKaiti" w:hAnsi="Times New Roman" w:cs="Times New Roman"/>
          <w:color w:val="000000" w:themeColor="text1"/>
          <w:highlight w:val="yellow"/>
        </w:rPr>
        <w:t>tone-specific tone</w:t>
      </w:r>
      <w:r>
        <w:rPr>
          <w:rFonts w:ascii="Times New Roman" w:eastAsia="STKaiti" w:hAnsi="Times New Roman" w:cs="Times New Roman"/>
          <w:color w:val="000000" w:themeColor="text1"/>
        </w:rPr>
        <w:t xml:space="preserve"> acceptance ranges, </w:t>
      </w:r>
      <w:r>
        <w:rPr>
          <w:rFonts w:ascii="Times New Roman" w:eastAsia="STKaiti" w:hAnsi="Times New Roman" w:cs="Times New Roman"/>
          <w:color w:val="000000" w:themeColor="text1"/>
          <w:highlight w:val="yellow"/>
        </w:rPr>
        <w:t xml:space="preserve">with a narrower range for the falling tone but a wider range for the low tone.</w:t>
      </w:r>
    </w:p>
    <w:p w14:paraId="52818F6F" w14:textId="0FD4BC2F" w:rsidR="00AC565E" w:rsidRPr="0032528B" w:rsidRDefault="00727D3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This study is the first to investigate the issue of both tonal coarticulation and related perception in Taiwan Mandarin and to make a systematic comparison with Taiwan Southern Min. Specifically, this study discusses a novel perceptual mechanism, that is, tone acceptance ranges, which has been overlooked in previous studies. The authors hope that this study may shed light on the different mechanisms of the production and perception of coarticulated tones, and also provide further clues for the issue of linguistic universals and specificities.</w:t>
      </w:r>
    </w:p>
    <w:p w14:paraId="127C5C18" w14:textId="77777777" w:rsidR="00B672FB" w:rsidRPr="0032528B" w:rsidRDefault="00B672FB" w:rsidP="005732E2">
      <w:pPr>
        <w:pStyle w:val="JASABodyText"/>
        <w:ind w:firstLine="0"/>
        <w:rPr>
          <w:rFonts w:ascii="Times New Roman" w:eastAsia="STKaiti" w:hAnsi="Times New Roman" w:cs="Times New Roman"/>
          <w:color w:val="000000" w:themeColor="text1"/>
        </w:rPr>
      </w:pPr>
    </w:p>
    <w:p w14:paraId="4F6868A5" w14:textId="69767B44" w:rsidR="000948F7" w:rsidRPr="0032528B" w:rsidRDefault="000948F7" w:rsidP="005732E2">
      <w:pPr>
        <w:pStyle w:val="JASAUN-NUMBEREDHEADINGS"/>
        <w:rPr>
          <w:rFonts w:ascii="Times New Roman" w:eastAsia="STKaiti" w:hAnsi="Times New Roman" w:cs="Times New Roman"/>
          <w:caps w:val="0"/>
          <w:color w:val="000000" w:themeColor="text1"/>
          <w:lang w:eastAsia="zh-TW"/>
        </w:rPr>
      </w:pPr>
      <w:r>
        <w:rPr>
          <w:rFonts w:ascii="Times New Roman" w:eastAsia="STKaiti" w:hAnsi="Times New Roman" w:cs="Times New Roman"/>
          <w:caps w:val="0"/>
          <w:color w:val="000000" w:themeColor="text1"/>
        </w:rPr>
        <w:t>A</w:t>
      </w:r>
      <w:r>
        <w:rPr>
          <w:rFonts w:ascii="Times New Roman" w:eastAsia="STKaiti" w:hAnsi="Times New Roman" w:cs="Times New Roman" w:hint="eastAsia"/>
          <w:caps w:val="0"/>
          <w:color w:val="000000" w:themeColor="text1"/>
          <w:lang w:eastAsia="zh-TW"/>
        </w:rPr>
        <w:t>cknowledgment</w:t>
      </w:r>
    </w:p>
    <w:p w14:paraId="114DDA5E" w14:textId="36A35413" w:rsidR="0027617B" w:rsidRPr="0032528B" w:rsidRDefault="00B672FB" w:rsidP="003376DD">
      <w:pPr>
        <w:pStyle w:val="JASAUN-NUMBEREDHEADINGS"/>
        <w:rPr>
          <w:rFonts w:ascii="Times New Roman" w:eastAsia="STKaiti" w:hAnsi="Times New Roman" w:cs="Times New Roman"/>
          <w:b w:val="0"/>
          <w:bCs w:val="0"/>
          <w:caps w:val="0"/>
          <w:color w:val="000000" w:themeColor="text1"/>
        </w:rPr>
      </w:pPr>
      <w:r>
        <w:rPr>
          <w:rFonts w:ascii="Times New Roman" w:eastAsia="STKaiti" w:hAnsi="Times New Roman" w:cs="Times New Roman"/>
          <w:b w:val="0"/>
          <w:bCs w:val="0"/>
          <w:caps w:val="0"/>
          <w:color w:val="000000" w:themeColor="text1"/>
        </w:rPr>
        <w:t>This work was supported by the National Science and Technology Council, Taipei City, Taiwan. (NSTC 110-2410-H-002-032).</w:t>
      </w:r>
    </w:p>
    <w:p w14:paraId="3078FA07" w14:textId="56F3FF9B" w:rsidR="003514E1" w:rsidRPr="0032528B" w:rsidRDefault="003514E1" w:rsidP="005732E2">
      <w:pPr>
        <w:pStyle w:val="JASAun-numberedsubheadings"/>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Ethics </w:t>
      </w:r>
      <w:r>
        <w:rPr>
          <w:rFonts w:ascii="Times New Roman" w:eastAsia="STKaiti" w:hAnsi="Times New Roman" w:cs="Times New Roman"/>
          <w:color w:val="000000" w:themeColor="text1"/>
          <w:highlight w:val="yellow"/>
        </w:rPr>
        <w:t>Statement</w:t>
      </w:r>
    </w:p>
    <w:p w14:paraId="7BD7D71C" w14:textId="58F8F00B" w:rsidR="00727D3C" w:rsidRPr="0032528B" w:rsidRDefault="00727D3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The experimental procedures in this project have been approved by the Institutional Review Board of the Office of Research and Development, National Taiwan University, Taipei, Taiwan (project name: The relationship between tongue postures and tongue centers: Analyses and computer-assisted applications). All the participants have signed the consent forms approved by the said Board, detailing their rights, the data to be collected, and the experimental procedures.</w:t>
      </w:r>
    </w:p>
    <w:p w14:paraId="6A48776D" w14:textId="6F2931E3" w:rsidR="003376DD" w:rsidRPr="0032528B" w:rsidRDefault="003376DD" w:rsidP="003376DD">
      <w:pPr>
        <w:pStyle w:val="JASABodyText"/>
        <w:rPr>
          <w:rFonts w:ascii="Times New Roman" w:eastAsia="STKaiti" w:hAnsi="Times New Roman" w:cs="Times New Roman"/>
          <w:b/>
          <w:bCs/>
          <w:color w:val="000000" w:themeColor="text1"/>
          <w:lang w:val="en"/>
        </w:rPr>
      </w:pPr>
      <w:r>
        <w:rPr>
          <w:rFonts w:ascii="Times New Roman" w:eastAsia="STKaiti" w:hAnsi="Times New Roman" w:cs="Times New Roman"/>
          <w:b/>
          <w:bCs/>
          <w:color w:val="000000" w:themeColor="text1"/>
          <w:lang w:val="en"/>
        </w:rPr>
        <w:t>Author Contributions</w:t>
      </w:r>
    </w:p>
    <w:p w14:paraId="791A9212" w14:textId="77777777" w:rsidR="003376DD" w:rsidRPr="0032528B" w:rsidRDefault="003376DD" w:rsidP="003376DD">
      <w:pPr>
        <w:pStyle w:val="JASABodyText"/>
        <w:rPr>
          <w:rFonts w:ascii="Times New Roman" w:eastAsia="STKaiti" w:hAnsi="Times New Roman" w:cs="Times New Roman"/>
          <w:color w:val="000000" w:themeColor="text1"/>
          <w:lang w:val="en"/>
        </w:rPr>
      </w:pPr>
      <w:r>
        <w:rPr>
          <w:rFonts w:ascii="Times New Roman" w:eastAsia="STKaiti" w:hAnsi="Times New Roman" w:cs="Times New Roman"/>
          <w:color w:val="000000" w:themeColor="text1"/>
          <w:lang w:val="en"/>
        </w:rPr>
        <w:t>First author: Conceptualization, Methodology, Software, Formal analysis, Investigation, Data Curation, Writing - Original Draft, Writing - Review &amp; Editing, Visualization, Supervision, Project administration</w:t>
      </w:r>
    </w:p>
    <w:p w14:paraId="2378B21D" w14:textId="7D714300" w:rsidR="003376DD" w:rsidRPr="0032528B" w:rsidRDefault="003376DD" w:rsidP="003376DD">
      <w:pPr>
        <w:pStyle w:val="JASABodyText"/>
        <w:rPr>
          <w:rFonts w:ascii="Times New Roman" w:eastAsia="STKaiti" w:hAnsi="Times New Roman" w:cs="Times New Roman"/>
          <w:color w:val="000000" w:themeColor="text1"/>
          <w:lang w:val="en"/>
        </w:rPr>
      </w:pPr>
      <w:r>
        <w:rPr>
          <w:rFonts w:ascii="Times New Roman" w:eastAsia="STKaiti" w:hAnsi="Times New Roman" w:cs="Times New Roman"/>
          <w:color w:val="000000" w:themeColor="text1"/>
          <w:lang w:val="en"/>
        </w:rPr>
        <w:t>Second author (corresponding): Methodology, Validation, Resources, Writing - Original Draft, Writing - Review &amp; Editing, Supervision, Project administration, Funding acquisition</w:t>
      </w:r>
    </w:p>
    <w:p w14:paraId="024992F1" w14:textId="77777777" w:rsidR="0008336E" w:rsidRPr="0032528B" w:rsidRDefault="0008336E" w:rsidP="0008336E">
      <w:pPr>
        <w:pStyle w:val="JASAun-numberedsubheadings"/>
        <w:rPr>
          <w:rFonts w:ascii="Times New Roman" w:eastAsia="STKaiti" w:hAnsi="Times New Roman" w:cs="Times New Roman"/>
          <w:color w:val="000000" w:themeColor="text1"/>
        </w:rPr>
      </w:pPr>
      <w:r>
        <w:rPr>
          <w:rFonts w:ascii="Times New Roman" w:eastAsia="STKaiti" w:hAnsi="Times New Roman" w:cs="Times New Roman"/>
          <w:color w:val="000000" w:themeColor="text1"/>
        </w:rPr>
        <w:t>Conflict of Interest</w:t>
      </w:r>
    </w:p>
    <w:p w14:paraId="7FC015F5" w14:textId="65D897CE" w:rsidR="0008336E" w:rsidRPr="0032528B" w:rsidRDefault="0008336E" w:rsidP="0008336E">
      <w:pPr>
        <w:pStyle w:val="JASABodyText"/>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rPr>
        <w:t>The authors have no conflicts to disclose.</w:t>
      </w:r>
    </w:p>
    <w:p w14:paraId="647B7D8A" w14:textId="6B9F6650" w:rsidR="0027617B" w:rsidRPr="0032528B" w:rsidRDefault="0027617B" w:rsidP="005732E2">
      <w:pPr>
        <w:pStyle w:val="JASABodyText"/>
        <w:rPr>
          <w:rStyle w:val="lev"/>
          <w:rFonts w:ascii="Times New Roman" w:eastAsia="STKaiti" w:hAnsi="Times New Roman" w:cs="Times New Roman"/>
          <w:b w:val="0"/>
          <w:bCs w:val="0"/>
          <w:color w:val="000000" w:themeColor="text1"/>
        </w:rPr>
      </w:pPr>
      <w:r>
        <w:rPr>
          <w:rStyle w:val="lev"/>
          <w:rFonts w:ascii="Times New Roman" w:eastAsia="STKaiti" w:hAnsi="Times New Roman" w:cs="Times New Roman"/>
          <w:color w:val="000000" w:themeColor="text1"/>
        </w:rPr>
        <w:t>Data Availability</w:t>
      </w:r>
    </w:p>
    <w:p w14:paraId="3C890810" w14:textId="387A3A2F" w:rsidR="009E3D59" w:rsidRPr="0032528B" w:rsidRDefault="00727D3C" w:rsidP="005732E2">
      <w:pPr>
        <w:pStyle w:val="JASABodyText"/>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The data and codes used in this project have been made openly accessible. See this Open Science Framework repository for the experimental designs, collected data, codes, and results: </w:t>
      </w:r>
      <w:hyperlink r:id="rId20" w:history="1">
        <w:r>
          <w:rPr>
            <w:rStyle w:val="Lienhypertexte"/>
            <w:rFonts w:ascii="Times New Roman" w:eastAsia="STKaiti" w:hAnsi="Times New Roman" w:cs="Times New Roman"/>
            <w:color w:val="000000" w:themeColor="text1"/>
            <w:u w:val="none"/>
          </w:rPr>
          <w:t>https://osf.io/zcu5m/?view_only=db0d37ea2cc74bf7b9a4de5532238e70</w:t>
        </w:r>
      </w:hyperlink>
    </w:p>
    <w:p w14:paraId="19EE3BC4" w14:textId="77777777" w:rsidR="007C498C" w:rsidRPr="0032528B" w:rsidRDefault="007C498C">
      <w:pPr>
        <w:rPr>
          <w:rFonts w:ascii="Times New Roman" w:eastAsia="STKaiti" w:hAnsi="Times New Roman" w:cs="Times New Roman"/>
          <w:b/>
          <w:bCs/>
          <w:color w:val="000000" w:themeColor="text1"/>
        </w:rPr>
      </w:pPr>
      <w:r>
        <w:rPr>
          <w:rFonts w:ascii="Times New Roman" w:eastAsia="STKaiti" w:hAnsi="Times New Roman" w:cs="Times New Roman"/>
          <w:color w:val="000000" w:themeColor="text1"/>
        </w:rPr>
        <w:br w:type="page"/>
      </w:r>
    </w:p>
    <w:p w14:paraId="0EE8C2CE" w14:textId="2EB64D4F" w:rsidR="00B672FB" w:rsidRPr="0032528B" w:rsidRDefault="00E06831" w:rsidP="00F82A52">
      <w:pPr>
        <w:pStyle w:val="Headings-Acknowlegements"/>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Appendix A: Experiment 1</w:t>
      </w:r>
    </w:p>
    <w:p w14:paraId="53869957" w14:textId="48C8CB32" w:rsidR="00CA065F" w:rsidRPr="0032528B" w:rsidRDefault="00F82A52" w:rsidP="00F82A52">
      <w:pPr>
        <w:pStyle w:val="Headings-Acknowlegements"/>
        <w:ind w:firstLine="0"/>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1. Prompts for fluency score elicitation</w:t>
      </w:r>
    </w:p>
    <w:p w14:paraId="1ECD3E9D" w14:textId="2CE2BAD5" w:rsidR="00CA065F" w:rsidRPr="0032528B" w:rsidRDefault="00CA065F" w:rsidP="00CA065F">
      <w:pPr>
        <w:pStyle w:val="Headings-Acknowlegements"/>
        <w:ind w:firstLine="0"/>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lang w:eastAsia="zh-TW"/>
        </w:rPr>
        <w:t>「從1到10，你覺得你的台語有多流利？1代表完全不會說；10代表母語程度。</w:t>
      </w:r>
      <w:r>
        <w:rPr>
          <w:rFonts w:ascii="Times New Roman" w:eastAsia="STKaiti" w:hAnsi="Times New Roman" w:cs="Times New Roman"/>
          <w:b w:val="0"/>
          <w:bCs w:val="0"/>
          <w:color w:val="000000" w:themeColor="text1"/>
        </w:rPr>
        <w:t>」‘On a scale from 1 to 10, how fluent do you think your Taiwanese</w:t>
      </w:r>
      <w:r>
        <w:rPr>
          <w:rFonts w:ascii="Times New Roman" w:eastAsia="STKaiti" w:hAnsi="Times New Roman" w:cs="Times New Roman"/>
          <w:b w:val="0"/>
          <w:bCs w:val="0"/>
          <w:color w:val="000000" w:themeColor="text1"/>
          <w:vertAlign w:val="superscript"/>
        </w:rPr>
        <w:footnoteReference w:id="36"/>
      </w:r>
      <w:r>
        <w:rPr>
          <w:rFonts w:ascii="Times New Roman" w:eastAsia="STKaiti" w:hAnsi="Times New Roman" w:cs="Times New Roman"/>
          <w:b w:val="0"/>
          <w:bCs w:val="0"/>
          <w:color w:val="000000" w:themeColor="text1"/>
        </w:rPr>
        <w:t xml:space="preserve"> is? One means that you cannot speak it at all; ten means it is native-like.’</w:t>
      </w:r>
    </w:p>
    <w:p w14:paraId="49F6EC31" w14:textId="13836E38" w:rsidR="00CA065F" w:rsidRPr="0032528B" w:rsidRDefault="00F82A52" w:rsidP="00F82A52">
      <w:pPr>
        <w:pStyle w:val="Headings-Acknowlegements"/>
        <w:ind w:firstLine="0"/>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 xml:space="preserve">2. Stimuli</w:t>
      </w:r>
    </w:p>
    <w:p w14:paraId="451E524A" w14:textId="068D668B" w:rsidR="0070514D" w:rsidRPr="0032528B" w:rsidRDefault="00CA065F" w:rsidP="00A1648F">
      <w:pPr>
        <w:pStyle w:val="Headings-Acknowlegements"/>
        <w:ind w:firstLine="0"/>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 xml:space="preserve">Table 10: Taiwan Mandarin version.</w:t>
      </w:r>
    </w:p>
    <w:tbl>
      <w:tblPr>
        <w:tblStyle w:val="TableGrid"/>
        <w:tblW w:w="9217" w:type="dxa"/>
        <w:jc w:val="center"/>
        <w:tblInd w:w="0" w:type="dxa"/>
        <w:tblCellMar>
          <w:top w:w="94" w:type="dxa"/>
          <w:bottom w:w="94" w:type="dxa"/>
          <w:right w:w="40" w:type="dxa"/>
        </w:tblCellMar>
        <w:tblLook w:val="04A0" w:firstRow="1" w:lastRow="0" w:firstColumn="1" w:lastColumn="0" w:noHBand="0" w:noVBand="1"/>
      </w:tblPr>
      <w:tblGrid>
        <w:gridCol w:w="1276"/>
        <w:gridCol w:w="1963"/>
        <w:gridCol w:w="2127"/>
        <w:gridCol w:w="2126"/>
        <w:gridCol w:w="1725"/>
      </w:tblGrid>
      <w:tr w:rsidR="0070514D" w:rsidRPr="0032528B" w14:paraId="56BED246" w14:textId="77777777" w:rsidTr="0070514D">
        <w:trPr>
          <w:trHeight w:val="54"/>
          <w:jc w:val="center"/>
        </w:trPr>
        <w:tc>
          <w:tcPr>
            <w:tcW w:w="9217" w:type="dxa"/>
            <w:gridSpan w:val="5"/>
            <w:tcBorders>
              <w:top w:val="double" w:sz="4" w:space="0" w:color="000000"/>
              <w:left w:val="nil"/>
              <w:bottom w:val="nil"/>
              <w:right w:val="nil"/>
            </w:tcBorders>
            <w:tcMar>
              <w:top w:w="0" w:type="dxa"/>
              <w:bottom w:w="0" w:type="dxa"/>
              <w:right w:w="0" w:type="dxa"/>
            </w:tcMar>
            <w:vAlign w:val="center"/>
          </w:tcPr>
          <w:p w14:paraId="3747C0DE" w14:textId="77777777" w:rsidR="0070514D" w:rsidRPr="0032528B" w:rsidRDefault="0070514D" w:rsidP="0070514D">
            <w:pPr>
              <w:ind w:left="2227"/>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Second tone</w:t>
            </w:r>
          </w:p>
        </w:tc>
      </w:tr>
      <w:tr w:rsidR="0070514D" w:rsidRPr="0032528B" w14:paraId="0DF6F948" w14:textId="77777777" w:rsidTr="003D64B7">
        <w:trPr>
          <w:trHeight w:val="68"/>
          <w:jc w:val="center"/>
        </w:trPr>
        <w:tc>
          <w:tcPr>
            <w:tcW w:w="1276" w:type="dxa"/>
            <w:tcBorders>
              <w:top w:val="nil"/>
              <w:left w:val="nil"/>
              <w:bottom w:val="single" w:sz="3" w:space="0" w:color="000000"/>
              <w:right w:val="nil"/>
            </w:tcBorders>
            <w:tcMar>
              <w:top w:w="0" w:type="dxa"/>
              <w:bottom w:w="0" w:type="dxa"/>
              <w:right w:w="0" w:type="dxa"/>
            </w:tcMar>
            <w:vAlign w:val="center"/>
          </w:tcPr>
          <w:p w14:paraId="7195A829"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First tone</w:t>
            </w:r>
          </w:p>
        </w:tc>
        <w:tc>
          <w:tcPr>
            <w:tcW w:w="1963" w:type="dxa"/>
            <w:tcBorders>
              <w:top w:val="single" w:sz="3" w:space="0" w:color="000000"/>
              <w:left w:val="nil"/>
              <w:bottom w:val="single" w:sz="3" w:space="0" w:color="000000"/>
              <w:right w:val="nil"/>
            </w:tcBorders>
            <w:tcMar>
              <w:top w:w="0" w:type="dxa"/>
              <w:bottom w:w="0" w:type="dxa"/>
              <w:right w:w="0" w:type="dxa"/>
            </w:tcMar>
            <w:vAlign w:val="center"/>
          </w:tcPr>
          <w:p w14:paraId="156119D8" w14:textId="77777777" w:rsidR="0070514D" w:rsidRPr="0032528B" w:rsidRDefault="0070514D" w:rsidP="0070514D">
            <w:pPr>
              <w:ind w:left="261"/>
              <w:rPr>
                <w:rFonts w:ascii="Times New Roman" w:eastAsia="STKaiti" w:hAnsi="Times New Roman" w:cs="Times New Roman"/>
                <w:color w:val="000000" w:themeColor="text1"/>
              </w:rPr>
            </w:pPr>
            <w:r>
              <w:rPr>
                <w:rFonts w:ascii="Times New Roman" w:eastAsia="STKaiti" w:hAnsi="Times New Roman" w:cs="Times New Roman"/>
                <w:color w:val="000000" w:themeColor="text1"/>
              </w:rPr>
              <w:t>T1 (55)</w:t>
            </w:r>
          </w:p>
        </w:tc>
        <w:tc>
          <w:tcPr>
            <w:tcW w:w="2127" w:type="dxa"/>
            <w:tcBorders>
              <w:top w:val="single" w:sz="3" w:space="0" w:color="000000"/>
              <w:left w:val="nil"/>
              <w:bottom w:val="single" w:sz="3" w:space="0" w:color="000000"/>
              <w:right w:val="nil"/>
            </w:tcBorders>
            <w:tcMar>
              <w:top w:w="0" w:type="dxa"/>
              <w:bottom w:w="0" w:type="dxa"/>
              <w:right w:w="0" w:type="dxa"/>
            </w:tcMar>
            <w:vAlign w:val="center"/>
          </w:tcPr>
          <w:p w14:paraId="49292AFE"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T2 (35)</w:t>
            </w:r>
          </w:p>
        </w:tc>
        <w:tc>
          <w:tcPr>
            <w:tcW w:w="2126" w:type="dxa"/>
            <w:tcBorders>
              <w:top w:val="single" w:sz="3" w:space="0" w:color="000000"/>
              <w:left w:val="nil"/>
              <w:bottom w:val="single" w:sz="3" w:space="0" w:color="000000"/>
              <w:right w:val="nil"/>
            </w:tcBorders>
            <w:tcMar>
              <w:top w:w="0" w:type="dxa"/>
              <w:bottom w:w="0" w:type="dxa"/>
              <w:right w:w="0" w:type="dxa"/>
            </w:tcMar>
            <w:vAlign w:val="center"/>
          </w:tcPr>
          <w:p w14:paraId="4B631C9A"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T3 (21)</w:t>
            </w:r>
          </w:p>
        </w:tc>
        <w:tc>
          <w:tcPr>
            <w:tcW w:w="1725" w:type="dxa"/>
            <w:tcBorders>
              <w:top w:val="single" w:sz="3" w:space="0" w:color="000000"/>
              <w:left w:val="nil"/>
              <w:bottom w:val="single" w:sz="3" w:space="0" w:color="000000"/>
              <w:right w:val="nil"/>
            </w:tcBorders>
            <w:tcMar>
              <w:top w:w="0" w:type="dxa"/>
              <w:bottom w:w="0" w:type="dxa"/>
              <w:right w:w="0" w:type="dxa"/>
            </w:tcMar>
            <w:vAlign w:val="center"/>
          </w:tcPr>
          <w:p w14:paraId="344D20FA"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T4 (51)</w:t>
            </w:r>
          </w:p>
        </w:tc>
      </w:tr>
      <w:tr w:rsidR="0070514D" w:rsidRPr="00697250" w14:paraId="2C50F6BA" w14:textId="77777777" w:rsidTr="003D64B7">
        <w:trPr>
          <w:trHeight w:val="68"/>
          <w:jc w:val="center"/>
        </w:trPr>
        <w:tc>
          <w:tcPr>
            <w:tcW w:w="1276" w:type="dxa"/>
            <w:tcBorders>
              <w:top w:val="single" w:sz="3" w:space="0" w:color="000000"/>
              <w:left w:val="nil"/>
              <w:right w:val="nil"/>
            </w:tcBorders>
            <w:tcMar>
              <w:top w:w="0" w:type="dxa"/>
              <w:bottom w:w="0" w:type="dxa"/>
              <w:right w:w="0" w:type="dxa"/>
            </w:tcMar>
            <w:vAlign w:val="center"/>
          </w:tcPr>
          <w:p w14:paraId="56C5E631"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T1 (55)</w:t>
            </w:r>
          </w:p>
        </w:tc>
        <w:tc>
          <w:tcPr>
            <w:tcW w:w="1963" w:type="dxa"/>
            <w:tcBorders>
              <w:top w:val="single" w:sz="3" w:space="0" w:color="000000"/>
              <w:left w:val="nil"/>
              <w:right w:val="nil"/>
            </w:tcBorders>
            <w:tcMar>
              <w:top w:w="0" w:type="dxa"/>
              <w:bottom w:w="0" w:type="dxa"/>
              <w:right w:w="0" w:type="dxa"/>
            </w:tcMar>
            <w:vAlign w:val="center"/>
          </w:tcPr>
          <w:p w14:paraId="53B8820A" w14:textId="77777777" w:rsidR="0070514D" w:rsidRPr="0032528B" w:rsidRDefault="0070514D" w:rsidP="003D64B7">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邀約 /</w:t>
            </w:r>
            <w:r>
              <w:rPr>
                <w:rFonts w:ascii="Times New Roman" w:eastAsia="STKaiti" w:hAnsi="Times New Roman" w:cs="Times New Roman"/>
                <w:color w:val="000000" w:themeColor="text1"/>
                <w:lang w:val="fr-FR"/>
              </w:rPr>
              <w:t>jɑʊ.ɥe</w:t>
            </w:r>
            <w:r>
              <w:rPr>
                <w:rFonts w:ascii="Times New Roman" w:eastAsia="STKaiti" w:hAnsi="Times New Roman" w:cs="Times New Roman"/>
                <w:color w:val="000000" w:themeColor="text1"/>
              </w:rPr>
              <w:t>/</w:t>
            </w:r>
          </w:p>
          <w:p w14:paraId="5270A270" w14:textId="77777777" w:rsidR="0070514D" w:rsidRPr="0032528B" w:rsidRDefault="0070514D" w:rsidP="003D64B7">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‘invitation’</w:t>
            </w:r>
          </w:p>
          <w:p w14:paraId="011CD7FF" w14:textId="66421899" w:rsidR="0089318D" w:rsidRPr="0032528B" w:rsidRDefault="0089318D" w:rsidP="003D64B7">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T1 (55)+T1(55)</w:t>
            </w:r>
          </w:p>
        </w:tc>
        <w:tc>
          <w:tcPr>
            <w:tcW w:w="2127" w:type="dxa"/>
            <w:tcBorders>
              <w:top w:val="single" w:sz="3" w:space="0" w:color="000000"/>
              <w:left w:val="nil"/>
              <w:right w:val="nil"/>
            </w:tcBorders>
            <w:tcMar>
              <w:top w:w="0" w:type="dxa"/>
              <w:bottom w:w="0" w:type="dxa"/>
              <w:right w:w="0" w:type="dxa"/>
            </w:tcMar>
            <w:vAlign w:val="center"/>
          </w:tcPr>
          <w:p w14:paraId="1CCEE7B5"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幽靈 /jo</w:t>
            </w:r>
            <w:r>
              <w:rPr>
                <w:rFonts w:ascii="Times New Roman" w:eastAsia="STKaiti" w:hAnsi="Times New Roman" w:cs="Times New Roman"/>
                <w:color w:val="000000" w:themeColor="text1"/>
                <w:lang w:val="fr-FR"/>
              </w:rPr>
              <w:t>ʊ</w:t>
            </w:r>
            <w:r>
              <w:rPr>
                <w:rFonts w:ascii="Times New Roman" w:eastAsia="STKaiti" w:hAnsi="Times New Roman" w:cs="Times New Roman"/>
                <w:color w:val="000000" w:themeColor="text1"/>
              </w:rPr>
              <w:t>.li</w:t>
            </w:r>
            <w:r>
              <w:rPr>
                <w:rFonts w:ascii="Times New Roman" w:eastAsia="STKaiti" w:hAnsi="Times New Roman" w:cs="Times New Roman"/>
                <w:color w:val="000000" w:themeColor="text1"/>
                <w:lang w:val="fr-FR"/>
              </w:rPr>
              <w:t>ŋ</w:t>
            </w:r>
            <w:r>
              <w:rPr>
                <w:rFonts w:ascii="Times New Roman" w:eastAsia="STKaiti" w:hAnsi="Times New Roman" w:cs="Times New Roman"/>
                <w:color w:val="000000" w:themeColor="text1"/>
              </w:rPr>
              <w:t>/</w:t>
            </w:r>
          </w:p>
          <w:p w14:paraId="106E1A15"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‘ghost’</w:t>
            </w:r>
          </w:p>
          <w:p w14:paraId="4A96FE38" w14:textId="3B99ACE9" w:rsidR="0089318D" w:rsidRPr="0032528B" w:rsidRDefault="0089318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T1 (55)+T2 (35)</w:t>
            </w:r>
          </w:p>
        </w:tc>
        <w:tc>
          <w:tcPr>
            <w:tcW w:w="2126" w:type="dxa"/>
            <w:tcBorders>
              <w:top w:val="single" w:sz="3" w:space="0" w:color="000000"/>
              <w:left w:val="nil"/>
              <w:right w:val="nil"/>
            </w:tcBorders>
            <w:tcMar>
              <w:top w:w="0" w:type="dxa"/>
              <w:bottom w:w="0" w:type="dxa"/>
              <w:right w:w="0" w:type="dxa"/>
            </w:tcMar>
            <w:vAlign w:val="center"/>
          </w:tcPr>
          <w:p w14:paraId="344B2CA4"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邀舞 /jɑʊ.u/</w:t>
            </w:r>
          </w:p>
          <w:p w14:paraId="64649172" w14:textId="77777777" w:rsidR="0070514D" w:rsidRPr="00697250" w:rsidRDefault="0070514D" w:rsidP="0070514D">
            <w:pPr>
              <w:rPr>
                <w:rFonts w:ascii="Times New Roman" w:eastAsia="STKaiti" w:hAnsi="Times New Roman" w:cs="Times New Roman"/>
                <w:color w:val="000000" w:themeColor="text1"/>
              </w:rPr>
            </w:pPr>
            <w:r>
              <w:rPr>
                <w:rFonts w:ascii="Times New Roman" w:eastAsia="STKaiti" w:hAnsi="Times New Roman" w:cs="Times New Roman"/>
                <w:color w:val="000000" w:themeColor="text1"/>
              </w:rPr>
              <w:t>‘invitation to dance’</w:t>
            </w:r>
          </w:p>
          <w:p w14:paraId="1DA3871C" w14:textId="0B92EE25" w:rsidR="0089318D" w:rsidRPr="0032528B" w:rsidRDefault="0089318D" w:rsidP="003D64B7">
            <w:pPr>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T1 (55)+T3 (21)</w:t>
            </w:r>
          </w:p>
        </w:tc>
        <w:tc>
          <w:tcPr>
            <w:tcW w:w="1725" w:type="dxa"/>
            <w:tcBorders>
              <w:top w:val="single" w:sz="3" w:space="0" w:color="000000"/>
              <w:left w:val="nil"/>
              <w:right w:val="nil"/>
            </w:tcBorders>
            <w:tcMar>
              <w:top w:w="0" w:type="dxa"/>
              <w:bottom w:w="0" w:type="dxa"/>
              <w:right w:w="0" w:type="dxa"/>
            </w:tcMar>
            <w:vAlign w:val="center"/>
          </w:tcPr>
          <w:p w14:paraId="20BCF1FB" w14:textId="77777777" w:rsidR="0070514D" w:rsidRPr="0032528B" w:rsidRDefault="0070514D" w:rsidP="0070514D">
            <w:pPr>
              <w:ind w:left="197"/>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rPr>
              <w:t>衣物</w:t>
            </w:r>
            <w:r>
              <w:rPr>
                <w:rFonts w:ascii="Times New Roman" w:eastAsia="STKaiti" w:hAnsi="Times New Roman" w:cs="Times New Roman"/>
                <w:color w:val="000000" w:themeColor="text1"/>
                <w:lang w:val="fr-FR"/>
              </w:rPr>
              <w:t xml:space="preserve"> /i.u/</w:t>
            </w:r>
          </w:p>
          <w:p w14:paraId="07E92314" w14:textId="77777777" w:rsidR="0070514D" w:rsidRPr="0032528B" w:rsidRDefault="0070514D" w:rsidP="0070514D">
            <w:pPr>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‘clothes’</w:t>
            </w:r>
          </w:p>
          <w:p w14:paraId="2582F72B" w14:textId="22401672" w:rsidR="0089318D" w:rsidRPr="0032528B" w:rsidRDefault="0089318D" w:rsidP="0070514D">
            <w:pPr>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T1 (55)+T4 (51)</w:t>
            </w:r>
          </w:p>
        </w:tc>
      </w:tr>
      <w:tr w:rsidR="0070514D" w:rsidRPr="0032528B" w14:paraId="3C918F78" w14:textId="77777777" w:rsidTr="003D64B7">
        <w:trPr>
          <w:trHeight w:val="68"/>
          <w:jc w:val="center"/>
        </w:trPr>
        <w:tc>
          <w:tcPr>
            <w:tcW w:w="1276" w:type="dxa"/>
            <w:tcBorders>
              <w:top w:val="single" w:sz="3" w:space="0" w:color="000000"/>
              <w:left w:val="nil"/>
              <w:right w:val="nil"/>
            </w:tcBorders>
            <w:tcMar>
              <w:top w:w="0" w:type="dxa"/>
              <w:bottom w:w="0" w:type="dxa"/>
              <w:right w:w="0" w:type="dxa"/>
            </w:tcMar>
            <w:vAlign w:val="center"/>
          </w:tcPr>
          <w:p w14:paraId="0BB8453D"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T2 (35)</w:t>
            </w:r>
          </w:p>
        </w:tc>
        <w:tc>
          <w:tcPr>
            <w:tcW w:w="1963" w:type="dxa"/>
            <w:tcBorders>
              <w:top w:val="single" w:sz="3" w:space="0" w:color="000000"/>
              <w:left w:val="nil"/>
              <w:right w:val="nil"/>
            </w:tcBorders>
            <w:tcMar>
              <w:top w:w="0" w:type="dxa"/>
              <w:bottom w:w="0" w:type="dxa"/>
              <w:right w:w="0" w:type="dxa"/>
            </w:tcMar>
            <w:vAlign w:val="center"/>
          </w:tcPr>
          <w:p w14:paraId="55295189" w14:textId="77777777" w:rsidR="0070514D" w:rsidRPr="0032528B" w:rsidRDefault="0070514D" w:rsidP="003D64B7">
            <w:pPr>
              <w:ind w:left="148"/>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牙醫 /ja.i/</w:t>
            </w:r>
          </w:p>
          <w:p w14:paraId="1BB233E2" w14:textId="77777777" w:rsidR="0070514D" w:rsidRPr="0032528B" w:rsidRDefault="0070514D" w:rsidP="003D64B7">
            <w:pPr>
              <w:ind w:left="239"/>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‘dentist’</w:t>
            </w:r>
          </w:p>
          <w:p w14:paraId="3744E318" w14:textId="45748A89" w:rsidR="0089318D" w:rsidRPr="0032528B" w:rsidRDefault="0089318D" w:rsidP="003D64B7">
            <w:pPr>
              <w:ind w:left="239"/>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T2 (35)+T1 (55)</w:t>
            </w:r>
          </w:p>
        </w:tc>
        <w:tc>
          <w:tcPr>
            <w:tcW w:w="2127" w:type="dxa"/>
            <w:tcBorders>
              <w:top w:val="single" w:sz="3" w:space="0" w:color="000000"/>
              <w:left w:val="nil"/>
              <w:right w:val="nil"/>
            </w:tcBorders>
            <w:tcMar>
              <w:top w:w="0" w:type="dxa"/>
              <w:bottom w:w="0" w:type="dxa"/>
              <w:right w:w="0" w:type="dxa"/>
            </w:tcMar>
            <w:vAlign w:val="center"/>
          </w:tcPr>
          <w:p w14:paraId="23970C84"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魷魚 /jo</w:t>
            </w:r>
            <w:r>
              <w:rPr>
                <w:rFonts w:ascii="Times New Roman" w:eastAsia="STKaiti" w:hAnsi="Times New Roman" w:cs="Times New Roman"/>
                <w:color w:val="000000" w:themeColor="text1"/>
                <w:lang w:val="fr-FR"/>
              </w:rPr>
              <w:t>ʊ</w:t>
            </w:r>
            <w:r>
              <w:rPr>
                <w:rFonts w:ascii="Times New Roman" w:eastAsia="STKaiti" w:hAnsi="Times New Roman" w:cs="Times New Roman"/>
                <w:color w:val="000000" w:themeColor="text1"/>
              </w:rPr>
              <w:t>.y/</w:t>
            </w:r>
          </w:p>
          <w:p w14:paraId="77AF8887"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‘squid’</w:t>
            </w:r>
          </w:p>
          <w:p w14:paraId="68C8D074" w14:textId="08F4668E" w:rsidR="0089318D" w:rsidRPr="0032528B" w:rsidRDefault="0089318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T2 (35)+T2 (35)</w:t>
            </w:r>
          </w:p>
        </w:tc>
        <w:tc>
          <w:tcPr>
            <w:tcW w:w="2126" w:type="dxa"/>
            <w:tcBorders>
              <w:top w:val="single" w:sz="3" w:space="0" w:color="000000"/>
              <w:left w:val="nil"/>
              <w:right w:val="nil"/>
            </w:tcBorders>
            <w:tcMar>
              <w:top w:w="0" w:type="dxa"/>
              <w:bottom w:w="0" w:type="dxa"/>
              <w:right w:w="0" w:type="dxa"/>
            </w:tcMar>
            <w:vAlign w:val="center"/>
          </w:tcPr>
          <w:p w14:paraId="2081637A" w14:textId="77777777" w:rsidR="0070514D" w:rsidRPr="0032528B" w:rsidRDefault="0070514D" w:rsidP="0070514D">
            <w:pPr>
              <w:ind w:right="40"/>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rPr>
              <w:t>游泳</w:t>
            </w:r>
            <w:r>
              <w:rPr>
                <w:rFonts w:ascii="Times New Roman" w:eastAsia="STKaiti" w:hAnsi="Times New Roman" w:cs="Times New Roman"/>
                <w:color w:val="000000" w:themeColor="text1"/>
                <w:lang w:val="fr-FR"/>
              </w:rPr>
              <w:t xml:space="preserve"> /joʊ.joŋ/</w:t>
            </w:r>
          </w:p>
          <w:p w14:paraId="30D931CE" w14:textId="77777777" w:rsidR="0070514D" w:rsidRPr="0032528B" w:rsidRDefault="0070514D" w:rsidP="0070514D">
            <w:pPr>
              <w:ind w:right="40"/>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‘to swim’</w:t>
            </w:r>
          </w:p>
          <w:p w14:paraId="7AF1EFF1" w14:textId="16798E8A" w:rsidR="0089318D" w:rsidRPr="0032528B" w:rsidRDefault="0089318D" w:rsidP="0070514D">
            <w:pPr>
              <w:ind w:right="40"/>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T2 (35)+T3 (21)</w:t>
            </w:r>
          </w:p>
        </w:tc>
        <w:tc>
          <w:tcPr>
            <w:tcW w:w="1725" w:type="dxa"/>
            <w:tcBorders>
              <w:top w:val="single" w:sz="3" w:space="0" w:color="000000"/>
              <w:left w:val="nil"/>
              <w:right w:val="nil"/>
            </w:tcBorders>
            <w:tcMar>
              <w:top w:w="0" w:type="dxa"/>
              <w:bottom w:w="0" w:type="dxa"/>
              <w:right w:w="0" w:type="dxa"/>
            </w:tcMar>
            <w:vAlign w:val="center"/>
          </w:tcPr>
          <w:p w14:paraId="00229B7F" w14:textId="77777777" w:rsidR="0070514D" w:rsidRPr="0032528B" w:rsidRDefault="0070514D" w:rsidP="0070514D">
            <w:pPr>
              <w:ind w:left="82"/>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猶豫 /jo</w:t>
            </w:r>
            <w:r>
              <w:rPr>
                <w:rFonts w:ascii="Times New Roman" w:eastAsia="STKaiti" w:hAnsi="Times New Roman" w:cs="Times New Roman"/>
                <w:color w:val="000000" w:themeColor="text1"/>
                <w:lang w:val="fr-FR"/>
              </w:rPr>
              <w:t>ʊ</w:t>
            </w:r>
            <w:r>
              <w:rPr>
                <w:rFonts w:ascii="Times New Roman" w:eastAsia="STKaiti" w:hAnsi="Times New Roman" w:cs="Times New Roman"/>
                <w:color w:val="000000" w:themeColor="text1"/>
              </w:rPr>
              <w:t>.y/</w:t>
            </w:r>
          </w:p>
          <w:p w14:paraId="35ECCE63" w14:textId="77777777" w:rsidR="0070514D" w:rsidRPr="0032528B" w:rsidRDefault="0070514D" w:rsidP="0070514D">
            <w:pPr>
              <w:ind w:left="81"/>
              <w:rPr>
                <w:rFonts w:ascii="Times New Roman" w:eastAsia="STKaiti" w:hAnsi="Times New Roman" w:cs="Times New Roman"/>
                <w:color w:val="000000" w:themeColor="text1"/>
              </w:rPr>
            </w:pPr>
            <w:r>
              <w:rPr>
                <w:rFonts w:ascii="Times New Roman" w:eastAsia="STKaiti" w:hAnsi="Times New Roman" w:cs="Times New Roman"/>
                <w:color w:val="000000" w:themeColor="text1"/>
              </w:rPr>
              <w:t>‘to hesitate’</w:t>
            </w:r>
          </w:p>
          <w:p w14:paraId="2E8EEFC8" w14:textId="5ABEEA14" w:rsidR="0089318D" w:rsidRPr="0032528B" w:rsidRDefault="0089318D" w:rsidP="0070514D">
            <w:pPr>
              <w:ind w:left="81"/>
              <w:rPr>
                <w:rFonts w:ascii="Times New Roman" w:eastAsia="STKaiti" w:hAnsi="Times New Roman" w:cs="Times New Roman"/>
                <w:color w:val="000000" w:themeColor="text1"/>
              </w:rPr>
            </w:pPr>
            <w:r>
              <w:rPr>
                <w:rFonts w:ascii="Times New Roman" w:eastAsia="STKaiti" w:hAnsi="Times New Roman" w:cs="Times New Roman"/>
                <w:color w:val="000000" w:themeColor="text1"/>
              </w:rPr>
              <w:t>T2 (35)+T4 (51)</w:t>
            </w:r>
          </w:p>
        </w:tc>
      </w:tr>
      <w:tr w:rsidR="0070514D" w:rsidRPr="0032528B" w14:paraId="43208C70" w14:textId="77777777" w:rsidTr="003D64B7">
        <w:trPr>
          <w:trHeight w:val="68"/>
          <w:jc w:val="center"/>
        </w:trPr>
        <w:tc>
          <w:tcPr>
            <w:tcW w:w="1276" w:type="dxa"/>
            <w:tcBorders>
              <w:top w:val="single" w:sz="3" w:space="0" w:color="000000"/>
              <w:left w:val="nil"/>
              <w:right w:val="nil"/>
            </w:tcBorders>
            <w:tcMar>
              <w:top w:w="0" w:type="dxa"/>
              <w:bottom w:w="0" w:type="dxa"/>
              <w:right w:w="0" w:type="dxa"/>
            </w:tcMar>
            <w:vAlign w:val="center"/>
          </w:tcPr>
          <w:p w14:paraId="26745A82"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T3 (21)</w:t>
            </w:r>
          </w:p>
        </w:tc>
        <w:tc>
          <w:tcPr>
            <w:tcW w:w="1963" w:type="dxa"/>
            <w:tcBorders>
              <w:top w:val="single" w:sz="3" w:space="0" w:color="000000"/>
              <w:left w:val="nil"/>
              <w:right w:val="nil"/>
            </w:tcBorders>
            <w:tcMar>
              <w:top w:w="0" w:type="dxa"/>
              <w:bottom w:w="0" w:type="dxa"/>
              <w:right w:w="0" w:type="dxa"/>
            </w:tcMar>
            <w:vAlign w:val="center"/>
          </w:tcPr>
          <w:p w14:paraId="2B24D1E8" w14:textId="77777777" w:rsidR="0070514D" w:rsidRPr="0032528B" w:rsidRDefault="0070514D" w:rsidP="0070514D">
            <w:pPr>
              <w:ind w:left="100"/>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rPr>
              <w:t>女巫</w:t>
            </w:r>
            <w:r>
              <w:rPr>
                <w:rFonts w:ascii="Times New Roman" w:eastAsia="STKaiti" w:hAnsi="Times New Roman" w:cs="Times New Roman"/>
                <w:color w:val="000000" w:themeColor="text1"/>
                <w:lang w:val="fr-FR"/>
              </w:rPr>
              <w:t xml:space="preserve"> /ny.u/</w:t>
            </w:r>
          </w:p>
          <w:p w14:paraId="79B0662D" w14:textId="77777777" w:rsidR="0070514D" w:rsidRPr="0032528B" w:rsidRDefault="0070514D" w:rsidP="0070514D">
            <w:pPr>
              <w:ind w:right="40"/>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‘witch’</w:t>
            </w:r>
          </w:p>
          <w:p w14:paraId="58C0F89A" w14:textId="694A3911" w:rsidR="0089318D" w:rsidRPr="0032528B" w:rsidRDefault="0089318D" w:rsidP="0070514D">
            <w:pPr>
              <w:ind w:right="40"/>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T3 (21)+T1 (55)</w:t>
            </w:r>
          </w:p>
        </w:tc>
        <w:tc>
          <w:tcPr>
            <w:tcW w:w="2127" w:type="dxa"/>
            <w:tcBorders>
              <w:top w:val="single" w:sz="3" w:space="0" w:color="000000"/>
              <w:left w:val="nil"/>
              <w:right w:val="nil"/>
            </w:tcBorders>
            <w:tcMar>
              <w:top w:w="0" w:type="dxa"/>
              <w:bottom w:w="0" w:type="dxa"/>
              <w:right w:w="0" w:type="dxa"/>
            </w:tcMar>
            <w:vAlign w:val="center"/>
          </w:tcPr>
          <w:p w14:paraId="05D7C163"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有餘 /jo</w:t>
            </w:r>
            <w:r>
              <w:rPr>
                <w:rFonts w:ascii="Times New Roman" w:eastAsia="STKaiti" w:hAnsi="Times New Roman" w:cs="Times New Roman"/>
                <w:color w:val="000000" w:themeColor="text1"/>
                <w:lang w:val="fr-FR"/>
              </w:rPr>
              <w:t>ʊ</w:t>
            </w:r>
            <w:r>
              <w:rPr>
                <w:rFonts w:ascii="Times New Roman" w:eastAsia="STKaiti" w:hAnsi="Times New Roman" w:cs="Times New Roman"/>
                <w:color w:val="000000" w:themeColor="text1"/>
              </w:rPr>
              <w:t>.y/</w:t>
            </w:r>
          </w:p>
          <w:p w14:paraId="06ADB2D7"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‘to have something left’</w:t>
            </w:r>
          </w:p>
          <w:p w14:paraId="7E0E21CE" w14:textId="0FD6A206" w:rsidR="0089318D" w:rsidRPr="0032528B" w:rsidRDefault="0089318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T3 (21)+T2 (35)</w:t>
            </w:r>
          </w:p>
        </w:tc>
        <w:tc>
          <w:tcPr>
            <w:tcW w:w="2126" w:type="dxa"/>
            <w:tcBorders>
              <w:top w:val="single" w:sz="3" w:space="0" w:color="000000"/>
              <w:left w:val="nil"/>
              <w:right w:val="nil"/>
            </w:tcBorders>
            <w:tcMar>
              <w:top w:w="0" w:type="dxa"/>
              <w:bottom w:w="0" w:type="dxa"/>
              <w:right w:w="0" w:type="dxa"/>
            </w:tcMar>
            <w:vAlign w:val="center"/>
          </w:tcPr>
          <w:p w14:paraId="7F33D152" w14:textId="77777777" w:rsidR="0070514D" w:rsidRPr="0032528B" w:rsidRDefault="0070514D" w:rsidP="0070514D">
            <w:pPr>
              <w:ind w:right="40"/>
              <w:jc w:val="center"/>
              <w:rPr>
                <w:rFonts w:ascii="Times New Roman" w:eastAsia="STKaiti" w:hAnsi="Times New Roman" w:cs="Times New Roman"/>
                <w:color w:val="000000" w:themeColor="text1"/>
              </w:rPr>
            </w:pPr>
          </w:p>
        </w:tc>
        <w:tc>
          <w:tcPr>
            <w:tcW w:w="1725" w:type="dxa"/>
            <w:tcBorders>
              <w:top w:val="single" w:sz="3" w:space="0" w:color="000000"/>
              <w:left w:val="nil"/>
              <w:right w:val="nil"/>
            </w:tcBorders>
            <w:tcMar>
              <w:top w:w="0" w:type="dxa"/>
              <w:bottom w:w="0" w:type="dxa"/>
              <w:right w:w="0" w:type="dxa"/>
            </w:tcMar>
            <w:vAlign w:val="center"/>
          </w:tcPr>
          <w:p w14:paraId="64E3CE84" w14:textId="77777777" w:rsidR="0070514D" w:rsidRPr="0032528B" w:rsidRDefault="0070514D" w:rsidP="0070514D">
            <w:pP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網路 /w</w:t>
            </w:r>
            <w:r>
              <w:rPr>
                <w:rFonts w:ascii="Times New Roman" w:eastAsia="STKaiti" w:hAnsi="Times New Roman" w:cs="Times New Roman"/>
                <w:color w:val="000000" w:themeColor="text1"/>
                <w:lang w:val="fr-FR"/>
              </w:rPr>
              <w:t>ɑŋ</w:t>
            </w:r>
            <w:r>
              <w:rPr>
                <w:rFonts w:ascii="Times New Roman" w:eastAsia="STKaiti" w:hAnsi="Times New Roman" w:cs="Times New Roman"/>
                <w:color w:val="000000" w:themeColor="text1"/>
              </w:rPr>
              <w:t>.lu/</w:t>
            </w:r>
          </w:p>
          <w:p w14:paraId="5983B79E"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‘Internet’</w:t>
            </w:r>
          </w:p>
          <w:p w14:paraId="01F22FCD" w14:textId="6DC6AF3A" w:rsidR="0089318D" w:rsidRPr="0032528B" w:rsidRDefault="0089318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T3 (21)+T4 (51)</w:t>
            </w:r>
          </w:p>
        </w:tc>
      </w:tr>
      <w:tr w:rsidR="0070514D" w:rsidRPr="0032528B" w14:paraId="42B701AC" w14:textId="77777777" w:rsidTr="003D64B7">
        <w:trPr>
          <w:trHeight w:val="68"/>
          <w:jc w:val="center"/>
        </w:trPr>
        <w:tc>
          <w:tcPr>
            <w:tcW w:w="1276" w:type="dxa"/>
            <w:tcBorders>
              <w:top w:val="single" w:sz="3" w:space="0" w:color="000000"/>
              <w:left w:val="nil"/>
              <w:bottom w:val="double" w:sz="4" w:space="0" w:color="000000"/>
              <w:right w:val="nil"/>
            </w:tcBorders>
            <w:tcMar>
              <w:top w:w="0" w:type="dxa"/>
              <w:bottom w:w="0" w:type="dxa"/>
              <w:right w:w="0" w:type="dxa"/>
            </w:tcMar>
            <w:vAlign w:val="center"/>
          </w:tcPr>
          <w:p w14:paraId="60EF66C6" w14:textId="77777777" w:rsidR="0070514D" w:rsidRPr="0032528B" w:rsidRDefault="0070514D" w:rsidP="0070514D">
            <w:pPr>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T4 (51)</w:t>
            </w:r>
          </w:p>
        </w:tc>
        <w:tc>
          <w:tcPr>
            <w:tcW w:w="1963" w:type="dxa"/>
            <w:tcBorders>
              <w:top w:val="single" w:sz="3" w:space="0" w:color="000000"/>
              <w:left w:val="nil"/>
              <w:bottom w:val="double" w:sz="4" w:space="0" w:color="000000"/>
              <w:right w:val="nil"/>
            </w:tcBorders>
            <w:tcMar>
              <w:top w:w="0" w:type="dxa"/>
              <w:bottom w:w="0" w:type="dxa"/>
              <w:right w:w="0" w:type="dxa"/>
            </w:tcMar>
            <w:vAlign w:val="center"/>
          </w:tcPr>
          <w:p w14:paraId="47893F2A" w14:textId="77777777" w:rsidR="0070514D" w:rsidRPr="0032528B" w:rsidRDefault="0070514D" w:rsidP="003D64B7">
            <w:pPr>
              <w:ind w:left="94"/>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夜鶯 /j</w:t>
            </w:r>
            <w:r>
              <w:rPr>
                <w:rFonts w:ascii="Times New Roman" w:eastAsia="STKaiti" w:hAnsi="Times New Roman" w:cs="Times New Roman"/>
                <w:color w:val="000000" w:themeColor="text1"/>
                <w:lang w:val="fr-FR"/>
              </w:rPr>
              <w:t>e</w:t>
            </w:r>
            <w:r>
              <w:rPr>
                <w:rFonts w:ascii="Times New Roman" w:eastAsia="STKaiti" w:hAnsi="Times New Roman" w:cs="Times New Roman"/>
                <w:color w:val="000000" w:themeColor="text1"/>
              </w:rPr>
              <w:t>.i</w:t>
            </w:r>
            <w:r>
              <w:rPr>
                <w:rFonts w:ascii="Times New Roman" w:eastAsia="STKaiti" w:hAnsi="Times New Roman" w:cs="Times New Roman"/>
                <w:color w:val="000000" w:themeColor="text1"/>
                <w:lang w:val="fr-FR"/>
              </w:rPr>
              <w:t>ŋ</w:t>
            </w:r>
            <w:r>
              <w:rPr>
                <w:rFonts w:ascii="Times New Roman" w:eastAsia="STKaiti" w:hAnsi="Times New Roman" w:cs="Times New Roman"/>
                <w:color w:val="000000" w:themeColor="text1"/>
              </w:rPr>
              <w:t>/</w:t>
            </w:r>
          </w:p>
          <w:p w14:paraId="6ECEC98C" w14:textId="77777777" w:rsidR="0070514D" w:rsidRPr="0032528B" w:rsidRDefault="0070514D" w:rsidP="003D64B7">
            <w:pPr>
              <w:ind w:left="39"/>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‘nightingale’</w:t>
            </w:r>
          </w:p>
          <w:p w14:paraId="5B46A646" w14:textId="485E8B9D" w:rsidR="0089318D" w:rsidRPr="0032528B" w:rsidRDefault="0089318D" w:rsidP="003D64B7">
            <w:pPr>
              <w:ind w:left="39"/>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T4 (51)+T1 (55)</w:t>
            </w:r>
          </w:p>
        </w:tc>
        <w:tc>
          <w:tcPr>
            <w:tcW w:w="2127" w:type="dxa"/>
            <w:tcBorders>
              <w:top w:val="single" w:sz="3" w:space="0" w:color="000000"/>
              <w:left w:val="nil"/>
              <w:bottom w:val="double" w:sz="4" w:space="0" w:color="000000"/>
              <w:right w:val="nil"/>
            </w:tcBorders>
            <w:tcMar>
              <w:top w:w="0" w:type="dxa"/>
              <w:bottom w:w="0" w:type="dxa"/>
              <w:right w:w="0" w:type="dxa"/>
            </w:tcMar>
            <w:vAlign w:val="center"/>
          </w:tcPr>
          <w:p w14:paraId="356D87E0"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誤移 /u.i/</w:t>
            </w:r>
          </w:p>
          <w:p w14:paraId="0179DF68" w14:textId="77777777" w:rsidR="0070514D" w:rsidRPr="0032528B" w:rsidRDefault="0070514D" w:rsidP="0070514D">
            <w:pPr>
              <w:ind w:left="13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‘to move by mistake’</w:t>
            </w:r>
          </w:p>
          <w:p w14:paraId="4065BE4C" w14:textId="63CEF629" w:rsidR="0089318D" w:rsidRPr="0032528B" w:rsidRDefault="0089318D" w:rsidP="0070514D">
            <w:pPr>
              <w:ind w:left="13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T4 (51)+T2 (35)</w:t>
            </w:r>
          </w:p>
        </w:tc>
        <w:tc>
          <w:tcPr>
            <w:tcW w:w="2126" w:type="dxa"/>
            <w:tcBorders>
              <w:top w:val="single" w:sz="3" w:space="0" w:color="000000"/>
              <w:left w:val="nil"/>
              <w:bottom w:val="double" w:sz="4" w:space="0" w:color="000000"/>
              <w:right w:val="nil"/>
            </w:tcBorders>
            <w:tcMar>
              <w:top w:w="0" w:type="dxa"/>
              <w:bottom w:w="0" w:type="dxa"/>
              <w:right w:w="0" w:type="dxa"/>
            </w:tcMar>
            <w:vAlign w:val="center"/>
          </w:tcPr>
          <w:p w14:paraId="36D5506C" w14:textId="5C6E9C9D"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誘餌 /jo</w:t>
            </w:r>
            <w:r>
              <w:rPr>
                <w:rFonts w:ascii="Times New Roman" w:eastAsia="STKaiti" w:hAnsi="Times New Roman" w:cs="Times New Roman"/>
                <w:color w:val="000000" w:themeColor="text1"/>
                <w:lang w:val="fr-FR"/>
              </w:rPr>
              <w:t>ʊ</w:t>
            </w:r>
            <w:r>
              <w:rPr>
                <w:rFonts w:ascii="Times New Roman" w:eastAsia="STKaiti" w:hAnsi="Times New Roman" w:cs="Times New Roman"/>
                <w:color w:val="000000" w:themeColor="text1"/>
              </w:rPr>
              <w:t>.</w:t>
            </w:r>
            <w:r>
              <w:rPr>
                <w:rFonts w:ascii="Times New Roman" w:hAnsi="Times New Roman" w:cs="Times New Roman"/>
                <w:color w:val="000000" w:themeColor="text1"/>
                <w:lang w:val="fr-FR"/>
              </w:rPr>
              <w:t>ə</w:t>
            </w:r>
            <w:r>
              <w:rPr>
                <w:rFonts w:ascii="Times New Roman" w:eastAsia="STKaiti" w:hAnsi="Times New Roman" w:cs="Times New Roman"/>
                <w:color w:val="000000" w:themeColor="text1"/>
              </w:rPr>
              <w:t>/</w:t>
            </w:r>
          </w:p>
          <w:p w14:paraId="676985A9" w14:textId="77777777" w:rsidR="0070514D" w:rsidRPr="0032528B" w:rsidRDefault="0070514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‘bait’</w:t>
            </w:r>
          </w:p>
          <w:p w14:paraId="1A422E8C" w14:textId="4BFC4558" w:rsidR="0089318D" w:rsidRPr="0032528B" w:rsidRDefault="0089318D" w:rsidP="0070514D">
            <w:pPr>
              <w:ind w:right="4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T4 (51)+T3 (21)</w:t>
            </w:r>
          </w:p>
        </w:tc>
        <w:tc>
          <w:tcPr>
            <w:tcW w:w="1725" w:type="dxa"/>
            <w:tcBorders>
              <w:top w:val="single" w:sz="3" w:space="0" w:color="000000"/>
              <w:left w:val="nil"/>
              <w:bottom w:val="double" w:sz="4" w:space="0" w:color="000000"/>
              <w:right w:val="nil"/>
            </w:tcBorders>
            <w:tcMar>
              <w:top w:w="0" w:type="dxa"/>
              <w:bottom w:w="0" w:type="dxa"/>
              <w:right w:w="0" w:type="dxa"/>
            </w:tcMar>
            <w:vAlign w:val="center"/>
          </w:tcPr>
          <w:p w14:paraId="16E6E7D3" w14:textId="77777777" w:rsidR="0070514D" w:rsidRPr="0032528B" w:rsidRDefault="0070514D" w:rsidP="0070514D">
            <w:pPr>
              <w:ind w:left="73"/>
              <w:rPr>
                <w:rFonts w:ascii="Times New Roman" w:eastAsia="STKaiti" w:hAnsi="Times New Roman" w:cs="Times New Roman"/>
                <w:color w:val="000000" w:themeColor="text1"/>
              </w:rPr>
            </w:pPr>
            <w:r>
              <w:rPr>
                <w:rFonts w:ascii="Times New Roman" w:eastAsia="STKaiti" w:hAnsi="Times New Roman" w:cs="Times New Roman"/>
                <w:color w:val="000000" w:themeColor="text1"/>
              </w:rPr>
              <w:t>藥物/j</w:t>
            </w:r>
            <w:r>
              <w:rPr>
                <w:rFonts w:ascii="Times New Roman" w:eastAsia="STKaiti" w:hAnsi="Times New Roman" w:cs="Times New Roman"/>
                <w:color w:val="000000" w:themeColor="text1"/>
                <w:lang w:val="fr-FR"/>
              </w:rPr>
              <w:t>ɑʊ</w:t>
            </w:r>
            <w:r>
              <w:rPr>
                <w:rFonts w:ascii="Times New Roman" w:eastAsia="STKaiti" w:hAnsi="Times New Roman" w:cs="Times New Roman"/>
                <w:color w:val="000000" w:themeColor="text1"/>
              </w:rPr>
              <w:t>.u/</w:t>
            </w:r>
          </w:p>
          <w:p w14:paraId="11FF2B9C" w14:textId="77777777" w:rsidR="0070514D" w:rsidRPr="0032528B" w:rsidRDefault="0070514D" w:rsidP="0070514D">
            <w:pPr>
              <w:ind w:left="64"/>
              <w:rPr>
                <w:rFonts w:ascii="Times New Roman" w:eastAsia="STKaiti" w:hAnsi="Times New Roman" w:cs="Times New Roman"/>
                <w:color w:val="000000" w:themeColor="text1"/>
              </w:rPr>
            </w:pPr>
            <w:r>
              <w:rPr>
                <w:rFonts w:ascii="Times New Roman" w:eastAsia="STKaiti" w:hAnsi="Times New Roman" w:cs="Times New Roman"/>
                <w:color w:val="000000" w:themeColor="text1"/>
              </w:rPr>
              <w:t>‘medication’</w:t>
            </w:r>
          </w:p>
          <w:p w14:paraId="78006887" w14:textId="27F2795E" w:rsidR="0089318D" w:rsidRPr="0032528B" w:rsidRDefault="0089318D" w:rsidP="0070514D">
            <w:pPr>
              <w:ind w:left="64"/>
              <w:rPr>
                <w:rFonts w:ascii="Times New Roman" w:eastAsia="STKaiti" w:hAnsi="Times New Roman" w:cs="Times New Roman"/>
                <w:color w:val="000000" w:themeColor="text1"/>
              </w:rPr>
            </w:pPr>
            <w:r>
              <w:rPr>
                <w:rFonts w:ascii="Times New Roman" w:eastAsia="STKaiti" w:hAnsi="Times New Roman" w:cs="Times New Roman"/>
                <w:color w:val="000000" w:themeColor="text1"/>
              </w:rPr>
              <w:t>T4 (51)+T4 (51)</w:t>
            </w:r>
          </w:p>
        </w:tc>
      </w:tr>
    </w:tbl>
    <w:p w14:paraId="1B397F93" w14:textId="77777777" w:rsidR="00CA065F" w:rsidRPr="0032528B" w:rsidRDefault="00CA065F" w:rsidP="00CA065F">
      <w:pPr>
        <w:pStyle w:val="Headings-Acknowlegements"/>
        <w:ind w:firstLine="0"/>
        <w:rPr>
          <w:rFonts w:ascii="Times New Roman" w:eastAsia="STKaiti" w:hAnsi="Times New Roman" w:cs="Times New Roman"/>
          <w:color w:val="000000" w:themeColor="text1"/>
        </w:rPr>
      </w:pPr>
    </w:p>
    <w:p w14:paraId="7F0CD621" w14:textId="703E3C69" w:rsidR="00CA065F" w:rsidRPr="0032528B" w:rsidRDefault="00CA065F" w:rsidP="00CA065F">
      <w:pPr>
        <w:pStyle w:val="Headings-Acknowlegements"/>
        <w:ind w:firstLine="0"/>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Table 11: Taiwan Southern Min version.</w:t>
      </w:r>
      <w:r>
        <w:rPr>
          <w:rStyle w:val="Appelnotedebasdep"/>
          <w:rFonts w:eastAsia="STKaiti" w:cs="Times New Roman"/>
          <w:b w:val="0"/>
          <w:bCs w:val="0"/>
          <w:color w:val="000000" w:themeColor="text1"/>
        </w:rPr>
        <w:footnoteReference w:id="37"/>
      </w:r>
    </w:p>
    <w:tbl>
      <w:tblPr>
        <w:tblStyle w:val="Grilledutableau"/>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993"/>
        <w:gridCol w:w="1696"/>
        <w:gridCol w:w="1984"/>
        <w:gridCol w:w="1559"/>
        <w:gridCol w:w="1560"/>
        <w:gridCol w:w="1558"/>
      </w:tblGrid>
      <w:tr w:rsidR="0006295E" w:rsidRPr="0032528B" w14:paraId="21BF7BC5" w14:textId="77777777" w:rsidTr="003D64B7">
        <w:tc>
          <w:tcPr>
            <w:tcW w:w="993" w:type="dxa"/>
            <w:tcBorders>
              <w:top w:val="double" w:sz="4" w:space="0" w:color="auto"/>
              <w:bottom w:val="nil"/>
            </w:tcBorders>
          </w:tcPr>
          <w:p w14:paraId="2B578BEB"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p>
        </w:tc>
        <w:tc>
          <w:tcPr>
            <w:tcW w:w="8357" w:type="dxa"/>
            <w:gridSpan w:val="5"/>
          </w:tcPr>
          <w:p w14:paraId="0BB78440" w14:textId="27ADA4AC"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Second tone</w:t>
            </w:r>
          </w:p>
        </w:tc>
      </w:tr>
      <w:tr w:rsidR="0006295E" w:rsidRPr="0032528B" w14:paraId="430073BC" w14:textId="77777777" w:rsidTr="003D64B7">
        <w:tc>
          <w:tcPr>
            <w:tcW w:w="993" w:type="dxa"/>
            <w:tcBorders>
              <w:top w:val="nil"/>
              <w:bottom w:val="single" w:sz="4" w:space="0" w:color="auto"/>
            </w:tcBorders>
          </w:tcPr>
          <w:p w14:paraId="7009D1BC" w14:textId="56D0212C"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First tone</w:t>
            </w:r>
          </w:p>
        </w:tc>
        <w:tc>
          <w:tcPr>
            <w:tcW w:w="1696" w:type="dxa"/>
            <w:vAlign w:val="bottom"/>
          </w:tcPr>
          <w:p w14:paraId="43C01335" w14:textId="45C1018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T1 (55)</w:t>
            </w:r>
          </w:p>
        </w:tc>
        <w:tc>
          <w:tcPr>
            <w:tcW w:w="1984" w:type="dxa"/>
            <w:vAlign w:val="bottom"/>
          </w:tcPr>
          <w:p w14:paraId="3AADA01C" w14:textId="1864672C"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T2 (51)</w:t>
            </w:r>
          </w:p>
        </w:tc>
        <w:tc>
          <w:tcPr>
            <w:tcW w:w="1559" w:type="dxa"/>
            <w:vAlign w:val="bottom"/>
          </w:tcPr>
          <w:p w14:paraId="31E4336E" w14:textId="5ED6AF44"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T3 (21)</w:t>
            </w:r>
          </w:p>
        </w:tc>
        <w:tc>
          <w:tcPr>
            <w:tcW w:w="1560" w:type="dxa"/>
            <w:vAlign w:val="bottom"/>
          </w:tcPr>
          <w:p w14:paraId="1A95D3F6" w14:textId="6D0EAAF4"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T5 (35)</w:t>
            </w:r>
          </w:p>
        </w:tc>
        <w:tc>
          <w:tcPr>
            <w:tcW w:w="1558" w:type="dxa"/>
            <w:vAlign w:val="bottom"/>
          </w:tcPr>
          <w:p w14:paraId="00F14569" w14:textId="66C13804"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T7 (33)</w:t>
            </w:r>
          </w:p>
        </w:tc>
      </w:tr>
      <w:tr w:rsidR="0006295E" w:rsidRPr="0032528B" w14:paraId="1DC1995D" w14:textId="77777777" w:rsidTr="003D64B7">
        <w:tc>
          <w:tcPr>
            <w:tcW w:w="993" w:type="dxa"/>
            <w:tcBorders>
              <w:top w:val="single" w:sz="4" w:space="0" w:color="auto"/>
            </w:tcBorders>
          </w:tcPr>
          <w:p w14:paraId="0364BBAF" w14:textId="6245F3C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lastRenderedPageBreak/>
              <w:t>T1 (55)</w:t>
            </w:r>
          </w:p>
        </w:tc>
        <w:tc>
          <w:tcPr>
            <w:tcW w:w="1696" w:type="dxa"/>
            <w:vAlign w:val="center"/>
          </w:tcPr>
          <w:p w14:paraId="39050826" w14:textId="18C27E9E"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烏貓 /</w:t>
            </w:r>
            <w:r>
              <w:rPr>
                <w:rFonts w:ascii="Times New Roman" w:eastAsia="STKaiti" w:hAnsi="Times New Roman" w:cs="Times New Roman"/>
                <w:b w:val="0"/>
                <w:bCs w:val="0"/>
                <w:color w:val="000000" w:themeColor="text1"/>
                <w:lang w:val="fr-FR"/>
              </w:rPr>
              <w:t>ɔ</w:t>
            </w:r>
            <w:r>
              <w:rPr>
                <w:rFonts w:ascii="Times New Roman" w:eastAsia="STKaiti" w:hAnsi="Times New Roman" w:cs="Times New Roman"/>
                <w:b w:val="0"/>
                <w:bCs w:val="0"/>
                <w:color w:val="000000" w:themeColor="text1"/>
              </w:rPr>
              <w:t>.nj</w:t>
            </w:r>
            <w:r>
              <w:rPr>
                <w:rFonts w:ascii="Times New Roman" w:eastAsia="STKaiti" w:hAnsi="Times New Roman" w:cs="Times New Roman"/>
                <w:b w:val="0"/>
                <w:bCs w:val="0"/>
                <w:color w:val="000000" w:themeColor="text1"/>
                <w:lang w:val="fr-FR"/>
              </w:rPr>
              <w:t>ɑʊ</w:t>
            </w:r>
            <w:r>
              <w:rPr>
                <w:rFonts w:ascii="Times New Roman" w:eastAsia="STKaiti" w:hAnsi="Times New Roman" w:cs="Times New Roman"/>
                <w:b w:val="0"/>
                <w:bCs w:val="0"/>
                <w:color w:val="000000" w:themeColor="text1"/>
              </w:rPr>
              <w:t>/</w:t>
            </w:r>
          </w:p>
          <w:p w14:paraId="6C7B451E"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‘black cat’</w:t>
            </w:r>
          </w:p>
          <w:p w14:paraId="4A80D2FC" w14:textId="14F3795F"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T1’ (33)+T1(55)</w:t>
            </w:r>
          </w:p>
        </w:tc>
        <w:tc>
          <w:tcPr>
            <w:tcW w:w="1984" w:type="dxa"/>
            <w:vAlign w:val="center"/>
          </w:tcPr>
          <w:p w14:paraId="22DCC296" w14:textId="5EB064A3"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rPr>
              <w:t>阿母</w:t>
            </w:r>
            <w:r>
              <w:rPr>
                <w:rFonts w:ascii="Times New Roman" w:eastAsia="STKaiti" w:hAnsi="Times New Roman" w:cs="Times New Roman"/>
                <w:b w:val="0"/>
                <w:bCs w:val="0"/>
                <w:color w:val="000000" w:themeColor="text1"/>
                <w:lang w:val="fr-FR"/>
              </w:rPr>
              <w:t xml:space="preserve"> /a.bu/</w:t>
            </w:r>
          </w:p>
          <w:p w14:paraId="1B4F068F"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‘mother’</w:t>
            </w:r>
          </w:p>
          <w:p w14:paraId="4B2AE00B" w14:textId="2A579556"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T1’ (33)+T2 (51)</w:t>
            </w:r>
          </w:p>
        </w:tc>
        <w:tc>
          <w:tcPr>
            <w:tcW w:w="1559" w:type="dxa"/>
            <w:vAlign w:val="center"/>
          </w:tcPr>
          <w:p w14:paraId="382E803B" w14:textId="3316D986"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rPr>
              <w:t>哀怨</w:t>
            </w:r>
            <w:r>
              <w:rPr>
                <w:rFonts w:ascii="Times New Roman" w:eastAsia="STKaiti" w:hAnsi="Times New Roman" w:cs="Times New Roman"/>
                <w:b w:val="0"/>
                <w:bCs w:val="0"/>
                <w:color w:val="000000" w:themeColor="text1"/>
                <w:lang w:val="fr-FR"/>
              </w:rPr>
              <w:t xml:space="preserve"> /aj.wan/</w:t>
            </w:r>
          </w:p>
          <w:p w14:paraId="5B9DA817"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‘grief’</w:t>
            </w:r>
          </w:p>
          <w:p w14:paraId="46E1DF4F" w14:textId="2F7C060E"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T1’ (33)+T3 (21)</w:t>
            </w:r>
          </w:p>
        </w:tc>
        <w:tc>
          <w:tcPr>
            <w:tcW w:w="1560" w:type="dxa"/>
            <w:vAlign w:val="center"/>
          </w:tcPr>
          <w:p w14:paraId="77208B6E" w14:textId="282F2C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rPr>
              <w:t>阿娘</w:t>
            </w:r>
            <w:r>
              <w:rPr>
                <w:rFonts w:ascii="Times New Roman" w:eastAsia="STKaiti" w:hAnsi="Times New Roman" w:cs="Times New Roman"/>
                <w:b w:val="0"/>
                <w:bCs w:val="0"/>
                <w:color w:val="000000" w:themeColor="text1"/>
                <w:lang w:val="fr-FR"/>
              </w:rPr>
              <w:t xml:space="preserve"> /a.nja/</w:t>
            </w:r>
          </w:p>
          <w:p w14:paraId="6D7E3051"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‘mother’</w:t>
            </w:r>
          </w:p>
          <w:p w14:paraId="6240C751" w14:textId="6D78545F"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T1’ (33)+T5 (35)</w:t>
            </w:r>
          </w:p>
        </w:tc>
        <w:tc>
          <w:tcPr>
            <w:tcW w:w="1558" w:type="dxa"/>
            <w:vAlign w:val="center"/>
          </w:tcPr>
          <w:p w14:paraId="75AAC3B0" w14:textId="4FE85F59"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因為 /in.uj/</w:t>
            </w:r>
          </w:p>
          <w:p w14:paraId="1546EFD0"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‘because’</w:t>
            </w:r>
          </w:p>
          <w:p w14:paraId="6A2B64A9" w14:textId="1499F1D2"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T1’ (33)+T7 (33)</w:t>
            </w:r>
          </w:p>
        </w:tc>
      </w:tr>
      <w:tr w:rsidR="0006295E" w:rsidRPr="0032528B" w14:paraId="2568E392" w14:textId="77777777" w:rsidTr="003D64B7">
        <w:tc>
          <w:tcPr>
            <w:tcW w:w="993" w:type="dxa"/>
          </w:tcPr>
          <w:p w14:paraId="272542D4" w14:textId="2873E4F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T2 (51)</w:t>
            </w:r>
          </w:p>
        </w:tc>
        <w:tc>
          <w:tcPr>
            <w:tcW w:w="1696" w:type="dxa"/>
            <w:vAlign w:val="bottom"/>
          </w:tcPr>
          <w:p w14:paraId="5B12A877" w14:textId="6683A606"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按呢 /an.ne/</w:t>
            </w:r>
          </w:p>
          <w:p w14:paraId="2017EF93"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‘like this’</w:t>
            </w:r>
          </w:p>
          <w:p w14:paraId="5B8181C6" w14:textId="06159600"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T2’ (55)+T1 (55)</w:t>
            </w:r>
          </w:p>
        </w:tc>
        <w:tc>
          <w:tcPr>
            <w:tcW w:w="1984" w:type="dxa"/>
            <w:vAlign w:val="bottom"/>
          </w:tcPr>
          <w:p w14:paraId="7F3CE6CB" w14:textId="48C10E85"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母語 /bu.gi/</w:t>
            </w:r>
          </w:p>
          <w:p w14:paraId="09DB8BFE"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‘mother tongue’</w:t>
            </w:r>
          </w:p>
          <w:p w14:paraId="125C8311" w14:textId="66183DB6"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T2’ (55)+T2 (51)</w:t>
            </w:r>
          </w:p>
        </w:tc>
        <w:tc>
          <w:tcPr>
            <w:tcW w:w="1559" w:type="dxa"/>
            <w:vAlign w:val="bottom"/>
          </w:tcPr>
          <w:p w14:paraId="3E6D471E" w14:textId="0B53A52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滿意 /mwa.i/</w:t>
            </w:r>
          </w:p>
          <w:p w14:paraId="29D75854"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‘satisfied’</w:t>
            </w:r>
          </w:p>
          <w:p w14:paraId="021CD981" w14:textId="7AA32234"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T2’ (55)+ T3 (21)</w:t>
            </w:r>
          </w:p>
        </w:tc>
        <w:tc>
          <w:tcPr>
            <w:tcW w:w="1560" w:type="dxa"/>
            <w:vAlign w:val="bottom"/>
          </w:tcPr>
          <w:p w14:paraId="5A8314F1" w14:textId="5D25013C"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rPr>
              <w:t>理由</w:t>
            </w:r>
            <w:r>
              <w:rPr>
                <w:rFonts w:ascii="Times New Roman" w:eastAsia="STKaiti" w:hAnsi="Times New Roman" w:cs="Times New Roman"/>
                <w:b w:val="0"/>
                <w:bCs w:val="0"/>
                <w:color w:val="000000" w:themeColor="text1"/>
                <w:lang w:val="fr-FR"/>
              </w:rPr>
              <w:t xml:space="preserve"> /li.ju/</w:t>
            </w:r>
          </w:p>
          <w:p w14:paraId="2E476B9A"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‘reason’</w:t>
            </w:r>
          </w:p>
          <w:p w14:paraId="27D0D16D" w14:textId="374B5738"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T2’ (55)+ T5 (35)</w:t>
            </w:r>
          </w:p>
        </w:tc>
        <w:tc>
          <w:tcPr>
            <w:tcW w:w="1558" w:type="dxa"/>
            <w:vAlign w:val="bottom"/>
          </w:tcPr>
          <w:p w14:paraId="30422665" w14:textId="527CEB9E"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美麗 /bi.le/</w:t>
            </w:r>
          </w:p>
          <w:p w14:paraId="3958CA6B"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‘beauty’</w:t>
            </w:r>
          </w:p>
          <w:p w14:paraId="10FF18D8" w14:textId="0DBA5F79"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T2’ (55)+T7 (33)</w:t>
            </w:r>
          </w:p>
        </w:tc>
      </w:tr>
      <w:tr w:rsidR="0006295E" w:rsidRPr="00697250" w14:paraId="7F02A161" w14:textId="77777777" w:rsidTr="003D64B7">
        <w:tc>
          <w:tcPr>
            <w:tcW w:w="993" w:type="dxa"/>
          </w:tcPr>
          <w:p w14:paraId="43EF2E5B" w14:textId="21F21C99"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T3 (21)</w:t>
            </w:r>
          </w:p>
        </w:tc>
        <w:tc>
          <w:tcPr>
            <w:tcW w:w="1696" w:type="dxa"/>
          </w:tcPr>
          <w:p w14:paraId="6C64111A" w14:textId="0515755E" w:rsidR="009B51D7" w:rsidRPr="0032528B" w:rsidRDefault="009B51D7" w:rsidP="0070514D">
            <w:pPr>
              <w:spacing w:after="54"/>
              <w:ind w:right="43"/>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暗安 /am.an/</w:t>
            </w:r>
          </w:p>
          <w:p w14:paraId="6FEFA3DE" w14:textId="4C9FBCEB" w:rsidR="009B51D7" w:rsidRPr="0032528B" w:rsidRDefault="009B51D7" w:rsidP="0070514D">
            <w:pPr>
              <w:spacing w:after="53"/>
              <w:ind w:right="67"/>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‘good night’</w:t>
            </w:r>
          </w:p>
          <w:p w14:paraId="49D23C7D" w14:textId="04468107" w:rsidR="009B51D7"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T3’ (51)+T1 (55)</w:t>
            </w:r>
          </w:p>
        </w:tc>
        <w:tc>
          <w:tcPr>
            <w:tcW w:w="1984" w:type="dxa"/>
          </w:tcPr>
          <w:p w14:paraId="7B76038C" w14:textId="1BD6A07B"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懊惱 /</w:t>
            </w:r>
            <w:r>
              <w:rPr>
                <w:rFonts w:ascii="Times New Roman" w:eastAsia="STKaiti" w:hAnsi="Times New Roman" w:cs="Times New Roman"/>
                <w:b w:val="0"/>
                <w:bCs w:val="0"/>
                <w:color w:val="000000" w:themeColor="text1"/>
                <w:lang w:val="fr-FR"/>
              </w:rPr>
              <w:t>ɑʊ</w:t>
            </w:r>
            <w:r>
              <w:rPr>
                <w:rFonts w:ascii="Times New Roman" w:eastAsia="STKaiti" w:hAnsi="Times New Roman" w:cs="Times New Roman"/>
                <w:b w:val="0"/>
                <w:bCs w:val="0"/>
                <w:color w:val="000000" w:themeColor="text1"/>
              </w:rPr>
              <w:t>.n</w:t>
            </w:r>
            <w:r>
              <w:rPr>
                <w:rFonts w:ascii="Times New Roman" w:eastAsia="STKaiti" w:hAnsi="Times New Roman" w:cs="Times New Roman"/>
                <w:b w:val="0"/>
                <w:bCs w:val="0"/>
                <w:color w:val="000000" w:themeColor="text1"/>
                <w:lang w:val="fr-FR"/>
              </w:rPr>
              <w:t>ɑʊ</w:t>
            </w:r>
            <w:r>
              <w:rPr>
                <w:rFonts w:ascii="Times New Roman" w:eastAsia="STKaiti" w:hAnsi="Times New Roman" w:cs="Times New Roman"/>
                <w:b w:val="0"/>
                <w:bCs w:val="0"/>
                <w:color w:val="000000" w:themeColor="text1"/>
              </w:rPr>
              <w:t>/</w:t>
            </w:r>
          </w:p>
          <w:p w14:paraId="3C3E2FCE"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‘to regret’</w:t>
            </w:r>
          </w:p>
          <w:p w14:paraId="216762AD" w14:textId="1EA8835D"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T3’ (51)+T2 (51)</w:t>
            </w:r>
          </w:p>
        </w:tc>
        <w:tc>
          <w:tcPr>
            <w:tcW w:w="1559" w:type="dxa"/>
          </w:tcPr>
          <w:p w14:paraId="2034F0CC" w14:textId="6A21B38A"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rPr>
              <w:t>落落</w:t>
            </w:r>
            <w:r>
              <w:rPr>
                <w:rFonts w:ascii="Times New Roman" w:eastAsia="STKaiti" w:hAnsi="Times New Roman" w:cs="Times New Roman"/>
                <w:b w:val="0"/>
                <w:bCs w:val="0"/>
                <w:color w:val="000000" w:themeColor="text1"/>
                <w:lang w:val="fr-FR"/>
              </w:rPr>
              <w:t xml:space="preserve"> /lɑʊ.lɑʊ/</w:t>
            </w:r>
          </w:p>
          <w:p w14:paraId="3EBEF02A"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‘loose’</w:t>
            </w:r>
          </w:p>
          <w:p w14:paraId="16414378" w14:textId="2168CB3A"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T3’ (51)+ T3 (21)</w:t>
            </w:r>
          </w:p>
        </w:tc>
        <w:tc>
          <w:tcPr>
            <w:tcW w:w="1560" w:type="dxa"/>
          </w:tcPr>
          <w:p w14:paraId="66994F95" w14:textId="41A59564"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愛人 /aj.lin/</w:t>
            </w:r>
          </w:p>
          <w:p w14:paraId="557436F6"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‘lover’</w:t>
            </w:r>
          </w:p>
          <w:p w14:paraId="60C6040B" w14:textId="551490A0"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T3’ (51)+ T5 (35)</w:t>
            </w:r>
          </w:p>
        </w:tc>
        <w:tc>
          <w:tcPr>
            <w:tcW w:w="1558" w:type="dxa"/>
          </w:tcPr>
          <w:p w14:paraId="5ABE3F2B" w14:textId="641ECF7C" w:rsidR="009B51D7" w:rsidRPr="0032528B" w:rsidRDefault="009B51D7" w:rsidP="0070514D">
            <w:pPr>
              <w:ind w:left="-15"/>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rPr>
              <w:t>向望</w:t>
            </w:r>
            <w:r>
              <w:rPr>
                <w:rFonts w:ascii="Times New Roman" w:eastAsia="STKaiti" w:hAnsi="Times New Roman" w:cs="Times New Roman"/>
                <w:color w:val="000000" w:themeColor="text1"/>
                <w:lang w:val="fr-FR"/>
              </w:rPr>
              <w:t xml:space="preserve"> /ŋ.ba</w:t>
            </w:r>
            <w:r>
              <w:rPr>
                <w:rFonts w:ascii="Times New Roman" w:hAnsi="Times New Roman" w:cs="Times New Roman"/>
                <w:color w:val="000000" w:themeColor="text1"/>
                <w:sz w:val="26"/>
                <w:szCs w:val="26"/>
                <w:lang w:val="fr-FR"/>
              </w:rPr>
              <w:t>ŋ</w:t>
            </w:r>
            <w:r>
              <w:rPr>
                <w:rFonts w:ascii="Times New Roman" w:eastAsia="STKaiti" w:hAnsi="Times New Roman" w:cs="Times New Roman"/>
                <w:color w:val="000000" w:themeColor="text1"/>
                <w:lang w:val="fr-FR"/>
              </w:rPr>
              <w:t>/</w:t>
            </w:r>
          </w:p>
          <w:p w14:paraId="410212D0"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‘hope’</w:t>
            </w:r>
          </w:p>
          <w:p w14:paraId="279615B4" w14:textId="09B3F860"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T3’ (51)+T7 (33)</w:t>
            </w:r>
          </w:p>
        </w:tc>
      </w:tr>
      <w:tr w:rsidR="0006295E" w:rsidRPr="0032528B" w14:paraId="472BDA6D" w14:textId="77777777" w:rsidTr="003D64B7">
        <w:tc>
          <w:tcPr>
            <w:tcW w:w="993" w:type="dxa"/>
          </w:tcPr>
          <w:p w14:paraId="694E09FB" w14:textId="1782CE0D"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T5 (35)</w:t>
            </w:r>
          </w:p>
        </w:tc>
        <w:tc>
          <w:tcPr>
            <w:tcW w:w="1696" w:type="dxa"/>
          </w:tcPr>
          <w:p w14:paraId="769BAE0C" w14:textId="2E64A7CF" w:rsidR="009B51D7" w:rsidRPr="0032528B" w:rsidRDefault="009B51D7" w:rsidP="0070514D">
            <w:pPr>
              <w:spacing w:after="53"/>
              <w:ind w:right="67"/>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rPr>
              <w:t>牛奶</w:t>
            </w:r>
            <w:r>
              <w:rPr>
                <w:rFonts w:ascii="Times New Roman" w:eastAsia="STKaiti" w:hAnsi="Times New Roman" w:cs="Times New Roman"/>
                <w:color w:val="000000" w:themeColor="text1"/>
                <w:lang w:val="fr-FR"/>
              </w:rPr>
              <w:t xml:space="preserve"> /gu.liŋ/</w:t>
            </w:r>
          </w:p>
          <w:p w14:paraId="4D70EBDC" w14:textId="77777777" w:rsidR="009B51D7" w:rsidRPr="0032528B" w:rsidRDefault="009B51D7" w:rsidP="0070514D">
            <w:pPr>
              <w:spacing w:after="53"/>
              <w:ind w:right="67"/>
              <w:jc w:val="center"/>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‘milk’</w:t>
            </w:r>
          </w:p>
          <w:p w14:paraId="71E1C9A8" w14:textId="12C81604" w:rsidR="009B51D7"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T5’ (33/21)+T1 (55)</w:t>
            </w:r>
          </w:p>
        </w:tc>
        <w:tc>
          <w:tcPr>
            <w:tcW w:w="1984" w:type="dxa"/>
          </w:tcPr>
          <w:p w14:paraId="0015272D"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麻-lau /mwa.lɑʊ/</w:t>
            </w:r>
          </w:p>
          <w:p w14:paraId="077B0B7A"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‘a kind of dessert’</w:t>
            </w:r>
          </w:p>
          <w:p w14:paraId="7E022C50" w14:textId="437D1FD9"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lang w:val="fr-FR"/>
              </w:rPr>
              <w:t>T5’ (33/21)+</w:t>
            </w:r>
            <w:r>
              <w:rPr>
                <w:rFonts w:ascii="Times New Roman" w:eastAsia="STKaiti" w:hAnsi="Times New Roman" w:cs="Times New Roman"/>
                <w:b w:val="0"/>
                <w:bCs w:val="0"/>
                <w:color w:val="000000" w:themeColor="text1"/>
              </w:rPr>
              <w:t>T2 (51)</w:t>
            </w:r>
          </w:p>
        </w:tc>
        <w:tc>
          <w:tcPr>
            <w:tcW w:w="1559" w:type="dxa"/>
          </w:tcPr>
          <w:p w14:paraId="18BFDAFB" w14:textId="641AB966"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無愛 /bo.aj/</w:t>
            </w:r>
          </w:p>
          <w:p w14:paraId="64F8E955"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‘dislike’</w:t>
            </w:r>
          </w:p>
          <w:p w14:paraId="346AE3B0" w14:textId="5728EE25"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lang w:val="fr-FR"/>
              </w:rPr>
              <w:t>T5’ (33/21)+</w:t>
            </w:r>
            <w:r>
              <w:rPr>
                <w:rFonts w:ascii="Times New Roman" w:eastAsia="STKaiti" w:hAnsi="Times New Roman" w:cs="Times New Roman"/>
                <w:b w:val="0"/>
                <w:bCs w:val="0"/>
                <w:color w:val="000000" w:themeColor="text1"/>
              </w:rPr>
              <w:t xml:space="preserve"> T3 (21)</w:t>
            </w:r>
          </w:p>
        </w:tc>
        <w:tc>
          <w:tcPr>
            <w:tcW w:w="1560" w:type="dxa"/>
          </w:tcPr>
          <w:p w14:paraId="2BBF0C21" w14:textId="3A80CA66"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明年 /me.ni/</w:t>
            </w:r>
          </w:p>
          <w:p w14:paraId="234A7780"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‘next year’</w:t>
            </w:r>
          </w:p>
          <w:p w14:paraId="03AD9CB3" w14:textId="75565497"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lang w:val="fr-FR"/>
              </w:rPr>
              <w:t>T5’ (33/21)+</w:t>
            </w:r>
            <w:r>
              <w:rPr>
                <w:rFonts w:ascii="Times New Roman" w:eastAsia="STKaiti" w:hAnsi="Times New Roman" w:cs="Times New Roman"/>
                <w:b w:val="0"/>
                <w:bCs w:val="0"/>
                <w:color w:val="000000" w:themeColor="text1"/>
              </w:rPr>
              <w:t xml:space="preserve"> T5 (35)</w:t>
            </w:r>
          </w:p>
        </w:tc>
        <w:tc>
          <w:tcPr>
            <w:tcW w:w="1558" w:type="dxa"/>
          </w:tcPr>
          <w:p w14:paraId="6CB32C6B" w14:textId="405AB732"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眠夢 /bin.ba</w:t>
            </w:r>
            <w:r>
              <w:rPr>
                <w:rFonts w:ascii="Times New Roman" w:eastAsia="STKaiti" w:hAnsi="Times New Roman" w:cs="Times New Roman"/>
                <w:b w:val="0"/>
                <w:bCs w:val="0"/>
                <w:color w:val="000000" w:themeColor="text1"/>
                <w:lang w:val="fr-FR"/>
              </w:rPr>
              <w:t>ŋ</w:t>
            </w:r>
            <w:r>
              <w:rPr>
                <w:rFonts w:ascii="Times New Roman" w:eastAsia="STKaiti" w:hAnsi="Times New Roman" w:cs="Times New Roman"/>
                <w:b w:val="0"/>
                <w:bCs w:val="0"/>
                <w:color w:val="000000" w:themeColor="text1"/>
              </w:rPr>
              <w:t>/</w:t>
            </w:r>
          </w:p>
          <w:p w14:paraId="0710020E"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‘dream’</w:t>
            </w:r>
          </w:p>
          <w:p w14:paraId="366136A0" w14:textId="1E872401"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lang w:val="fr-FR"/>
              </w:rPr>
              <w:t>T5’ (33/21)+</w:t>
            </w:r>
            <w:r>
              <w:rPr>
                <w:rFonts w:ascii="Times New Roman" w:eastAsia="STKaiti" w:hAnsi="Times New Roman" w:cs="Times New Roman"/>
                <w:b w:val="0"/>
                <w:bCs w:val="0"/>
                <w:color w:val="000000" w:themeColor="text1"/>
              </w:rPr>
              <w:t>T7 (33)</w:t>
            </w:r>
          </w:p>
        </w:tc>
      </w:tr>
      <w:tr w:rsidR="008E7904" w:rsidRPr="00697250" w14:paraId="0DEF764B" w14:textId="77777777" w:rsidTr="003D64B7">
        <w:tc>
          <w:tcPr>
            <w:tcW w:w="993" w:type="dxa"/>
          </w:tcPr>
          <w:p w14:paraId="357D6D28" w14:textId="6CCF258F"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T7 (33)</w:t>
            </w:r>
          </w:p>
        </w:tc>
        <w:tc>
          <w:tcPr>
            <w:tcW w:w="1696" w:type="dxa"/>
          </w:tcPr>
          <w:p w14:paraId="195E239F" w14:textId="40F0624A" w:rsidR="009B51D7" w:rsidRPr="0032528B" w:rsidRDefault="009B51D7" w:rsidP="0070514D">
            <w:pPr>
              <w:spacing w:after="53"/>
              <w:ind w:right="70"/>
              <w:jc w:val="center"/>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內奶 /lai.li</w:t>
            </w:r>
            <w:r>
              <w:rPr>
                <w:rFonts w:ascii="Times New Roman" w:eastAsia="STKaiti" w:hAnsi="Times New Roman" w:cs="Times New Roman"/>
                <w:color w:val="000000" w:themeColor="text1"/>
                <w:lang w:val="fr-FR"/>
              </w:rPr>
              <w:t>ŋ</w:t>
            </w:r>
            <w:r>
              <w:rPr>
                <w:rFonts w:ascii="Times New Roman" w:eastAsia="STKaiti" w:hAnsi="Times New Roman" w:cs="Times New Roman"/>
                <w:color w:val="000000" w:themeColor="text1"/>
              </w:rPr>
              <w:t>/</w:t>
            </w:r>
          </w:p>
          <w:p w14:paraId="636529C9"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‘inner tire’</w:t>
            </w:r>
          </w:p>
          <w:p w14:paraId="27D1654F" w14:textId="76F40BD4"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T7’ (21)+T1 (55)</w:t>
            </w:r>
          </w:p>
        </w:tc>
        <w:tc>
          <w:tcPr>
            <w:tcW w:w="1984" w:type="dxa"/>
          </w:tcPr>
          <w:p w14:paraId="73FD84F6"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袂-bai /bwe.baj/</w:t>
            </w:r>
          </w:p>
          <w:p w14:paraId="4B3A363C"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‘not bad’</w:t>
            </w:r>
          </w:p>
          <w:p w14:paraId="27285002" w14:textId="1E9CC311"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T7’ (21)+T2 (51)</w:t>
            </w:r>
          </w:p>
        </w:tc>
        <w:tc>
          <w:tcPr>
            <w:tcW w:w="1559" w:type="dxa"/>
          </w:tcPr>
          <w:p w14:paraId="798AD1FA" w14:textId="757A1554"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議案 /gi.an/</w:t>
            </w:r>
          </w:p>
          <w:p w14:paraId="61207BD5"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‘motion’</w:t>
            </w:r>
          </w:p>
          <w:p w14:paraId="50921B11" w14:textId="4CA13E99"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T7’ (21)+ T3 (21)</w:t>
            </w:r>
          </w:p>
        </w:tc>
        <w:tc>
          <w:tcPr>
            <w:tcW w:w="1560" w:type="dxa"/>
          </w:tcPr>
          <w:p w14:paraId="0CE95CE0" w14:textId="6E3FAA18"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未來 /bi.laj/</w:t>
            </w:r>
          </w:p>
          <w:p w14:paraId="47B750F1"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‘future’</w:t>
            </w:r>
          </w:p>
          <w:p w14:paraId="102539D0" w14:textId="2777E242"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T7’ (21)+ T5 (35)</w:t>
            </w:r>
          </w:p>
        </w:tc>
        <w:tc>
          <w:tcPr>
            <w:tcW w:w="1558" w:type="dxa"/>
          </w:tcPr>
          <w:p w14:paraId="5D12381E" w14:textId="2B66658E"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rPr>
              <w:t>下面</w:t>
            </w:r>
            <w:r>
              <w:rPr>
                <w:rFonts w:ascii="Times New Roman" w:eastAsia="STKaiti" w:hAnsi="Times New Roman" w:cs="Times New Roman"/>
                <w:b w:val="0"/>
                <w:bCs w:val="0"/>
                <w:color w:val="000000" w:themeColor="text1"/>
                <w:lang w:val="fr-FR"/>
              </w:rPr>
              <w:t xml:space="preserve"> /e.bin/</w:t>
            </w:r>
          </w:p>
          <w:p w14:paraId="76539098" w14:textId="77777777" w:rsidR="009B51D7" w:rsidRPr="0032528B" w:rsidRDefault="009B51D7"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‘below’</w:t>
            </w:r>
          </w:p>
          <w:p w14:paraId="7F27A3D8" w14:textId="3DAB27F1" w:rsidR="0089318D" w:rsidRPr="0032528B" w:rsidRDefault="0089318D" w:rsidP="0070514D">
            <w:pPr>
              <w:pStyle w:val="Headings-Acknowlegements"/>
              <w:spacing w:line="240" w:lineRule="auto"/>
              <w:ind w:firstLine="0"/>
              <w:jc w:val="center"/>
              <w:rPr>
                <w:rFonts w:ascii="Times New Roman" w:eastAsia="STKaiti" w:hAnsi="Times New Roman" w:cs="Times New Roman"/>
                <w:b w:val="0"/>
                <w:bCs w:val="0"/>
                <w:color w:val="000000" w:themeColor="text1"/>
                <w:lang w:val="fr-FR"/>
              </w:rPr>
            </w:pPr>
            <w:r>
              <w:rPr>
                <w:rFonts w:ascii="Times New Roman" w:eastAsia="STKaiti" w:hAnsi="Times New Roman" w:cs="Times New Roman"/>
                <w:b w:val="0"/>
                <w:bCs w:val="0"/>
                <w:color w:val="000000" w:themeColor="text1"/>
                <w:lang w:val="fr-FR"/>
              </w:rPr>
              <w:t>T7’ (21)+T7 (33)</w:t>
            </w:r>
          </w:p>
        </w:tc>
      </w:tr>
    </w:tbl>
    <w:p w14:paraId="10A79A8E" w14:textId="77777777" w:rsidR="00CA065F" w:rsidRPr="0032528B" w:rsidRDefault="00CA065F" w:rsidP="00CA065F">
      <w:pPr>
        <w:pStyle w:val="Headings-Acknowlegements"/>
        <w:ind w:firstLine="0"/>
        <w:rPr>
          <w:rFonts w:ascii="Times New Roman" w:eastAsia="STKaiti" w:hAnsi="Times New Roman" w:cs="Times New Roman"/>
          <w:color w:val="000000" w:themeColor="text1"/>
          <w:lang w:val="fr-FR"/>
        </w:rPr>
      </w:pPr>
    </w:p>
    <w:p w14:paraId="0A12D503" w14:textId="7F0C7A87" w:rsidR="008E7904" w:rsidRPr="0032528B" w:rsidRDefault="00F82A52" w:rsidP="00F82A52">
      <w:pPr>
        <w:pStyle w:val="Headings-Acknowlegements"/>
        <w:ind w:firstLine="0"/>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3. Tone contour visualization (through GAMM</w:t>
      </w:r>
      <w:r>
        <w:rPr>
          <w:rStyle w:val="Appelnotedebasdep"/>
          <w:rFonts w:eastAsia="STKaiti" w:cs="Times New Roman"/>
          <w:b w:val="0"/>
          <w:bCs w:val="0"/>
          <w:color w:val="000000" w:themeColor="text1"/>
        </w:rPr>
        <w:footnoteReference w:id="38"/>
      </w:r>
      <w:r>
        <w:rPr>
          <w:rFonts w:ascii="Times New Roman" w:eastAsia="STKaiti" w:hAnsi="Times New Roman" w:cs="Times New Roman"/>
          <w:b w:val="0"/>
          <w:bCs w:val="0"/>
          <w:color w:val="000000" w:themeColor="text1"/>
        </w:rPr>
        <w:t>)</w:t>
      </w:r>
    </w:p>
    <w:p w14:paraId="7DD9D33A" w14:textId="77777777" w:rsidR="008E7904" w:rsidRPr="0032528B" w:rsidRDefault="008E7904" w:rsidP="008E7904">
      <w:pPr>
        <w:spacing w:after="133" w:line="259" w:lineRule="auto"/>
        <w:ind w:left="785"/>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72115F6" wp14:editId="14EE82A4">
            <wp:extent cx="4646722" cy="6479232"/>
            <wp:effectExtent l="0" t="0" r="1905" b="0"/>
            <wp:docPr id="4646" name="Picture 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 name="Picture 4646"/>
                    <pic:cNvPicPr/>
                  </pic:nvPicPr>
                  <pic:blipFill>
                    <a:blip r:embed="rId21"/>
                    <a:stretch>
                      <a:fillRect/>
                    </a:stretch>
                  </pic:blipFill>
                  <pic:spPr>
                    <a:xfrm>
                      <a:off x="0" y="0"/>
                      <a:ext cx="4646722" cy="6479232"/>
                    </a:xfrm>
                    <a:prstGeom prst="rect">
                      <a:avLst/>
                    </a:prstGeom>
                  </pic:spPr>
                </pic:pic>
              </a:graphicData>
            </a:graphic>
          </wp:inline>
        </w:drawing>
      </w:r>
    </w:p>
    <w:p w14:paraId="2889452B" w14:textId="69A1AFCD" w:rsidR="008E7904" w:rsidRPr="0032528B" w:rsidRDefault="00153D93" w:rsidP="00D50925">
      <w:pPr>
        <w:spacing w:after="66" w:line="216" w:lineRule="auto"/>
        <w:ind w:right="1402"/>
        <w:rPr>
          <w:rFonts w:ascii="Times New Roman" w:hAnsi="Times New Roman" w:cs="Times New Roman"/>
          <w:color w:val="000000" w:themeColor="text1"/>
        </w:rPr>
      </w:pPr>
      <w:r>
        <w:rPr>
          <w:rFonts w:ascii="Times New Roman" w:hAnsi="Times New Roman" w:cs="Times New Roman"/>
          <w:color w:val="000000" w:themeColor="text1"/>
        </w:rPr>
        <w:t xml:space="preserve">Figure 8. Taiwan Mandarin tone contours (produced by monolingual speakers) under carryover effects. The dashed line indicates the syllable boundary.</w:t>
      </w:r>
    </w:p>
    <w:p w14:paraId="352F4815" w14:textId="77777777" w:rsidR="008E7904" w:rsidRPr="0032528B" w:rsidRDefault="008E7904" w:rsidP="008E7904">
      <w:pPr>
        <w:spacing w:after="133" w:line="259" w:lineRule="auto"/>
        <w:ind w:left="785"/>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B8F9489" wp14:editId="5CA1000E">
            <wp:extent cx="4710022" cy="6567495"/>
            <wp:effectExtent l="0" t="0" r="1905" b="0"/>
            <wp:docPr id="4659" name="Picture 4659"/>
            <wp:cNvGraphicFramePr/>
            <a:graphic xmlns:a="http://schemas.openxmlformats.org/drawingml/2006/main">
              <a:graphicData uri="http://schemas.openxmlformats.org/drawingml/2006/picture">
                <pic:pic xmlns:pic="http://schemas.openxmlformats.org/drawingml/2006/picture">
                  <pic:nvPicPr>
                    <pic:cNvPr id="4659" name="Picture 4659"/>
                    <pic:cNvPicPr/>
                  </pic:nvPicPr>
                  <pic:blipFill>
                    <a:blip r:embed="rId22"/>
                    <a:stretch>
                      <a:fillRect/>
                    </a:stretch>
                  </pic:blipFill>
                  <pic:spPr>
                    <a:xfrm>
                      <a:off x="0" y="0"/>
                      <a:ext cx="4710022" cy="6567495"/>
                    </a:xfrm>
                    <a:prstGeom prst="rect">
                      <a:avLst/>
                    </a:prstGeom>
                  </pic:spPr>
                </pic:pic>
              </a:graphicData>
            </a:graphic>
          </wp:inline>
        </w:drawing>
      </w:r>
    </w:p>
    <w:p w14:paraId="71ED0FB7" w14:textId="7AE24B26" w:rsidR="008E7904" w:rsidRPr="0032528B" w:rsidRDefault="00153D93" w:rsidP="00F82C2C">
      <w:pPr>
        <w:spacing w:after="66" w:line="216" w:lineRule="auto"/>
        <w:ind w:right="1402"/>
        <w:rPr>
          <w:rFonts w:ascii="Times New Roman" w:hAnsi="Times New Roman" w:cs="Times New Roman"/>
          <w:color w:val="000000" w:themeColor="text1"/>
        </w:rPr>
      </w:pPr>
      <w:r>
        <w:rPr>
          <w:rFonts w:ascii="Times New Roman" w:hAnsi="Times New Roman" w:cs="Times New Roman"/>
          <w:color w:val="000000" w:themeColor="text1"/>
        </w:rPr>
        <w:t xml:space="preserve">Figure 9. Taiwan Mandarin tone contours (produced by monolingual speakers) under anticipatory effects. The dashed line indicates the syllable boundary.</w:t>
      </w:r>
    </w:p>
    <w:p w14:paraId="2E80C143" w14:textId="77777777" w:rsidR="008E7904" w:rsidRPr="0032528B" w:rsidRDefault="008E7904" w:rsidP="008E7904">
      <w:pPr>
        <w:spacing w:after="133" w:line="259" w:lineRule="auto"/>
        <w:ind w:left="785"/>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665547E" wp14:editId="0FC3AC32">
            <wp:extent cx="4314350" cy="7622019"/>
            <wp:effectExtent l="0" t="0" r="3810" b="0"/>
            <wp:docPr id="4669" name="Picture 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 name="Picture 4669"/>
                    <pic:cNvPicPr/>
                  </pic:nvPicPr>
                  <pic:blipFill>
                    <a:blip r:embed="rId23"/>
                    <a:stretch>
                      <a:fillRect/>
                    </a:stretch>
                  </pic:blipFill>
                  <pic:spPr>
                    <a:xfrm>
                      <a:off x="0" y="0"/>
                      <a:ext cx="4314350" cy="7622019"/>
                    </a:xfrm>
                    <a:prstGeom prst="rect">
                      <a:avLst/>
                    </a:prstGeom>
                  </pic:spPr>
                </pic:pic>
              </a:graphicData>
            </a:graphic>
          </wp:inline>
        </w:drawing>
      </w:r>
    </w:p>
    <w:p w14:paraId="1C8302D4" w14:textId="5669DE6C" w:rsidR="008E7904" w:rsidRPr="0032528B" w:rsidRDefault="00153D93" w:rsidP="00F82C2C">
      <w:pPr>
        <w:spacing w:after="66" w:line="216" w:lineRule="auto"/>
        <w:ind w:right="1402"/>
        <w:rPr>
          <w:rFonts w:ascii="Times New Roman" w:hAnsi="Times New Roman" w:cs="Times New Roman"/>
          <w:color w:val="000000" w:themeColor="text1"/>
        </w:rPr>
      </w:pPr>
      <w:r>
        <w:rPr>
          <w:rFonts w:ascii="Times New Roman" w:hAnsi="Times New Roman" w:cs="Times New Roman"/>
          <w:color w:val="000000" w:themeColor="text1"/>
        </w:rPr>
        <w:t xml:space="preserve">Figure 10. Taiwan Southern Min tone contours under carryover effects. The dashed line indicates the syllable boundary.</w:t>
      </w:r>
    </w:p>
    <w:p w14:paraId="69105089" w14:textId="77777777" w:rsidR="008E7904" w:rsidRPr="0032528B" w:rsidRDefault="008E7904" w:rsidP="008E7904">
      <w:pPr>
        <w:spacing w:after="133" w:line="259" w:lineRule="auto"/>
        <w:ind w:left="785"/>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526CA99" wp14:editId="00752C00">
            <wp:extent cx="4648783" cy="6552571"/>
            <wp:effectExtent l="0" t="0" r="0" b="635"/>
            <wp:docPr id="4679" name="Picture 4679"/>
            <wp:cNvGraphicFramePr/>
            <a:graphic xmlns:a="http://schemas.openxmlformats.org/drawingml/2006/main">
              <a:graphicData uri="http://schemas.openxmlformats.org/drawingml/2006/picture">
                <pic:pic xmlns:pic="http://schemas.openxmlformats.org/drawingml/2006/picture">
                  <pic:nvPicPr>
                    <pic:cNvPr id="4679" name="Picture 4679"/>
                    <pic:cNvPicPr/>
                  </pic:nvPicPr>
                  <pic:blipFill>
                    <a:blip r:embed="rId24"/>
                    <a:stretch>
                      <a:fillRect/>
                    </a:stretch>
                  </pic:blipFill>
                  <pic:spPr>
                    <a:xfrm>
                      <a:off x="0" y="0"/>
                      <a:ext cx="4648783" cy="6552571"/>
                    </a:xfrm>
                    <a:prstGeom prst="rect">
                      <a:avLst/>
                    </a:prstGeom>
                  </pic:spPr>
                </pic:pic>
              </a:graphicData>
            </a:graphic>
          </wp:inline>
        </w:drawing>
      </w:r>
    </w:p>
    <w:p w14:paraId="42573FF4" w14:textId="3686CB8C" w:rsidR="008E7904" w:rsidRPr="0032528B" w:rsidRDefault="00153D93" w:rsidP="00F82C2C">
      <w:pPr>
        <w:pStyle w:val="Headings-Acknowlegements"/>
        <w:spacing w:line="240" w:lineRule="auto"/>
        <w:ind w:firstLine="0"/>
        <w:rPr>
          <w:rFonts w:ascii="Times New Roman" w:eastAsia="STKaiti" w:hAnsi="Times New Roman" w:cs="Times New Roman"/>
          <w:b w:val="0"/>
          <w:bCs w:val="0"/>
          <w:color w:val="000000" w:themeColor="text1"/>
        </w:rPr>
      </w:pPr>
      <w:r>
        <w:rPr>
          <w:rFonts w:ascii="Times New Roman" w:hAnsi="Times New Roman" w:cs="Times New Roman"/>
          <w:b w:val="0"/>
          <w:bCs w:val="0"/>
          <w:color w:val="000000" w:themeColor="text1"/>
        </w:rPr>
        <w:t xml:space="preserve">Figure 11. Taiwan Southern Min tone contours under anticipatory effects. The dashed line indicates the syllable boundary.</w:t>
      </w:r>
    </w:p>
    <w:p w14:paraId="2E4F34F2" w14:textId="77777777" w:rsidR="007F468A" w:rsidRPr="0032528B" w:rsidRDefault="007F468A" w:rsidP="00A1648F">
      <w:pPr>
        <w:pStyle w:val="Headings-Acknowlegements"/>
        <w:spacing w:line="240" w:lineRule="auto"/>
        <w:ind w:left="410" w:firstLine="0"/>
        <w:rPr>
          <w:rFonts w:ascii="Times New Roman" w:eastAsia="STKaiti" w:hAnsi="Times New Roman" w:cs="Times New Roman"/>
          <w:b w:val="0"/>
          <w:bCs w:val="0"/>
          <w:color w:val="000000" w:themeColor="text1"/>
        </w:rPr>
      </w:pPr>
    </w:p>
    <w:p w14:paraId="24933B07" w14:textId="45A5DFCB" w:rsidR="007F468A" w:rsidRPr="0032528B" w:rsidRDefault="00F82A52" w:rsidP="00F82A52">
      <w:pPr>
        <w:pStyle w:val="Headings-Acknowlegements"/>
        <w:ind w:firstLine="0"/>
        <w:rPr>
          <w:rFonts w:ascii="Times New Roman" w:eastAsia="STKaiti" w:hAnsi="Times New Roman" w:cs="Times New Roman"/>
          <w:b w:val="0"/>
          <w:bCs w:val="0"/>
          <w:color w:val="000000" w:themeColor="text1"/>
        </w:rPr>
      </w:pPr>
      <w:r>
        <w:rPr>
          <w:rFonts w:ascii="Times New Roman" w:eastAsia="STKaiti" w:hAnsi="Times New Roman" w:cs="Times New Roman"/>
          <w:b w:val="0"/>
          <w:bCs w:val="0"/>
          <w:color w:val="000000" w:themeColor="text1"/>
        </w:rPr>
        <w:t xml:space="preserve">4. Linear mixed-effects model visualization</w:t>
      </w:r>
    </w:p>
    <w:p w14:paraId="6675EC2A" w14:textId="77777777" w:rsidR="007F468A" w:rsidRPr="0032528B" w:rsidRDefault="007F468A" w:rsidP="007F468A">
      <w:pPr>
        <w:spacing w:after="121" w:line="259" w:lineRule="auto"/>
        <w:ind w:left="109"/>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75A9F78" wp14:editId="0119EC10">
            <wp:extent cx="5911728" cy="1914594"/>
            <wp:effectExtent l="0" t="0" r="0" b="3175"/>
            <wp:docPr id="4690" name="Picture 4690"/>
            <wp:cNvGraphicFramePr/>
            <a:graphic xmlns:a="http://schemas.openxmlformats.org/drawingml/2006/main">
              <a:graphicData uri="http://schemas.openxmlformats.org/drawingml/2006/picture">
                <pic:pic xmlns:pic="http://schemas.openxmlformats.org/drawingml/2006/picture">
                  <pic:nvPicPr>
                    <pic:cNvPr id="4690" name="Picture 4690"/>
                    <pic:cNvPicPr/>
                  </pic:nvPicPr>
                  <pic:blipFill>
                    <a:blip r:embed="rId25"/>
                    <a:stretch>
                      <a:fillRect/>
                    </a:stretch>
                  </pic:blipFill>
                  <pic:spPr>
                    <a:xfrm>
                      <a:off x="0" y="0"/>
                      <a:ext cx="5911728" cy="1914594"/>
                    </a:xfrm>
                    <a:prstGeom prst="rect">
                      <a:avLst/>
                    </a:prstGeom>
                  </pic:spPr>
                </pic:pic>
              </a:graphicData>
            </a:graphic>
          </wp:inline>
        </w:drawing>
      </w:r>
    </w:p>
    <w:p w14:paraId="54F20104" w14:textId="2165E3DA" w:rsidR="007F468A" w:rsidRPr="0032528B" w:rsidRDefault="007F468A" w:rsidP="00A1648F">
      <w:pPr>
        <w:pStyle w:val="Paragraphedeliste"/>
        <w:numPr>
          <w:ilvl w:val="0"/>
          <w:numId w:val="54"/>
        </w:numPr>
        <w:spacing w:after="6" w:line="259" w:lineRule="auto"/>
        <w:ind w:right="3738"/>
        <w:jc w:val="right"/>
        <w:rPr>
          <w:rFonts w:ascii="Times New Roman" w:hAnsi="Times New Roman" w:cs="Times New Roman"/>
          <w:color w:val="000000" w:themeColor="text1"/>
        </w:rPr>
      </w:pPr>
      <w:r>
        <w:rPr>
          <w:rFonts w:ascii="Times New Roman" w:hAnsi="Times New Roman" w:cs="Times New Roman"/>
          <w:color w:val="000000" w:themeColor="text1"/>
        </w:rPr>
        <w:t>Carryover effects.</w:t>
      </w:r>
    </w:p>
    <w:p w14:paraId="631DD6A9" w14:textId="77777777" w:rsidR="007F468A" w:rsidRPr="0032528B" w:rsidRDefault="007F468A" w:rsidP="007F468A">
      <w:pPr>
        <w:spacing w:after="121" w:line="259" w:lineRule="auto"/>
        <w:ind w:left="109"/>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4C10B4A" wp14:editId="12EDC82D">
            <wp:extent cx="5907816" cy="1913327"/>
            <wp:effectExtent l="0" t="0" r="0" b="4445"/>
            <wp:docPr id="4693" name="Picture 4693"/>
            <wp:cNvGraphicFramePr/>
            <a:graphic xmlns:a="http://schemas.openxmlformats.org/drawingml/2006/main">
              <a:graphicData uri="http://schemas.openxmlformats.org/drawingml/2006/picture">
                <pic:pic xmlns:pic="http://schemas.openxmlformats.org/drawingml/2006/picture">
                  <pic:nvPicPr>
                    <pic:cNvPr id="4693" name="Picture 4693"/>
                    <pic:cNvPicPr/>
                  </pic:nvPicPr>
                  <pic:blipFill>
                    <a:blip r:embed="rId26"/>
                    <a:stretch>
                      <a:fillRect/>
                    </a:stretch>
                  </pic:blipFill>
                  <pic:spPr>
                    <a:xfrm>
                      <a:off x="0" y="0"/>
                      <a:ext cx="5907816" cy="1913327"/>
                    </a:xfrm>
                    <a:prstGeom prst="rect">
                      <a:avLst/>
                    </a:prstGeom>
                  </pic:spPr>
                </pic:pic>
              </a:graphicData>
            </a:graphic>
          </wp:inline>
        </w:drawing>
      </w:r>
    </w:p>
    <w:p w14:paraId="0AC0F3EE" w14:textId="17E82EAB" w:rsidR="007F468A" w:rsidRPr="0032528B" w:rsidRDefault="007F468A" w:rsidP="00A1648F">
      <w:pPr>
        <w:pStyle w:val="Paragraphedeliste"/>
        <w:numPr>
          <w:ilvl w:val="0"/>
          <w:numId w:val="54"/>
        </w:numPr>
        <w:spacing w:after="6" w:line="259" w:lineRule="auto"/>
        <w:ind w:right="3738"/>
        <w:jc w:val="right"/>
        <w:rPr>
          <w:rFonts w:ascii="Times New Roman" w:hAnsi="Times New Roman" w:cs="Times New Roman"/>
          <w:color w:val="000000" w:themeColor="text1"/>
        </w:rPr>
      </w:pPr>
      <w:r>
        <w:rPr>
          <w:rFonts w:ascii="Times New Roman" w:hAnsi="Times New Roman" w:cs="Times New Roman"/>
          <w:color w:val="000000" w:themeColor="text1"/>
        </w:rPr>
        <w:t>Anticipatory effects.</w:t>
      </w:r>
    </w:p>
    <w:p w14:paraId="5D7E8AD0" w14:textId="6C3B8C6E" w:rsidR="007F468A" w:rsidRPr="0032528B" w:rsidRDefault="00153D93">
      <w:pPr>
        <w:pStyle w:val="Headings-Acknowlegements"/>
        <w:ind w:firstLine="0"/>
        <w:rPr>
          <w:rFonts w:ascii="Times New Roman" w:eastAsia="STKaiti" w:hAnsi="Times New Roman" w:cs="Times New Roman"/>
          <w:b w:val="0"/>
          <w:bCs w:val="0"/>
          <w:color w:val="000000" w:themeColor="text1"/>
          <w:lang w:eastAsia="zh-TW"/>
        </w:rPr>
      </w:pPr>
      <w:r>
        <w:rPr>
          <w:rFonts w:ascii="Times New Roman" w:eastAsia="STKaiti" w:hAnsi="Times New Roman" w:cs="Times New Roman"/>
          <w:b w:val="0"/>
          <w:bCs w:val="0"/>
          <w:color w:val="000000" w:themeColor="text1"/>
          <w:lang w:eastAsia="zh-TW"/>
        </w:rPr>
        <w:t xml:space="preserve">Figure 12. Linear mixed-effects model visualization.</w:t>
      </w:r>
    </w:p>
    <w:p w14:paraId="49357062" w14:textId="77777777" w:rsidR="00FA40F7" w:rsidRPr="0032528B" w:rsidRDefault="00FA40F7" w:rsidP="00FA40F7">
      <w:pPr>
        <w:pStyle w:val="Headings-Acknowlegements"/>
        <w:ind w:firstLine="0"/>
        <w:rPr>
          <w:rFonts w:ascii="Times New Roman" w:eastAsia="STKaiti" w:hAnsi="Times New Roman" w:cs="Times New Roman"/>
          <w:b w:val="0"/>
          <w:bCs w:val="0"/>
          <w:color w:val="000000" w:themeColor="text1"/>
          <w:lang w:eastAsia="zh-TW"/>
        </w:rPr>
      </w:pPr>
      <w:r>
        <w:rPr>
          <w:rFonts w:ascii="Times New Roman" w:eastAsia="STKaiti" w:hAnsi="Times New Roman" w:cs="Times New Roman"/>
          <w:b w:val="0"/>
          <w:bCs w:val="0"/>
          <w:color w:val="000000" w:themeColor="text1"/>
          <w:lang w:eastAsia="zh-TW"/>
        </w:rPr>
        <w:t>5. Individual tone comparisons</w:t>
      </w:r>
    </w:p>
    <w:p w14:paraId="222537F2" w14:textId="77777777" w:rsidR="00FA40F7" w:rsidRPr="0008569C" w:rsidRDefault="00FA40F7" w:rsidP="00FA40F7">
      <w:pPr>
        <w:pStyle w:val="JASABodyText"/>
        <w:ind w:firstLine="0"/>
        <w:rPr>
          <w:rFonts w:ascii="Times New Roman" w:eastAsia="STKaiti" w:hAnsi="Times New Roman" w:cs="Times New Roman"/>
          <w:color w:val="000000" w:themeColor="text1"/>
          <w:lang w:eastAsia="zh-TW"/>
        </w:rPr>
      </w:pPr>
      <w:r>
        <w:rPr>
          <w:rFonts w:ascii="Times New Roman" w:eastAsia="STKaiti" w:hAnsi="Times New Roman" w:cs="Times New Roman"/>
          <w:color w:val="000000" w:themeColor="text1"/>
        </w:rPr>
        <w:t>Table 12. P</w:t>
      </w:r>
      <w:r>
        <w:rPr>
          <w:rFonts w:ascii="Times New Roman" w:eastAsia="STKaiti" w:hAnsi="Times New Roman" w:cs="Times New Roman"/>
          <w:color w:val="000000" w:themeColor="text1"/>
          <w:lang w:eastAsia="zh-TW"/>
        </w:rPr>
        <w:t>ost-hoc pa</w:t>
      </w:r>
      <w:r>
        <w:rPr>
          <w:rFonts w:ascii="Times New Roman" w:eastAsia="STKaiti" w:hAnsi="Times New Roman" w:cs="Times New Roman"/>
          <w:color w:val="000000" w:themeColor="text1"/>
        </w:rPr>
        <w:t>irwise comparisons of the effects of context tone values on target tone values between different target tones.</w:t>
      </w:r>
    </w:p>
    <w:tbl>
      <w:tblPr>
        <w:tblStyle w:val="Grilledutableau"/>
        <w:tblW w:w="9402" w:type="dxa"/>
        <w:tblBorders>
          <w:top w:val="double" w:sz="4" w:space="0" w:color="auto"/>
          <w:left w:val="none" w:sz="0" w:space="0" w:color="auto"/>
          <w:bottom w:val="double" w:sz="4" w:space="0" w:color="auto"/>
          <w:right w:val="none" w:sz="0" w:space="0" w:color="auto"/>
          <w:insideV w:val="none" w:sz="0" w:space="0" w:color="auto"/>
        </w:tblBorders>
        <w:tblLayout w:type="fixed"/>
        <w:tblLook w:val="04A0" w:firstRow="1" w:lastRow="0" w:firstColumn="1" w:lastColumn="0" w:noHBand="0" w:noVBand="1"/>
      </w:tblPr>
      <w:tblGrid>
        <w:gridCol w:w="1418"/>
        <w:gridCol w:w="1276"/>
        <w:gridCol w:w="2835"/>
        <w:gridCol w:w="1591"/>
        <w:gridCol w:w="879"/>
        <w:gridCol w:w="879"/>
        <w:gridCol w:w="524"/>
      </w:tblGrid>
      <w:tr w:rsidR="00FA40F7" w:rsidRPr="00EB73AF" w14:paraId="018502A2" w14:textId="77777777" w:rsidTr="009508DA">
        <w:tc>
          <w:tcPr>
            <w:tcW w:w="1418" w:type="dxa"/>
            <w:tcMar>
              <w:left w:w="0" w:type="dxa"/>
              <w:right w:w="0" w:type="dxa"/>
            </w:tcMar>
            <w:vAlign w:val="center"/>
          </w:tcPr>
          <w:p w14:paraId="08DFF85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Language group</w:t>
            </w:r>
          </w:p>
        </w:tc>
        <w:tc>
          <w:tcPr>
            <w:tcW w:w="1276" w:type="dxa"/>
            <w:tcMar>
              <w:left w:w="0" w:type="dxa"/>
              <w:right w:w="0" w:type="dxa"/>
            </w:tcMar>
            <w:vAlign w:val="center"/>
          </w:tcPr>
          <w:p w14:paraId="1345CDC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Position</w:t>
            </w:r>
          </w:p>
        </w:tc>
        <w:tc>
          <w:tcPr>
            <w:tcW w:w="2835" w:type="dxa"/>
            <w:tcMar>
              <w:left w:w="0" w:type="dxa"/>
              <w:right w:w="0" w:type="dxa"/>
            </w:tcMar>
            <w:vAlign w:val="center"/>
          </w:tcPr>
          <w:p w14:paraId="77F45EC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Comparison</w:t>
            </w:r>
          </w:p>
        </w:tc>
        <w:tc>
          <w:tcPr>
            <w:tcW w:w="1591" w:type="dxa"/>
            <w:tcMar>
              <w:left w:w="0" w:type="dxa"/>
              <w:right w:w="0" w:type="dxa"/>
            </w:tcMar>
            <w:vAlign w:val="center"/>
          </w:tcPr>
          <w:p w14:paraId="74E3D792"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Est. (±SE)</w:t>
            </w:r>
          </w:p>
        </w:tc>
        <w:tc>
          <w:tcPr>
            <w:tcW w:w="879" w:type="dxa"/>
            <w:tcMar>
              <w:left w:w="0" w:type="dxa"/>
              <w:right w:w="0" w:type="dxa"/>
            </w:tcMar>
            <w:vAlign w:val="center"/>
          </w:tcPr>
          <w:p w14:paraId="63D1E49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i/>
                <w:iCs/>
                <w:color w:val="000000" w:themeColor="text1"/>
                <w:highlight w:val="yellow"/>
              </w:rPr>
              <w:t>t</w:t>
            </w:r>
            <w:r>
              <w:rPr>
                <w:rFonts w:ascii="Times New Roman" w:eastAsia="STKaiti" w:hAnsi="Times New Roman" w:cs="Times New Roman"/>
                <w:color w:val="000000" w:themeColor="text1"/>
                <w:highlight w:val="yellow"/>
              </w:rPr>
              <w:t>-ratio</w:t>
            </w:r>
          </w:p>
        </w:tc>
        <w:tc>
          <w:tcPr>
            <w:tcW w:w="879" w:type="dxa"/>
            <w:tcMar>
              <w:left w:w="0" w:type="dxa"/>
              <w:right w:w="0" w:type="dxa"/>
            </w:tcMar>
            <w:vAlign w:val="center"/>
          </w:tcPr>
          <w:p w14:paraId="063A5124"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i/>
                <w:iCs/>
                <w:color w:val="000000" w:themeColor="text1"/>
                <w:highlight w:val="yellow"/>
              </w:rPr>
              <w:t>p</w:t>
            </w:r>
            <w:r>
              <w:rPr>
                <w:rFonts w:ascii="Times New Roman" w:eastAsia="STKaiti" w:hAnsi="Times New Roman" w:cs="Times New Roman"/>
                <w:color w:val="000000" w:themeColor="text1"/>
                <w:highlight w:val="yellow"/>
              </w:rPr>
              <w:t>-value</w:t>
            </w:r>
          </w:p>
        </w:tc>
        <w:tc>
          <w:tcPr>
            <w:tcW w:w="524" w:type="dxa"/>
            <w:tcMar>
              <w:left w:w="0" w:type="dxa"/>
              <w:right w:w="0" w:type="dxa"/>
            </w:tcMar>
            <w:vAlign w:val="center"/>
          </w:tcPr>
          <w:p w14:paraId="064789FA"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44B6F7BF" w14:textId="77777777" w:rsidTr="009508DA">
        <w:tc>
          <w:tcPr>
            <w:tcW w:w="1418" w:type="dxa"/>
            <w:vMerge w:val="restart"/>
            <w:tcMar>
              <w:left w:w="0" w:type="dxa"/>
              <w:right w:w="0" w:type="dxa"/>
            </w:tcMar>
            <w:vAlign w:val="center"/>
          </w:tcPr>
          <w:p w14:paraId="66C2A6EA" w14:textId="77777777" w:rsidR="00FA40F7" w:rsidRPr="00EB73AF" w:rsidRDefault="00FA40F7" w:rsidP="009508DA">
            <w:pPr>
              <w:pStyle w:val="JASABodyText"/>
              <w:spacing w:line="240" w:lineRule="auto"/>
              <w:ind w:firstLine="0"/>
              <w:jc w:val="both"/>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TSM (advanced)</w:t>
            </w:r>
          </w:p>
        </w:tc>
        <w:tc>
          <w:tcPr>
            <w:tcW w:w="1276" w:type="dxa"/>
            <w:vMerge w:val="restart"/>
            <w:tcMar>
              <w:left w:w="0" w:type="dxa"/>
              <w:right w:w="0" w:type="dxa"/>
            </w:tcMar>
            <w:vAlign w:val="center"/>
          </w:tcPr>
          <w:p w14:paraId="548A4356" w14:textId="77777777" w:rsidR="00FA40F7" w:rsidRPr="00EB73AF" w:rsidRDefault="00FA40F7" w:rsidP="009508DA">
            <w:pPr>
              <w:pStyle w:val="JASABodyText"/>
              <w:spacing w:line="240" w:lineRule="auto"/>
              <w:ind w:firstLine="0"/>
              <w:jc w:val="both"/>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Carryover</w:t>
            </w:r>
          </w:p>
        </w:tc>
        <w:tc>
          <w:tcPr>
            <w:tcW w:w="2835" w:type="dxa"/>
            <w:tcMar>
              <w:left w:w="0" w:type="dxa"/>
              <w:right w:w="0" w:type="dxa"/>
            </w:tcMar>
            <w:vAlign w:val="center"/>
          </w:tcPr>
          <w:p w14:paraId="574627DC"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(21)&gt;mid-level (33)</w:t>
            </w:r>
          </w:p>
        </w:tc>
        <w:tc>
          <w:tcPr>
            <w:tcW w:w="1591" w:type="dxa"/>
            <w:tcMar>
              <w:left w:w="0" w:type="dxa"/>
              <w:right w:w="0" w:type="dxa"/>
            </w:tcMar>
            <w:vAlign w:val="center"/>
          </w:tcPr>
          <w:p w14:paraId="39741929"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0.123±0.065</w:t>
            </w:r>
          </w:p>
        </w:tc>
        <w:tc>
          <w:tcPr>
            <w:tcW w:w="879" w:type="dxa"/>
            <w:tcMar>
              <w:left w:w="0" w:type="dxa"/>
              <w:right w:w="0" w:type="dxa"/>
            </w:tcMar>
            <w:vAlign w:val="center"/>
          </w:tcPr>
          <w:p w14:paraId="35F60580"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1.875</w:t>
            </w:r>
          </w:p>
        </w:tc>
        <w:tc>
          <w:tcPr>
            <w:tcW w:w="879" w:type="dxa"/>
            <w:tcMar>
              <w:left w:w="0" w:type="dxa"/>
              <w:right w:w="0" w:type="dxa"/>
            </w:tcMar>
            <w:vAlign w:val="center"/>
          </w:tcPr>
          <w:p w14:paraId="3A3DBD8B"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0.332</w:t>
            </w:r>
          </w:p>
        </w:tc>
        <w:tc>
          <w:tcPr>
            <w:tcW w:w="524" w:type="dxa"/>
            <w:tcMar>
              <w:left w:w="0" w:type="dxa"/>
              <w:right w:w="0" w:type="dxa"/>
            </w:tcMar>
            <w:vAlign w:val="center"/>
          </w:tcPr>
          <w:p w14:paraId="6D9D4041"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692DDE9C" w14:textId="77777777" w:rsidTr="009508DA">
        <w:tc>
          <w:tcPr>
            <w:tcW w:w="1418" w:type="dxa"/>
            <w:vMerge/>
            <w:tcMar>
              <w:left w:w="0" w:type="dxa"/>
              <w:right w:w="0" w:type="dxa"/>
            </w:tcMar>
            <w:vAlign w:val="center"/>
          </w:tcPr>
          <w:p w14:paraId="3A4B3713" w14:textId="77777777" w:rsidR="00FA40F7" w:rsidRPr="00EB73AF" w:rsidRDefault="00FA40F7" w:rsidP="009508DA">
            <w:pPr>
              <w:pStyle w:val="JASABodyText"/>
              <w:spacing w:line="240" w:lineRule="auto"/>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28CA1D3" w14:textId="77777777" w:rsidR="00FA40F7" w:rsidRPr="00EB73AF" w:rsidRDefault="00FA40F7" w:rsidP="009508DA">
            <w:pPr>
              <w:pStyle w:val="JASABodyText"/>
              <w:spacing w:line="240" w:lineRule="auto"/>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1829184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(21)&gt;rising (35)</w:t>
            </w:r>
          </w:p>
        </w:tc>
        <w:tc>
          <w:tcPr>
            <w:tcW w:w="1591" w:type="dxa"/>
            <w:tcMar>
              <w:left w:w="0" w:type="dxa"/>
              <w:right w:w="0" w:type="dxa"/>
            </w:tcMar>
            <w:vAlign w:val="center"/>
          </w:tcPr>
          <w:p w14:paraId="7B947882"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0.171±0.036</w:t>
            </w:r>
          </w:p>
        </w:tc>
        <w:tc>
          <w:tcPr>
            <w:tcW w:w="879" w:type="dxa"/>
            <w:tcMar>
              <w:left w:w="0" w:type="dxa"/>
              <w:right w:w="0" w:type="dxa"/>
            </w:tcMar>
            <w:vAlign w:val="center"/>
          </w:tcPr>
          <w:p w14:paraId="09E01FF2"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4.715</w:t>
            </w:r>
          </w:p>
        </w:tc>
        <w:tc>
          <w:tcPr>
            <w:tcW w:w="879" w:type="dxa"/>
            <w:tcMar>
              <w:left w:w="0" w:type="dxa"/>
              <w:right w:w="0" w:type="dxa"/>
            </w:tcMar>
            <w:vAlign w:val="center"/>
          </w:tcPr>
          <w:p w14:paraId="76363F08"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24" w:type="dxa"/>
            <w:tcMar>
              <w:left w:w="0" w:type="dxa"/>
              <w:right w:w="0" w:type="dxa"/>
            </w:tcMar>
            <w:vAlign w:val="center"/>
          </w:tcPr>
          <w:p w14:paraId="1A1D17FC"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781DB83B" w14:textId="77777777" w:rsidTr="009508DA">
        <w:tc>
          <w:tcPr>
            <w:tcW w:w="1418" w:type="dxa"/>
            <w:vMerge/>
            <w:tcMar>
              <w:left w:w="0" w:type="dxa"/>
              <w:right w:w="0" w:type="dxa"/>
            </w:tcMar>
            <w:vAlign w:val="center"/>
          </w:tcPr>
          <w:p w14:paraId="1FC1EC21" w14:textId="77777777" w:rsidR="00FA40F7" w:rsidRPr="00EB73AF" w:rsidRDefault="00FA40F7" w:rsidP="009508DA">
            <w:pPr>
              <w:pStyle w:val="JASABodyText"/>
              <w:spacing w:line="240" w:lineRule="auto"/>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6D8C5F37" w14:textId="77777777" w:rsidR="00FA40F7" w:rsidRPr="00EB73AF" w:rsidRDefault="00FA40F7" w:rsidP="009508DA">
            <w:pPr>
              <w:pStyle w:val="JASABodyText"/>
              <w:spacing w:line="240" w:lineRule="auto"/>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3D2DA7C8"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(21)&gt;falling (51)</w:t>
            </w:r>
          </w:p>
        </w:tc>
        <w:tc>
          <w:tcPr>
            <w:tcW w:w="1591" w:type="dxa"/>
            <w:tcMar>
              <w:left w:w="0" w:type="dxa"/>
              <w:right w:w="0" w:type="dxa"/>
            </w:tcMar>
            <w:vAlign w:val="center"/>
          </w:tcPr>
          <w:p w14:paraId="1B8A8597"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0.100±0.059</w:t>
            </w:r>
          </w:p>
        </w:tc>
        <w:tc>
          <w:tcPr>
            <w:tcW w:w="879" w:type="dxa"/>
            <w:tcMar>
              <w:left w:w="0" w:type="dxa"/>
              <w:right w:w="0" w:type="dxa"/>
            </w:tcMar>
            <w:vAlign w:val="center"/>
          </w:tcPr>
          <w:p w14:paraId="2C33B4D8"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1.687</w:t>
            </w:r>
          </w:p>
        </w:tc>
        <w:tc>
          <w:tcPr>
            <w:tcW w:w="879" w:type="dxa"/>
            <w:tcMar>
              <w:left w:w="0" w:type="dxa"/>
              <w:right w:w="0" w:type="dxa"/>
            </w:tcMar>
            <w:vAlign w:val="center"/>
          </w:tcPr>
          <w:p w14:paraId="56AD84C7"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0.442</w:t>
            </w:r>
          </w:p>
        </w:tc>
        <w:tc>
          <w:tcPr>
            <w:tcW w:w="524" w:type="dxa"/>
            <w:tcMar>
              <w:left w:w="0" w:type="dxa"/>
              <w:right w:w="0" w:type="dxa"/>
            </w:tcMar>
            <w:vAlign w:val="center"/>
          </w:tcPr>
          <w:p w14:paraId="59CBBCFA"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6824384F" w14:textId="77777777" w:rsidTr="009508DA">
        <w:tc>
          <w:tcPr>
            <w:tcW w:w="1418" w:type="dxa"/>
            <w:vMerge/>
            <w:tcMar>
              <w:left w:w="0" w:type="dxa"/>
              <w:right w:w="0" w:type="dxa"/>
            </w:tcMar>
            <w:vAlign w:val="center"/>
          </w:tcPr>
          <w:p w14:paraId="2731A17A"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360C8A55"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1A239D86"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(21)&gt;high-level (55)</w:t>
            </w:r>
          </w:p>
        </w:tc>
        <w:tc>
          <w:tcPr>
            <w:tcW w:w="1591" w:type="dxa"/>
            <w:tcMar>
              <w:left w:w="0" w:type="dxa"/>
              <w:right w:w="0" w:type="dxa"/>
            </w:tcMar>
            <w:vAlign w:val="center"/>
          </w:tcPr>
          <w:p w14:paraId="635ECB76"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0.288±0.060</w:t>
            </w:r>
          </w:p>
        </w:tc>
        <w:tc>
          <w:tcPr>
            <w:tcW w:w="879" w:type="dxa"/>
            <w:tcMar>
              <w:left w:w="0" w:type="dxa"/>
              <w:right w:w="0" w:type="dxa"/>
            </w:tcMar>
            <w:vAlign w:val="center"/>
          </w:tcPr>
          <w:p w14:paraId="46B04708"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4.815</w:t>
            </w:r>
          </w:p>
        </w:tc>
        <w:tc>
          <w:tcPr>
            <w:tcW w:w="879" w:type="dxa"/>
            <w:tcMar>
              <w:left w:w="0" w:type="dxa"/>
              <w:right w:w="0" w:type="dxa"/>
            </w:tcMar>
            <w:vAlign w:val="center"/>
          </w:tcPr>
          <w:p w14:paraId="73A1DD96"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24" w:type="dxa"/>
            <w:tcMar>
              <w:left w:w="0" w:type="dxa"/>
              <w:right w:w="0" w:type="dxa"/>
            </w:tcMar>
            <w:vAlign w:val="center"/>
          </w:tcPr>
          <w:p w14:paraId="23BEC1F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012883DD" w14:textId="77777777" w:rsidTr="009508DA">
        <w:tc>
          <w:tcPr>
            <w:tcW w:w="1418" w:type="dxa"/>
            <w:vMerge/>
            <w:tcMar>
              <w:left w:w="0" w:type="dxa"/>
              <w:right w:w="0" w:type="dxa"/>
            </w:tcMar>
            <w:vAlign w:val="center"/>
          </w:tcPr>
          <w:p w14:paraId="50911A25"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69A4E96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769B5787"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mid-level (33)&gt;rising (35)</w:t>
            </w:r>
          </w:p>
        </w:tc>
        <w:tc>
          <w:tcPr>
            <w:tcW w:w="1591" w:type="dxa"/>
            <w:tcMar>
              <w:left w:w="0" w:type="dxa"/>
              <w:right w:w="0" w:type="dxa"/>
            </w:tcMar>
            <w:vAlign w:val="center"/>
          </w:tcPr>
          <w:p w14:paraId="4079D5F2"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0.048±0.067</w:t>
            </w:r>
          </w:p>
        </w:tc>
        <w:tc>
          <w:tcPr>
            <w:tcW w:w="879" w:type="dxa"/>
            <w:tcMar>
              <w:left w:w="0" w:type="dxa"/>
              <w:right w:w="0" w:type="dxa"/>
            </w:tcMar>
            <w:vAlign w:val="center"/>
          </w:tcPr>
          <w:p w14:paraId="1D118127"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0.726</w:t>
            </w:r>
          </w:p>
        </w:tc>
        <w:tc>
          <w:tcPr>
            <w:tcW w:w="879" w:type="dxa"/>
            <w:tcMar>
              <w:left w:w="0" w:type="dxa"/>
              <w:right w:w="0" w:type="dxa"/>
            </w:tcMar>
            <w:vAlign w:val="center"/>
          </w:tcPr>
          <w:p w14:paraId="43947FA6"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0.950</w:t>
            </w:r>
          </w:p>
        </w:tc>
        <w:tc>
          <w:tcPr>
            <w:tcW w:w="524" w:type="dxa"/>
            <w:tcMar>
              <w:left w:w="0" w:type="dxa"/>
              <w:right w:w="0" w:type="dxa"/>
            </w:tcMar>
            <w:vAlign w:val="center"/>
          </w:tcPr>
          <w:p w14:paraId="32F1CBE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78041C38" w14:textId="77777777" w:rsidTr="009508DA">
        <w:tc>
          <w:tcPr>
            <w:tcW w:w="1418" w:type="dxa"/>
            <w:vMerge/>
            <w:tcMar>
              <w:left w:w="0" w:type="dxa"/>
              <w:right w:w="0" w:type="dxa"/>
            </w:tcMar>
            <w:vAlign w:val="center"/>
          </w:tcPr>
          <w:p w14:paraId="0A575D1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549A66B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262498A"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(51)&gt;mid-level (33)</w:t>
            </w:r>
          </w:p>
        </w:tc>
        <w:tc>
          <w:tcPr>
            <w:tcW w:w="1591" w:type="dxa"/>
            <w:tcMar>
              <w:left w:w="0" w:type="dxa"/>
              <w:right w:w="0" w:type="dxa"/>
            </w:tcMar>
            <w:vAlign w:val="center"/>
          </w:tcPr>
          <w:p w14:paraId="4FABFBF6"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0.023±0.060</w:t>
            </w:r>
          </w:p>
        </w:tc>
        <w:tc>
          <w:tcPr>
            <w:tcW w:w="879" w:type="dxa"/>
            <w:tcMar>
              <w:left w:w="0" w:type="dxa"/>
              <w:right w:w="0" w:type="dxa"/>
            </w:tcMar>
            <w:vAlign w:val="center"/>
          </w:tcPr>
          <w:p w14:paraId="13EDFB7D"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0.381</w:t>
            </w:r>
          </w:p>
        </w:tc>
        <w:tc>
          <w:tcPr>
            <w:tcW w:w="879" w:type="dxa"/>
            <w:tcMar>
              <w:left w:w="0" w:type="dxa"/>
              <w:right w:w="0" w:type="dxa"/>
            </w:tcMar>
            <w:vAlign w:val="center"/>
          </w:tcPr>
          <w:p w14:paraId="2BD5AC33"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0.996</w:t>
            </w:r>
          </w:p>
        </w:tc>
        <w:tc>
          <w:tcPr>
            <w:tcW w:w="524" w:type="dxa"/>
            <w:tcMar>
              <w:left w:w="0" w:type="dxa"/>
              <w:right w:w="0" w:type="dxa"/>
            </w:tcMar>
            <w:vAlign w:val="center"/>
          </w:tcPr>
          <w:p w14:paraId="3F3BE67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5A4BAE45" w14:textId="77777777" w:rsidTr="009508DA">
        <w:tc>
          <w:tcPr>
            <w:tcW w:w="1418" w:type="dxa"/>
            <w:vMerge/>
            <w:tcMar>
              <w:left w:w="0" w:type="dxa"/>
              <w:right w:w="0" w:type="dxa"/>
            </w:tcMar>
            <w:vAlign w:val="center"/>
          </w:tcPr>
          <w:p w14:paraId="50BB7FC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4421399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9AA9F28"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mid-level (33)&gt;high-level (55)</w:t>
            </w:r>
          </w:p>
        </w:tc>
        <w:tc>
          <w:tcPr>
            <w:tcW w:w="1591" w:type="dxa"/>
            <w:tcMar>
              <w:left w:w="0" w:type="dxa"/>
              <w:right w:w="0" w:type="dxa"/>
            </w:tcMar>
            <w:vAlign w:val="center"/>
          </w:tcPr>
          <w:p w14:paraId="31A8AACF"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0.165±0.065</w:t>
            </w:r>
          </w:p>
        </w:tc>
        <w:tc>
          <w:tcPr>
            <w:tcW w:w="879" w:type="dxa"/>
            <w:tcMar>
              <w:left w:w="0" w:type="dxa"/>
              <w:right w:w="0" w:type="dxa"/>
            </w:tcMar>
            <w:vAlign w:val="center"/>
          </w:tcPr>
          <w:p w14:paraId="2EAD828B"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2.561</w:t>
            </w:r>
          </w:p>
        </w:tc>
        <w:tc>
          <w:tcPr>
            <w:tcW w:w="879" w:type="dxa"/>
            <w:tcMar>
              <w:left w:w="0" w:type="dxa"/>
              <w:right w:w="0" w:type="dxa"/>
            </w:tcMar>
            <w:vAlign w:val="center"/>
          </w:tcPr>
          <w:p w14:paraId="5175E2F1"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0.079</w:t>
            </w:r>
          </w:p>
        </w:tc>
        <w:tc>
          <w:tcPr>
            <w:tcW w:w="524" w:type="dxa"/>
            <w:tcMar>
              <w:left w:w="0" w:type="dxa"/>
              <w:right w:w="0" w:type="dxa"/>
            </w:tcMar>
            <w:vAlign w:val="center"/>
          </w:tcPr>
          <w:p w14:paraId="3290063A"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18282FAC" w14:textId="77777777" w:rsidTr="009508DA">
        <w:tc>
          <w:tcPr>
            <w:tcW w:w="1418" w:type="dxa"/>
            <w:vMerge/>
            <w:tcMar>
              <w:left w:w="0" w:type="dxa"/>
              <w:right w:w="0" w:type="dxa"/>
            </w:tcMar>
            <w:vAlign w:val="center"/>
          </w:tcPr>
          <w:p w14:paraId="246966AF"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A950456"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1D4635C"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(51)&gt;rising (35)</w:t>
            </w:r>
          </w:p>
        </w:tc>
        <w:tc>
          <w:tcPr>
            <w:tcW w:w="1591" w:type="dxa"/>
            <w:tcMar>
              <w:left w:w="0" w:type="dxa"/>
              <w:right w:w="0" w:type="dxa"/>
            </w:tcMar>
            <w:vAlign w:val="center"/>
          </w:tcPr>
          <w:p w14:paraId="0BF48D87"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0.071±0.056</w:t>
            </w:r>
          </w:p>
        </w:tc>
        <w:tc>
          <w:tcPr>
            <w:tcW w:w="879" w:type="dxa"/>
            <w:tcMar>
              <w:left w:w="0" w:type="dxa"/>
              <w:right w:w="0" w:type="dxa"/>
            </w:tcMar>
            <w:vAlign w:val="center"/>
          </w:tcPr>
          <w:p w14:paraId="3FE623FF"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1.268</w:t>
            </w:r>
          </w:p>
        </w:tc>
        <w:tc>
          <w:tcPr>
            <w:tcW w:w="879" w:type="dxa"/>
            <w:tcMar>
              <w:left w:w="0" w:type="dxa"/>
              <w:right w:w="0" w:type="dxa"/>
            </w:tcMar>
            <w:vAlign w:val="center"/>
          </w:tcPr>
          <w:p w14:paraId="7AFFD110"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0.711</w:t>
            </w:r>
          </w:p>
        </w:tc>
        <w:tc>
          <w:tcPr>
            <w:tcW w:w="524" w:type="dxa"/>
            <w:tcMar>
              <w:left w:w="0" w:type="dxa"/>
              <w:right w:w="0" w:type="dxa"/>
            </w:tcMar>
            <w:vAlign w:val="center"/>
          </w:tcPr>
          <w:p w14:paraId="4304547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5A016AA9" w14:textId="77777777" w:rsidTr="009508DA">
        <w:tc>
          <w:tcPr>
            <w:tcW w:w="1418" w:type="dxa"/>
            <w:vMerge/>
            <w:tcMar>
              <w:left w:w="0" w:type="dxa"/>
              <w:right w:w="0" w:type="dxa"/>
            </w:tcMar>
            <w:vAlign w:val="center"/>
          </w:tcPr>
          <w:p w14:paraId="58B98AF0"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6113EE87"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54B2ACF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rising (35)&gt;high-level (55)</w:t>
            </w:r>
          </w:p>
        </w:tc>
        <w:tc>
          <w:tcPr>
            <w:tcW w:w="1591" w:type="dxa"/>
            <w:tcMar>
              <w:left w:w="0" w:type="dxa"/>
              <w:right w:w="0" w:type="dxa"/>
            </w:tcMar>
            <w:vAlign w:val="center"/>
          </w:tcPr>
          <w:p w14:paraId="65A2B6EE"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0.117±0.062</w:t>
            </w:r>
          </w:p>
        </w:tc>
        <w:tc>
          <w:tcPr>
            <w:tcW w:w="879" w:type="dxa"/>
            <w:tcMar>
              <w:left w:w="0" w:type="dxa"/>
              <w:right w:w="0" w:type="dxa"/>
            </w:tcMar>
            <w:vAlign w:val="center"/>
          </w:tcPr>
          <w:p w14:paraId="2E50A693"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1.887</w:t>
            </w:r>
          </w:p>
        </w:tc>
        <w:tc>
          <w:tcPr>
            <w:tcW w:w="879" w:type="dxa"/>
            <w:tcMar>
              <w:left w:w="0" w:type="dxa"/>
              <w:right w:w="0" w:type="dxa"/>
            </w:tcMar>
            <w:vAlign w:val="center"/>
          </w:tcPr>
          <w:p w14:paraId="67130E45"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0.362</w:t>
            </w:r>
          </w:p>
        </w:tc>
        <w:tc>
          <w:tcPr>
            <w:tcW w:w="524" w:type="dxa"/>
            <w:tcMar>
              <w:left w:w="0" w:type="dxa"/>
              <w:right w:w="0" w:type="dxa"/>
            </w:tcMar>
            <w:vAlign w:val="center"/>
          </w:tcPr>
          <w:p w14:paraId="6117681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57E88A90" w14:textId="77777777" w:rsidTr="009508DA">
        <w:tc>
          <w:tcPr>
            <w:tcW w:w="1418" w:type="dxa"/>
            <w:vMerge/>
            <w:tcMar>
              <w:left w:w="0" w:type="dxa"/>
              <w:right w:w="0" w:type="dxa"/>
            </w:tcMar>
            <w:vAlign w:val="center"/>
          </w:tcPr>
          <w:p w14:paraId="0365BE9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14DA7F4"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B313A92"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(51)&gt;high-level (55)</w:t>
            </w:r>
          </w:p>
        </w:tc>
        <w:tc>
          <w:tcPr>
            <w:tcW w:w="1591" w:type="dxa"/>
            <w:tcMar>
              <w:left w:w="0" w:type="dxa"/>
              <w:right w:w="0" w:type="dxa"/>
            </w:tcMar>
            <w:vAlign w:val="center"/>
          </w:tcPr>
          <w:p w14:paraId="3AA0C157"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0.188±0.077</w:t>
            </w:r>
          </w:p>
        </w:tc>
        <w:tc>
          <w:tcPr>
            <w:tcW w:w="879" w:type="dxa"/>
            <w:tcMar>
              <w:left w:w="0" w:type="dxa"/>
              <w:right w:w="0" w:type="dxa"/>
            </w:tcMar>
            <w:vAlign w:val="center"/>
          </w:tcPr>
          <w:p w14:paraId="4425F954"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2.439</w:t>
            </w:r>
          </w:p>
        </w:tc>
        <w:tc>
          <w:tcPr>
            <w:tcW w:w="879" w:type="dxa"/>
            <w:tcMar>
              <w:left w:w="0" w:type="dxa"/>
              <w:right w:w="0" w:type="dxa"/>
            </w:tcMar>
            <w:vAlign w:val="center"/>
          </w:tcPr>
          <w:p w14:paraId="7FDAD35E"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0.122</w:t>
            </w:r>
          </w:p>
        </w:tc>
        <w:tc>
          <w:tcPr>
            <w:tcW w:w="524" w:type="dxa"/>
            <w:tcMar>
              <w:left w:w="0" w:type="dxa"/>
              <w:right w:w="0" w:type="dxa"/>
            </w:tcMar>
            <w:vAlign w:val="center"/>
          </w:tcPr>
          <w:p w14:paraId="08EBC4C6"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10054CB1" w14:textId="77777777" w:rsidTr="009508DA">
        <w:tc>
          <w:tcPr>
            <w:tcW w:w="1418" w:type="dxa"/>
            <w:vMerge/>
            <w:tcMar>
              <w:left w:w="0" w:type="dxa"/>
              <w:right w:w="0" w:type="dxa"/>
            </w:tcMar>
            <w:vAlign w:val="center"/>
          </w:tcPr>
          <w:p w14:paraId="0F189DB8"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val="restart"/>
            <w:tcMar>
              <w:left w:w="0" w:type="dxa"/>
              <w:right w:w="0" w:type="dxa"/>
            </w:tcMar>
            <w:vAlign w:val="center"/>
          </w:tcPr>
          <w:p w14:paraId="3E67426F"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Anticipatory</w:t>
            </w:r>
          </w:p>
        </w:tc>
        <w:tc>
          <w:tcPr>
            <w:tcW w:w="2835" w:type="dxa"/>
            <w:tcMar>
              <w:left w:w="0" w:type="dxa"/>
              <w:right w:w="0" w:type="dxa"/>
            </w:tcMar>
            <w:vAlign w:val="center"/>
          </w:tcPr>
          <w:p w14:paraId="1A6C64B5"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mid-level (33)&gt;low (21)</w:t>
            </w:r>
          </w:p>
        </w:tc>
        <w:tc>
          <w:tcPr>
            <w:tcW w:w="1591" w:type="dxa"/>
            <w:tcMar>
              <w:left w:w="0" w:type="dxa"/>
              <w:right w:w="0" w:type="dxa"/>
            </w:tcMar>
            <w:vAlign w:val="center"/>
          </w:tcPr>
          <w:p w14:paraId="4B603910"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0.128±0.047</w:t>
            </w:r>
          </w:p>
        </w:tc>
        <w:tc>
          <w:tcPr>
            <w:tcW w:w="879" w:type="dxa"/>
            <w:tcMar>
              <w:left w:w="0" w:type="dxa"/>
              <w:right w:w="0" w:type="dxa"/>
            </w:tcMar>
            <w:vAlign w:val="center"/>
          </w:tcPr>
          <w:p w14:paraId="4579F553"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2.749</w:t>
            </w:r>
          </w:p>
        </w:tc>
        <w:tc>
          <w:tcPr>
            <w:tcW w:w="879" w:type="dxa"/>
            <w:tcMar>
              <w:left w:w="0" w:type="dxa"/>
              <w:right w:w="0" w:type="dxa"/>
            </w:tcMar>
            <w:vAlign w:val="center"/>
          </w:tcPr>
          <w:p w14:paraId="72C55B2C"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0.032</w:t>
            </w:r>
          </w:p>
        </w:tc>
        <w:tc>
          <w:tcPr>
            <w:tcW w:w="524" w:type="dxa"/>
            <w:tcMar>
              <w:left w:w="0" w:type="dxa"/>
              <w:right w:w="0" w:type="dxa"/>
            </w:tcMar>
            <w:vAlign w:val="center"/>
          </w:tcPr>
          <w:p w14:paraId="1847A80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61E14057" w14:textId="77777777" w:rsidTr="009508DA">
        <w:tc>
          <w:tcPr>
            <w:tcW w:w="1418" w:type="dxa"/>
            <w:vMerge/>
            <w:tcMar>
              <w:left w:w="0" w:type="dxa"/>
              <w:right w:w="0" w:type="dxa"/>
            </w:tcMar>
            <w:vAlign w:val="center"/>
          </w:tcPr>
          <w:p w14:paraId="365BCE5C"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B0871C4"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0E015DF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(51)&gt;low (21)</w:t>
            </w:r>
          </w:p>
        </w:tc>
        <w:tc>
          <w:tcPr>
            <w:tcW w:w="1591" w:type="dxa"/>
            <w:tcMar>
              <w:left w:w="0" w:type="dxa"/>
              <w:right w:w="0" w:type="dxa"/>
            </w:tcMar>
            <w:vAlign w:val="center"/>
          </w:tcPr>
          <w:p w14:paraId="657DDC69"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0.145±0.046</w:t>
            </w:r>
          </w:p>
        </w:tc>
        <w:tc>
          <w:tcPr>
            <w:tcW w:w="879" w:type="dxa"/>
            <w:tcMar>
              <w:left w:w="0" w:type="dxa"/>
              <w:right w:w="0" w:type="dxa"/>
            </w:tcMar>
            <w:vAlign w:val="center"/>
          </w:tcPr>
          <w:p w14:paraId="287D9DA2"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3.144</w:t>
            </w:r>
          </w:p>
        </w:tc>
        <w:tc>
          <w:tcPr>
            <w:tcW w:w="879" w:type="dxa"/>
            <w:tcMar>
              <w:left w:w="0" w:type="dxa"/>
              <w:right w:w="0" w:type="dxa"/>
            </w:tcMar>
            <w:vAlign w:val="center"/>
          </w:tcPr>
          <w:p w14:paraId="7615227F"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0.009</w:t>
            </w:r>
          </w:p>
        </w:tc>
        <w:tc>
          <w:tcPr>
            <w:tcW w:w="524" w:type="dxa"/>
            <w:tcMar>
              <w:left w:w="0" w:type="dxa"/>
              <w:right w:w="0" w:type="dxa"/>
            </w:tcMar>
            <w:vAlign w:val="center"/>
          </w:tcPr>
          <w:p w14:paraId="23D94964"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76BB06D7" w14:textId="77777777" w:rsidTr="009508DA">
        <w:tc>
          <w:tcPr>
            <w:tcW w:w="1418" w:type="dxa"/>
            <w:vMerge/>
            <w:tcMar>
              <w:left w:w="0" w:type="dxa"/>
              <w:right w:w="0" w:type="dxa"/>
            </w:tcMar>
            <w:vAlign w:val="center"/>
          </w:tcPr>
          <w:p w14:paraId="196E4098"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35B0CBC7"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5A8672D9"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(21)&gt;high-level (55)</w:t>
            </w:r>
          </w:p>
        </w:tc>
        <w:tc>
          <w:tcPr>
            <w:tcW w:w="1591" w:type="dxa"/>
            <w:tcMar>
              <w:left w:w="0" w:type="dxa"/>
              <w:right w:w="0" w:type="dxa"/>
            </w:tcMar>
            <w:vAlign w:val="center"/>
          </w:tcPr>
          <w:p w14:paraId="72F0DBB3"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0.027±0.044</w:t>
            </w:r>
          </w:p>
        </w:tc>
        <w:tc>
          <w:tcPr>
            <w:tcW w:w="879" w:type="dxa"/>
            <w:tcMar>
              <w:left w:w="0" w:type="dxa"/>
              <w:right w:w="0" w:type="dxa"/>
            </w:tcMar>
            <w:vAlign w:val="center"/>
          </w:tcPr>
          <w:p w14:paraId="1D295F4F"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0.612</w:t>
            </w:r>
          </w:p>
        </w:tc>
        <w:tc>
          <w:tcPr>
            <w:tcW w:w="879" w:type="dxa"/>
            <w:tcMar>
              <w:left w:w="0" w:type="dxa"/>
              <w:right w:w="0" w:type="dxa"/>
            </w:tcMar>
            <w:vAlign w:val="center"/>
          </w:tcPr>
          <w:p w14:paraId="573A2826"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0.928</w:t>
            </w:r>
          </w:p>
        </w:tc>
        <w:tc>
          <w:tcPr>
            <w:tcW w:w="524" w:type="dxa"/>
            <w:tcMar>
              <w:left w:w="0" w:type="dxa"/>
              <w:right w:w="0" w:type="dxa"/>
            </w:tcMar>
            <w:vAlign w:val="center"/>
          </w:tcPr>
          <w:p w14:paraId="6D231A76"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65A0CC7A" w14:textId="77777777" w:rsidTr="009508DA">
        <w:tc>
          <w:tcPr>
            <w:tcW w:w="1418" w:type="dxa"/>
            <w:vMerge/>
            <w:tcMar>
              <w:left w:w="0" w:type="dxa"/>
              <w:right w:w="0" w:type="dxa"/>
            </w:tcMar>
            <w:vAlign w:val="center"/>
          </w:tcPr>
          <w:p w14:paraId="00026E8E"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857E838"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5F7493BF"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(51)&gt;mid-level (33)</w:t>
            </w:r>
          </w:p>
        </w:tc>
        <w:tc>
          <w:tcPr>
            <w:tcW w:w="1591" w:type="dxa"/>
            <w:tcMar>
              <w:left w:w="0" w:type="dxa"/>
              <w:right w:w="0" w:type="dxa"/>
            </w:tcMar>
            <w:vAlign w:val="center"/>
          </w:tcPr>
          <w:p w14:paraId="1654E121"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0.017±0.053</w:t>
            </w:r>
          </w:p>
        </w:tc>
        <w:tc>
          <w:tcPr>
            <w:tcW w:w="879" w:type="dxa"/>
            <w:tcMar>
              <w:left w:w="0" w:type="dxa"/>
              <w:right w:w="0" w:type="dxa"/>
            </w:tcMar>
            <w:vAlign w:val="center"/>
          </w:tcPr>
          <w:p w14:paraId="514D6131"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0.308</w:t>
            </w:r>
          </w:p>
        </w:tc>
        <w:tc>
          <w:tcPr>
            <w:tcW w:w="879" w:type="dxa"/>
            <w:tcMar>
              <w:left w:w="0" w:type="dxa"/>
              <w:right w:w="0" w:type="dxa"/>
            </w:tcMar>
            <w:vAlign w:val="center"/>
          </w:tcPr>
          <w:p w14:paraId="2096631A"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0.990</w:t>
            </w:r>
          </w:p>
        </w:tc>
        <w:tc>
          <w:tcPr>
            <w:tcW w:w="524" w:type="dxa"/>
            <w:tcMar>
              <w:left w:w="0" w:type="dxa"/>
              <w:right w:w="0" w:type="dxa"/>
            </w:tcMar>
            <w:vAlign w:val="center"/>
          </w:tcPr>
          <w:p w14:paraId="4464AF2B"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r>
      <w:tr w:rsidR="00FA40F7" w:rsidRPr="00EB73AF" w14:paraId="5DD8CD28" w14:textId="77777777" w:rsidTr="009508DA">
        <w:tc>
          <w:tcPr>
            <w:tcW w:w="1418" w:type="dxa"/>
            <w:vMerge/>
            <w:tcMar>
              <w:left w:w="0" w:type="dxa"/>
              <w:right w:w="0" w:type="dxa"/>
            </w:tcMar>
            <w:vAlign w:val="center"/>
          </w:tcPr>
          <w:p w14:paraId="64D1459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4B670FC3"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BD4933E"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mid-level (33)&gt;high-level (55)</w:t>
            </w:r>
          </w:p>
        </w:tc>
        <w:tc>
          <w:tcPr>
            <w:tcW w:w="1591" w:type="dxa"/>
            <w:tcMar>
              <w:left w:w="0" w:type="dxa"/>
              <w:right w:w="0" w:type="dxa"/>
            </w:tcMar>
            <w:vAlign w:val="center"/>
          </w:tcPr>
          <w:p w14:paraId="35217E7A"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0.155±0.043</w:t>
            </w:r>
          </w:p>
        </w:tc>
        <w:tc>
          <w:tcPr>
            <w:tcW w:w="879" w:type="dxa"/>
            <w:tcMar>
              <w:left w:w="0" w:type="dxa"/>
              <w:right w:w="0" w:type="dxa"/>
            </w:tcMar>
            <w:vAlign w:val="center"/>
          </w:tcPr>
          <w:p w14:paraId="60FDD6B3"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3.656</w:t>
            </w:r>
          </w:p>
        </w:tc>
        <w:tc>
          <w:tcPr>
            <w:tcW w:w="879" w:type="dxa"/>
            <w:tcMar>
              <w:left w:w="0" w:type="dxa"/>
              <w:right w:w="0" w:type="dxa"/>
            </w:tcMar>
            <w:vAlign w:val="center"/>
          </w:tcPr>
          <w:p w14:paraId="05227CB4" w14:textId="77777777" w:rsidR="00FA40F7" w:rsidRPr="00EB73AF" w:rsidRDefault="00FA40F7" w:rsidP="009508DA">
            <w:pPr>
              <w:pStyle w:val="JASABodyText"/>
              <w:spacing w:line="240" w:lineRule="auto"/>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0.002</w:t>
            </w:r>
          </w:p>
        </w:tc>
        <w:tc>
          <w:tcPr>
            <w:tcW w:w="524" w:type="dxa"/>
            <w:tcMar>
              <w:left w:w="0" w:type="dxa"/>
              <w:right w:w="0" w:type="dxa"/>
            </w:tcMar>
            <w:vAlign w:val="center"/>
          </w:tcPr>
          <w:p w14:paraId="1716B98B" w14:textId="77777777" w:rsidR="00FA40F7" w:rsidRPr="00EB73AF" w:rsidRDefault="00FA40F7" w:rsidP="009508DA">
            <w:pPr>
              <w:pStyle w:val="JASABodyText"/>
              <w:spacing w:line="240" w:lineRule="auto"/>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3ABE995B" w14:textId="77777777" w:rsidTr="009508DA">
        <w:tc>
          <w:tcPr>
            <w:tcW w:w="1418" w:type="dxa"/>
            <w:vMerge/>
            <w:tcMar>
              <w:left w:w="0" w:type="dxa"/>
              <w:right w:w="0" w:type="dxa"/>
            </w:tcMar>
            <w:vAlign w:val="center"/>
          </w:tcPr>
          <w:p w14:paraId="61435231"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6EB519C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34AA2043"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(51)&gt;high-level (55)</w:t>
            </w:r>
          </w:p>
        </w:tc>
        <w:tc>
          <w:tcPr>
            <w:tcW w:w="1591" w:type="dxa"/>
            <w:tcMar>
              <w:left w:w="0" w:type="dxa"/>
              <w:right w:w="0" w:type="dxa"/>
            </w:tcMar>
            <w:vAlign w:val="center"/>
          </w:tcPr>
          <w:p w14:paraId="7DA47CA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0.172±0.055</w:t>
            </w:r>
          </w:p>
        </w:tc>
        <w:tc>
          <w:tcPr>
            <w:tcW w:w="879" w:type="dxa"/>
            <w:tcMar>
              <w:left w:w="0" w:type="dxa"/>
              <w:right w:w="0" w:type="dxa"/>
            </w:tcMar>
            <w:vAlign w:val="center"/>
          </w:tcPr>
          <w:p w14:paraId="2A50375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3.124</w:t>
            </w:r>
          </w:p>
        </w:tc>
        <w:tc>
          <w:tcPr>
            <w:tcW w:w="879" w:type="dxa"/>
            <w:tcMar>
              <w:left w:w="0" w:type="dxa"/>
              <w:right w:w="0" w:type="dxa"/>
            </w:tcMar>
            <w:vAlign w:val="center"/>
          </w:tcPr>
          <w:p w14:paraId="6266EDEC"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0.013</w:t>
            </w:r>
          </w:p>
        </w:tc>
        <w:tc>
          <w:tcPr>
            <w:tcW w:w="524" w:type="dxa"/>
            <w:tcMar>
              <w:left w:w="0" w:type="dxa"/>
              <w:right w:w="0" w:type="dxa"/>
            </w:tcMar>
            <w:vAlign w:val="center"/>
          </w:tcPr>
          <w:p w14:paraId="21C26C39"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5939AFE1" w14:textId="77777777" w:rsidTr="009508DA">
        <w:tc>
          <w:tcPr>
            <w:tcW w:w="1418" w:type="dxa"/>
            <w:vMerge w:val="restart"/>
            <w:tcMar>
              <w:left w:w="0" w:type="dxa"/>
              <w:right w:w="0" w:type="dxa"/>
            </w:tcMar>
            <w:vAlign w:val="center"/>
          </w:tcPr>
          <w:p w14:paraId="3D0DF8F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TM (monolingual)</w:t>
            </w:r>
          </w:p>
        </w:tc>
        <w:tc>
          <w:tcPr>
            <w:tcW w:w="1276" w:type="dxa"/>
            <w:vMerge w:val="restart"/>
            <w:tcMar>
              <w:left w:w="0" w:type="dxa"/>
              <w:right w:w="0" w:type="dxa"/>
            </w:tcMar>
            <w:vAlign w:val="center"/>
          </w:tcPr>
          <w:p w14:paraId="5C14414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Carryover</w:t>
            </w:r>
          </w:p>
        </w:tc>
        <w:tc>
          <w:tcPr>
            <w:tcW w:w="2835" w:type="dxa"/>
            <w:tcMar>
              <w:left w:w="0" w:type="dxa"/>
              <w:right w:w="0" w:type="dxa"/>
            </w:tcMar>
            <w:vAlign w:val="center"/>
          </w:tcPr>
          <w:p w14:paraId="1019AADF"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(21)&gt;rising (35)</w:t>
            </w:r>
          </w:p>
        </w:tc>
        <w:tc>
          <w:tcPr>
            <w:tcW w:w="1591" w:type="dxa"/>
            <w:tcMar>
              <w:left w:w="0" w:type="dxa"/>
              <w:right w:w="0" w:type="dxa"/>
            </w:tcMar>
            <w:vAlign w:val="center"/>
          </w:tcPr>
          <w:p w14:paraId="43BCF192"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0.055±0.078</w:t>
            </w:r>
          </w:p>
        </w:tc>
        <w:tc>
          <w:tcPr>
            <w:tcW w:w="879" w:type="dxa"/>
            <w:tcMar>
              <w:left w:w="0" w:type="dxa"/>
              <w:right w:w="0" w:type="dxa"/>
            </w:tcMar>
            <w:vAlign w:val="center"/>
          </w:tcPr>
          <w:p w14:paraId="428C4F99"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0.709</w:t>
            </w:r>
          </w:p>
        </w:tc>
        <w:tc>
          <w:tcPr>
            <w:tcW w:w="879" w:type="dxa"/>
            <w:tcMar>
              <w:left w:w="0" w:type="dxa"/>
              <w:right w:w="0" w:type="dxa"/>
            </w:tcMar>
            <w:vAlign w:val="center"/>
          </w:tcPr>
          <w:p w14:paraId="1BD66718"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0.893</w:t>
            </w:r>
          </w:p>
        </w:tc>
        <w:tc>
          <w:tcPr>
            <w:tcW w:w="524" w:type="dxa"/>
            <w:tcMar>
              <w:left w:w="0" w:type="dxa"/>
              <w:right w:w="0" w:type="dxa"/>
            </w:tcMar>
            <w:vAlign w:val="center"/>
          </w:tcPr>
          <w:p w14:paraId="0B3DB447"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4030518D" w14:textId="77777777" w:rsidTr="009508DA">
        <w:tc>
          <w:tcPr>
            <w:tcW w:w="1418" w:type="dxa"/>
            <w:vMerge/>
            <w:tcMar>
              <w:left w:w="0" w:type="dxa"/>
              <w:right w:w="0" w:type="dxa"/>
            </w:tcMar>
            <w:vAlign w:val="center"/>
          </w:tcPr>
          <w:p w14:paraId="151D2B6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1B16A7AC"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F2B2D20"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(51)&gt;low (21)</w:t>
            </w:r>
          </w:p>
        </w:tc>
        <w:tc>
          <w:tcPr>
            <w:tcW w:w="1591" w:type="dxa"/>
            <w:tcMar>
              <w:left w:w="0" w:type="dxa"/>
              <w:right w:w="0" w:type="dxa"/>
            </w:tcMar>
            <w:vAlign w:val="center"/>
          </w:tcPr>
          <w:p w14:paraId="466F14F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0.250±0.082</w:t>
            </w:r>
          </w:p>
        </w:tc>
        <w:tc>
          <w:tcPr>
            <w:tcW w:w="879" w:type="dxa"/>
            <w:tcMar>
              <w:left w:w="0" w:type="dxa"/>
              <w:right w:w="0" w:type="dxa"/>
            </w:tcMar>
            <w:vAlign w:val="center"/>
          </w:tcPr>
          <w:p w14:paraId="2E83461B"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3.041</w:t>
            </w:r>
          </w:p>
        </w:tc>
        <w:tc>
          <w:tcPr>
            <w:tcW w:w="879" w:type="dxa"/>
            <w:tcMar>
              <w:left w:w="0" w:type="dxa"/>
              <w:right w:w="0" w:type="dxa"/>
            </w:tcMar>
            <w:vAlign w:val="center"/>
          </w:tcPr>
          <w:p w14:paraId="7D254A8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0.039</w:t>
            </w:r>
          </w:p>
        </w:tc>
        <w:tc>
          <w:tcPr>
            <w:tcW w:w="524" w:type="dxa"/>
            <w:tcMar>
              <w:left w:w="0" w:type="dxa"/>
              <w:right w:w="0" w:type="dxa"/>
            </w:tcMar>
            <w:vAlign w:val="center"/>
          </w:tcPr>
          <w:p w14:paraId="1AA828C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4570C12C" w14:textId="77777777" w:rsidTr="009508DA">
        <w:tc>
          <w:tcPr>
            <w:tcW w:w="1418" w:type="dxa"/>
            <w:vMerge/>
            <w:tcMar>
              <w:left w:w="0" w:type="dxa"/>
              <w:right w:w="0" w:type="dxa"/>
            </w:tcMar>
            <w:vAlign w:val="center"/>
          </w:tcPr>
          <w:p w14:paraId="18B5551C"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F8EC033"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22706B1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high-level (55)&gt;low (21)</w:t>
            </w:r>
          </w:p>
        </w:tc>
        <w:tc>
          <w:tcPr>
            <w:tcW w:w="1591" w:type="dxa"/>
            <w:tcMar>
              <w:left w:w="0" w:type="dxa"/>
              <w:right w:w="0" w:type="dxa"/>
            </w:tcMar>
            <w:vAlign w:val="center"/>
          </w:tcPr>
          <w:p w14:paraId="4DC9809D"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0.071±0.113</w:t>
            </w:r>
          </w:p>
        </w:tc>
        <w:tc>
          <w:tcPr>
            <w:tcW w:w="879" w:type="dxa"/>
            <w:tcMar>
              <w:left w:w="0" w:type="dxa"/>
              <w:right w:w="0" w:type="dxa"/>
            </w:tcMar>
            <w:vAlign w:val="center"/>
          </w:tcPr>
          <w:p w14:paraId="4657DB68"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0.630</w:t>
            </w:r>
          </w:p>
        </w:tc>
        <w:tc>
          <w:tcPr>
            <w:tcW w:w="879" w:type="dxa"/>
            <w:tcMar>
              <w:left w:w="0" w:type="dxa"/>
              <w:right w:w="0" w:type="dxa"/>
            </w:tcMar>
            <w:vAlign w:val="center"/>
          </w:tcPr>
          <w:p w14:paraId="3388EC7D"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0.919</w:t>
            </w:r>
          </w:p>
        </w:tc>
        <w:tc>
          <w:tcPr>
            <w:tcW w:w="524" w:type="dxa"/>
            <w:tcMar>
              <w:left w:w="0" w:type="dxa"/>
              <w:right w:w="0" w:type="dxa"/>
            </w:tcMar>
            <w:vAlign w:val="center"/>
          </w:tcPr>
          <w:p w14:paraId="26E54ABB"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52628390" w14:textId="77777777" w:rsidTr="009508DA">
        <w:tc>
          <w:tcPr>
            <w:tcW w:w="1418" w:type="dxa"/>
            <w:vMerge/>
            <w:tcMar>
              <w:left w:w="0" w:type="dxa"/>
              <w:right w:w="0" w:type="dxa"/>
            </w:tcMar>
            <w:vAlign w:val="center"/>
          </w:tcPr>
          <w:p w14:paraId="11AF9BA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18F29036"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2C9332D9"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(51)&gt;rising (35)</w:t>
            </w:r>
          </w:p>
        </w:tc>
        <w:tc>
          <w:tcPr>
            <w:tcW w:w="1591" w:type="dxa"/>
            <w:tcMar>
              <w:left w:w="0" w:type="dxa"/>
              <w:right w:w="0" w:type="dxa"/>
            </w:tcMar>
            <w:vAlign w:val="center"/>
          </w:tcPr>
          <w:p w14:paraId="26127065"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0.305±0.064</w:t>
            </w:r>
          </w:p>
        </w:tc>
        <w:tc>
          <w:tcPr>
            <w:tcW w:w="879" w:type="dxa"/>
            <w:tcMar>
              <w:left w:w="0" w:type="dxa"/>
              <w:right w:w="0" w:type="dxa"/>
            </w:tcMar>
            <w:vAlign w:val="center"/>
          </w:tcPr>
          <w:p w14:paraId="2C6EAA0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4.801</w:t>
            </w:r>
          </w:p>
        </w:tc>
        <w:tc>
          <w:tcPr>
            <w:tcW w:w="879" w:type="dxa"/>
            <w:tcMar>
              <w:left w:w="0" w:type="dxa"/>
              <w:right w:w="0" w:type="dxa"/>
            </w:tcMar>
            <w:vAlign w:val="center"/>
          </w:tcPr>
          <w:p w14:paraId="2C7ED359"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24" w:type="dxa"/>
            <w:tcMar>
              <w:left w:w="0" w:type="dxa"/>
              <w:right w:w="0" w:type="dxa"/>
            </w:tcMar>
            <w:vAlign w:val="center"/>
          </w:tcPr>
          <w:p w14:paraId="187EC54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657F9F89" w14:textId="77777777" w:rsidTr="009508DA">
        <w:tc>
          <w:tcPr>
            <w:tcW w:w="1418" w:type="dxa"/>
            <w:vMerge/>
            <w:tcMar>
              <w:left w:w="0" w:type="dxa"/>
              <w:right w:w="0" w:type="dxa"/>
            </w:tcMar>
            <w:vAlign w:val="center"/>
          </w:tcPr>
          <w:p w14:paraId="285E1E8E"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3DC6EF00"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13CB9C6F"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high-level (55)&gt;rising (35)</w:t>
            </w:r>
          </w:p>
        </w:tc>
        <w:tc>
          <w:tcPr>
            <w:tcW w:w="1591" w:type="dxa"/>
            <w:tcMar>
              <w:left w:w="0" w:type="dxa"/>
              <w:right w:w="0" w:type="dxa"/>
            </w:tcMar>
            <w:vAlign w:val="center"/>
          </w:tcPr>
          <w:p w14:paraId="053D021B"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0.127±0.082</w:t>
            </w:r>
          </w:p>
        </w:tc>
        <w:tc>
          <w:tcPr>
            <w:tcW w:w="879" w:type="dxa"/>
            <w:tcMar>
              <w:left w:w="0" w:type="dxa"/>
              <w:right w:w="0" w:type="dxa"/>
            </w:tcMar>
            <w:vAlign w:val="center"/>
          </w:tcPr>
          <w:p w14:paraId="108666A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1.553</w:t>
            </w:r>
          </w:p>
        </w:tc>
        <w:tc>
          <w:tcPr>
            <w:tcW w:w="879" w:type="dxa"/>
            <w:tcMar>
              <w:left w:w="0" w:type="dxa"/>
              <w:right w:w="0" w:type="dxa"/>
            </w:tcMar>
            <w:vAlign w:val="center"/>
          </w:tcPr>
          <w:p w14:paraId="0F1BF766"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0.413</w:t>
            </w:r>
          </w:p>
        </w:tc>
        <w:tc>
          <w:tcPr>
            <w:tcW w:w="524" w:type="dxa"/>
            <w:tcMar>
              <w:left w:w="0" w:type="dxa"/>
              <w:right w:w="0" w:type="dxa"/>
            </w:tcMar>
            <w:vAlign w:val="center"/>
          </w:tcPr>
          <w:p w14:paraId="3EEEAD6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0D452763" w14:textId="77777777" w:rsidTr="009508DA">
        <w:tc>
          <w:tcPr>
            <w:tcW w:w="1418" w:type="dxa"/>
            <w:vMerge/>
            <w:tcMar>
              <w:left w:w="0" w:type="dxa"/>
              <w:right w:w="0" w:type="dxa"/>
            </w:tcMar>
            <w:vAlign w:val="center"/>
          </w:tcPr>
          <w:p w14:paraId="6C18376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812C5E1"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033E49FE"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(51)&gt;high-level (55)</w:t>
            </w:r>
          </w:p>
        </w:tc>
        <w:tc>
          <w:tcPr>
            <w:tcW w:w="1591" w:type="dxa"/>
            <w:tcMar>
              <w:left w:w="0" w:type="dxa"/>
              <w:right w:w="0" w:type="dxa"/>
            </w:tcMar>
            <w:vAlign w:val="center"/>
          </w:tcPr>
          <w:p w14:paraId="07A9557E"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0.179±0.066</w:t>
            </w:r>
          </w:p>
        </w:tc>
        <w:tc>
          <w:tcPr>
            <w:tcW w:w="879" w:type="dxa"/>
            <w:tcMar>
              <w:left w:w="0" w:type="dxa"/>
              <w:right w:w="0" w:type="dxa"/>
            </w:tcMar>
            <w:vAlign w:val="center"/>
          </w:tcPr>
          <w:p w14:paraId="0641697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2.692</w:t>
            </w:r>
          </w:p>
        </w:tc>
        <w:tc>
          <w:tcPr>
            <w:tcW w:w="879" w:type="dxa"/>
            <w:tcMar>
              <w:left w:w="0" w:type="dxa"/>
              <w:right w:w="0" w:type="dxa"/>
            </w:tcMar>
            <w:vAlign w:val="center"/>
          </w:tcPr>
          <w:p w14:paraId="1676D408"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0.037</w:t>
            </w:r>
          </w:p>
        </w:tc>
        <w:tc>
          <w:tcPr>
            <w:tcW w:w="524" w:type="dxa"/>
            <w:tcMar>
              <w:left w:w="0" w:type="dxa"/>
              <w:right w:w="0" w:type="dxa"/>
            </w:tcMar>
            <w:vAlign w:val="center"/>
          </w:tcPr>
          <w:p w14:paraId="67B1062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5C8C87D5" w14:textId="77777777" w:rsidTr="009508DA">
        <w:tc>
          <w:tcPr>
            <w:tcW w:w="1418" w:type="dxa"/>
            <w:vMerge/>
            <w:tcMar>
              <w:left w:w="0" w:type="dxa"/>
              <w:right w:w="0" w:type="dxa"/>
            </w:tcMar>
            <w:vAlign w:val="center"/>
          </w:tcPr>
          <w:p w14:paraId="3104BD0F"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val="restart"/>
            <w:tcMar>
              <w:left w:w="0" w:type="dxa"/>
              <w:right w:w="0" w:type="dxa"/>
            </w:tcMar>
            <w:vAlign w:val="center"/>
          </w:tcPr>
          <w:p w14:paraId="1DD5B5D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Anticipatory</w:t>
            </w:r>
          </w:p>
        </w:tc>
        <w:tc>
          <w:tcPr>
            <w:tcW w:w="2835" w:type="dxa"/>
            <w:tcMar>
              <w:left w:w="0" w:type="dxa"/>
              <w:right w:w="0" w:type="dxa"/>
            </w:tcMar>
            <w:vAlign w:val="center"/>
          </w:tcPr>
          <w:p w14:paraId="2AAE380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(21)&gt;rising (35)</w:t>
            </w:r>
          </w:p>
        </w:tc>
        <w:tc>
          <w:tcPr>
            <w:tcW w:w="1591" w:type="dxa"/>
            <w:tcMar>
              <w:left w:w="0" w:type="dxa"/>
              <w:right w:w="0" w:type="dxa"/>
            </w:tcMar>
            <w:vAlign w:val="center"/>
          </w:tcPr>
          <w:p w14:paraId="78A8111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0.312±0.089</w:t>
            </w:r>
          </w:p>
        </w:tc>
        <w:tc>
          <w:tcPr>
            <w:tcW w:w="879" w:type="dxa"/>
            <w:tcMar>
              <w:left w:w="0" w:type="dxa"/>
              <w:right w:w="0" w:type="dxa"/>
            </w:tcMar>
            <w:vAlign w:val="center"/>
          </w:tcPr>
          <w:p w14:paraId="62A5D562"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3.506</w:t>
            </w:r>
          </w:p>
        </w:tc>
        <w:tc>
          <w:tcPr>
            <w:tcW w:w="879" w:type="dxa"/>
            <w:tcMar>
              <w:left w:w="0" w:type="dxa"/>
              <w:right w:w="0" w:type="dxa"/>
            </w:tcMar>
            <w:vAlign w:val="center"/>
          </w:tcPr>
          <w:p w14:paraId="0EF80BDD"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0.003</w:t>
            </w:r>
          </w:p>
        </w:tc>
        <w:tc>
          <w:tcPr>
            <w:tcW w:w="524" w:type="dxa"/>
            <w:tcMar>
              <w:left w:w="0" w:type="dxa"/>
              <w:right w:w="0" w:type="dxa"/>
            </w:tcMar>
            <w:vAlign w:val="center"/>
          </w:tcPr>
          <w:p w14:paraId="5CEBC90B"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1CB51721" w14:textId="77777777" w:rsidTr="009508DA">
        <w:tc>
          <w:tcPr>
            <w:tcW w:w="1418" w:type="dxa"/>
            <w:vMerge/>
            <w:tcMar>
              <w:left w:w="0" w:type="dxa"/>
              <w:right w:w="0" w:type="dxa"/>
            </w:tcMar>
            <w:vAlign w:val="center"/>
          </w:tcPr>
          <w:p w14:paraId="1643D23E"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42E5628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75018BE3"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(21)&gt;falling (51)</w:t>
            </w:r>
          </w:p>
        </w:tc>
        <w:tc>
          <w:tcPr>
            <w:tcW w:w="1591" w:type="dxa"/>
            <w:tcMar>
              <w:left w:w="0" w:type="dxa"/>
              <w:right w:w="0" w:type="dxa"/>
            </w:tcMar>
            <w:vAlign w:val="center"/>
          </w:tcPr>
          <w:p w14:paraId="5760822B"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0.130±0.104</w:t>
            </w:r>
          </w:p>
        </w:tc>
        <w:tc>
          <w:tcPr>
            <w:tcW w:w="879" w:type="dxa"/>
            <w:tcMar>
              <w:left w:w="0" w:type="dxa"/>
              <w:right w:w="0" w:type="dxa"/>
            </w:tcMar>
            <w:vAlign w:val="center"/>
          </w:tcPr>
          <w:p w14:paraId="2C6E8B75"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1.252</w:t>
            </w:r>
          </w:p>
        </w:tc>
        <w:tc>
          <w:tcPr>
            <w:tcW w:w="879" w:type="dxa"/>
            <w:tcMar>
              <w:left w:w="0" w:type="dxa"/>
              <w:right w:w="0" w:type="dxa"/>
            </w:tcMar>
            <w:vAlign w:val="center"/>
          </w:tcPr>
          <w:p w14:paraId="27E8C732"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0.594</w:t>
            </w:r>
          </w:p>
        </w:tc>
        <w:tc>
          <w:tcPr>
            <w:tcW w:w="524" w:type="dxa"/>
            <w:tcMar>
              <w:left w:w="0" w:type="dxa"/>
              <w:right w:w="0" w:type="dxa"/>
            </w:tcMar>
            <w:vAlign w:val="center"/>
          </w:tcPr>
          <w:p w14:paraId="282E8BC7"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12F1A008" w14:textId="77777777" w:rsidTr="009508DA">
        <w:tc>
          <w:tcPr>
            <w:tcW w:w="1418" w:type="dxa"/>
            <w:vMerge/>
            <w:tcMar>
              <w:left w:w="0" w:type="dxa"/>
              <w:right w:w="0" w:type="dxa"/>
            </w:tcMar>
            <w:vAlign w:val="center"/>
          </w:tcPr>
          <w:p w14:paraId="6A450B8D"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5D913C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23D7FD21"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(21)&gt;high-level (55)</w:t>
            </w:r>
          </w:p>
        </w:tc>
        <w:tc>
          <w:tcPr>
            <w:tcW w:w="1591" w:type="dxa"/>
            <w:tcMar>
              <w:left w:w="0" w:type="dxa"/>
              <w:right w:w="0" w:type="dxa"/>
            </w:tcMar>
            <w:vAlign w:val="center"/>
          </w:tcPr>
          <w:p w14:paraId="30169403"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0.022±0.083</w:t>
            </w:r>
          </w:p>
        </w:tc>
        <w:tc>
          <w:tcPr>
            <w:tcW w:w="879" w:type="dxa"/>
            <w:tcMar>
              <w:left w:w="0" w:type="dxa"/>
              <w:right w:w="0" w:type="dxa"/>
            </w:tcMar>
            <w:vAlign w:val="center"/>
          </w:tcPr>
          <w:p w14:paraId="6D38F354"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0.264</w:t>
            </w:r>
          </w:p>
        </w:tc>
        <w:tc>
          <w:tcPr>
            <w:tcW w:w="879" w:type="dxa"/>
            <w:tcMar>
              <w:left w:w="0" w:type="dxa"/>
              <w:right w:w="0" w:type="dxa"/>
            </w:tcMar>
            <w:vAlign w:val="center"/>
          </w:tcPr>
          <w:p w14:paraId="3CDBDF38"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0.994</w:t>
            </w:r>
          </w:p>
        </w:tc>
        <w:tc>
          <w:tcPr>
            <w:tcW w:w="524" w:type="dxa"/>
            <w:tcMar>
              <w:left w:w="0" w:type="dxa"/>
              <w:right w:w="0" w:type="dxa"/>
            </w:tcMar>
            <w:vAlign w:val="center"/>
          </w:tcPr>
          <w:p w14:paraId="5A0F2B01"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55AC0DCB" w14:textId="77777777" w:rsidTr="009508DA">
        <w:tc>
          <w:tcPr>
            <w:tcW w:w="1418" w:type="dxa"/>
            <w:vMerge/>
            <w:tcMar>
              <w:left w:w="0" w:type="dxa"/>
              <w:right w:w="0" w:type="dxa"/>
            </w:tcMar>
            <w:vAlign w:val="center"/>
          </w:tcPr>
          <w:p w14:paraId="5A94FE23"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20E67D80"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56969D9"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(51)&gt;rising (35)</w:t>
            </w:r>
          </w:p>
        </w:tc>
        <w:tc>
          <w:tcPr>
            <w:tcW w:w="1591" w:type="dxa"/>
            <w:tcMar>
              <w:left w:w="0" w:type="dxa"/>
              <w:right w:w="0" w:type="dxa"/>
            </w:tcMar>
            <w:vAlign w:val="center"/>
          </w:tcPr>
          <w:p w14:paraId="780E7535"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0.183±0.065</w:t>
            </w:r>
          </w:p>
        </w:tc>
        <w:tc>
          <w:tcPr>
            <w:tcW w:w="879" w:type="dxa"/>
            <w:tcMar>
              <w:left w:w="0" w:type="dxa"/>
              <w:right w:w="0" w:type="dxa"/>
            </w:tcMar>
            <w:vAlign w:val="center"/>
          </w:tcPr>
          <w:p w14:paraId="5DB3681D"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2.800</w:t>
            </w:r>
          </w:p>
        </w:tc>
        <w:tc>
          <w:tcPr>
            <w:tcW w:w="879" w:type="dxa"/>
            <w:tcMar>
              <w:left w:w="0" w:type="dxa"/>
              <w:right w:w="0" w:type="dxa"/>
            </w:tcMar>
            <w:vAlign w:val="center"/>
          </w:tcPr>
          <w:p w14:paraId="46AE1619"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0.027</w:t>
            </w:r>
          </w:p>
        </w:tc>
        <w:tc>
          <w:tcPr>
            <w:tcW w:w="524" w:type="dxa"/>
            <w:tcMar>
              <w:left w:w="0" w:type="dxa"/>
              <w:right w:w="0" w:type="dxa"/>
            </w:tcMar>
            <w:vAlign w:val="center"/>
          </w:tcPr>
          <w:p w14:paraId="1F9296B3"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6FDEC07B" w14:textId="77777777" w:rsidTr="009508DA">
        <w:tc>
          <w:tcPr>
            <w:tcW w:w="1418" w:type="dxa"/>
            <w:vMerge/>
            <w:tcMar>
              <w:left w:w="0" w:type="dxa"/>
              <w:right w:w="0" w:type="dxa"/>
            </w:tcMar>
            <w:vAlign w:val="center"/>
          </w:tcPr>
          <w:p w14:paraId="449A0A80"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64919D99"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157F343"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high-level (55)&gt;rising (35)</w:t>
            </w:r>
          </w:p>
        </w:tc>
        <w:tc>
          <w:tcPr>
            <w:tcW w:w="1591" w:type="dxa"/>
            <w:tcMar>
              <w:left w:w="0" w:type="dxa"/>
              <w:right w:w="0" w:type="dxa"/>
            </w:tcMar>
            <w:vAlign w:val="center"/>
          </w:tcPr>
          <w:p w14:paraId="661C34C5"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0.290±0.057</w:t>
            </w:r>
          </w:p>
        </w:tc>
        <w:tc>
          <w:tcPr>
            <w:tcW w:w="879" w:type="dxa"/>
            <w:tcMar>
              <w:left w:w="0" w:type="dxa"/>
              <w:right w:w="0" w:type="dxa"/>
            </w:tcMar>
            <w:vAlign w:val="center"/>
          </w:tcPr>
          <w:p w14:paraId="632144D4"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5.095</w:t>
            </w:r>
          </w:p>
        </w:tc>
        <w:tc>
          <w:tcPr>
            <w:tcW w:w="879" w:type="dxa"/>
            <w:tcMar>
              <w:left w:w="0" w:type="dxa"/>
              <w:right w:w="0" w:type="dxa"/>
            </w:tcMar>
            <w:vAlign w:val="center"/>
          </w:tcPr>
          <w:p w14:paraId="0E5A5C00"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24" w:type="dxa"/>
            <w:tcMar>
              <w:left w:w="0" w:type="dxa"/>
              <w:right w:w="0" w:type="dxa"/>
            </w:tcMar>
            <w:vAlign w:val="center"/>
          </w:tcPr>
          <w:p w14:paraId="3B881D7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69D59268" w14:textId="77777777" w:rsidTr="009508DA">
        <w:tc>
          <w:tcPr>
            <w:tcW w:w="1418" w:type="dxa"/>
            <w:vMerge/>
            <w:tcMar>
              <w:left w:w="0" w:type="dxa"/>
              <w:right w:w="0" w:type="dxa"/>
            </w:tcMar>
            <w:vAlign w:val="center"/>
          </w:tcPr>
          <w:p w14:paraId="4F8B2A9D"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28EEB383"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6869605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high-level (55)&gt;falling (51)</w:t>
            </w:r>
          </w:p>
        </w:tc>
        <w:tc>
          <w:tcPr>
            <w:tcW w:w="1591" w:type="dxa"/>
            <w:tcMar>
              <w:left w:w="0" w:type="dxa"/>
              <w:right w:w="0" w:type="dxa"/>
            </w:tcMar>
            <w:vAlign w:val="center"/>
          </w:tcPr>
          <w:p w14:paraId="2DA1A27A"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0.108±0.082</w:t>
            </w:r>
          </w:p>
        </w:tc>
        <w:tc>
          <w:tcPr>
            <w:tcW w:w="879" w:type="dxa"/>
            <w:tcMar>
              <w:left w:w="0" w:type="dxa"/>
              <w:right w:w="0" w:type="dxa"/>
            </w:tcMar>
            <w:vAlign w:val="center"/>
          </w:tcPr>
          <w:p w14:paraId="2CE2F6FE"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1.313</w:t>
            </w:r>
          </w:p>
        </w:tc>
        <w:tc>
          <w:tcPr>
            <w:tcW w:w="879" w:type="dxa"/>
            <w:tcMar>
              <w:left w:w="0" w:type="dxa"/>
              <w:right w:w="0" w:type="dxa"/>
            </w:tcMar>
            <w:vAlign w:val="center"/>
          </w:tcPr>
          <w:p w14:paraId="1A2A2B7E"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0.559</w:t>
            </w:r>
          </w:p>
        </w:tc>
        <w:tc>
          <w:tcPr>
            <w:tcW w:w="524" w:type="dxa"/>
            <w:tcMar>
              <w:left w:w="0" w:type="dxa"/>
              <w:right w:w="0" w:type="dxa"/>
            </w:tcMar>
            <w:vAlign w:val="center"/>
          </w:tcPr>
          <w:p w14:paraId="5ED3439C"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399A4F7B" w14:textId="77777777" w:rsidTr="009508DA">
        <w:tc>
          <w:tcPr>
            <w:tcW w:w="1418" w:type="dxa"/>
            <w:vMerge w:val="restart"/>
            <w:tcMar>
              <w:left w:w="0" w:type="dxa"/>
              <w:right w:w="0" w:type="dxa"/>
            </w:tcMar>
            <w:vAlign w:val="center"/>
          </w:tcPr>
          <w:p w14:paraId="415E9EB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TM (bilingual)</w:t>
            </w:r>
          </w:p>
        </w:tc>
        <w:tc>
          <w:tcPr>
            <w:tcW w:w="1276" w:type="dxa"/>
            <w:vMerge w:val="restart"/>
            <w:tcMar>
              <w:left w:w="0" w:type="dxa"/>
              <w:right w:w="0" w:type="dxa"/>
            </w:tcMar>
            <w:vAlign w:val="center"/>
          </w:tcPr>
          <w:p w14:paraId="65FB7A6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Carryover</w:t>
            </w:r>
          </w:p>
        </w:tc>
        <w:tc>
          <w:tcPr>
            <w:tcW w:w="2835" w:type="dxa"/>
            <w:tcMar>
              <w:left w:w="0" w:type="dxa"/>
              <w:right w:w="0" w:type="dxa"/>
            </w:tcMar>
            <w:vAlign w:val="center"/>
          </w:tcPr>
          <w:p w14:paraId="7B942D97"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rising (35)&gt;low (21)</w:t>
            </w:r>
          </w:p>
        </w:tc>
        <w:tc>
          <w:tcPr>
            <w:tcW w:w="1591" w:type="dxa"/>
            <w:tcMar>
              <w:left w:w="0" w:type="dxa"/>
              <w:right w:w="0" w:type="dxa"/>
            </w:tcMar>
            <w:vAlign w:val="center"/>
          </w:tcPr>
          <w:p w14:paraId="7EA5E812"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0.007±0.092</w:t>
            </w:r>
          </w:p>
        </w:tc>
        <w:tc>
          <w:tcPr>
            <w:tcW w:w="879" w:type="dxa"/>
            <w:tcMar>
              <w:left w:w="0" w:type="dxa"/>
              <w:right w:w="0" w:type="dxa"/>
            </w:tcMar>
            <w:vAlign w:val="center"/>
          </w:tcPr>
          <w:p w14:paraId="3DC5023C"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0.076</w:t>
            </w:r>
          </w:p>
        </w:tc>
        <w:tc>
          <w:tcPr>
            <w:tcW w:w="879" w:type="dxa"/>
            <w:tcMar>
              <w:left w:w="0" w:type="dxa"/>
              <w:right w:w="0" w:type="dxa"/>
            </w:tcMar>
            <w:vAlign w:val="center"/>
          </w:tcPr>
          <w:p w14:paraId="49F38FD6"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1.000</w:t>
            </w:r>
          </w:p>
        </w:tc>
        <w:tc>
          <w:tcPr>
            <w:tcW w:w="524" w:type="dxa"/>
            <w:tcMar>
              <w:left w:w="0" w:type="dxa"/>
              <w:right w:w="0" w:type="dxa"/>
            </w:tcMar>
            <w:vAlign w:val="center"/>
          </w:tcPr>
          <w:p w14:paraId="1FE1EEFE"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7E25AA73" w14:textId="77777777" w:rsidTr="009508DA">
        <w:tc>
          <w:tcPr>
            <w:tcW w:w="1418" w:type="dxa"/>
            <w:vMerge/>
            <w:tcMar>
              <w:left w:w="0" w:type="dxa"/>
              <w:right w:w="0" w:type="dxa"/>
            </w:tcMar>
            <w:vAlign w:val="center"/>
          </w:tcPr>
          <w:p w14:paraId="6FE7E6EA"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2E9298EB"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901373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(51)&gt;low (21)</w:t>
            </w:r>
          </w:p>
        </w:tc>
        <w:tc>
          <w:tcPr>
            <w:tcW w:w="1591" w:type="dxa"/>
            <w:tcMar>
              <w:left w:w="0" w:type="dxa"/>
              <w:right w:w="0" w:type="dxa"/>
            </w:tcMar>
            <w:vAlign w:val="center"/>
          </w:tcPr>
          <w:p w14:paraId="4EB08D54"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0.100±0.082</w:t>
            </w:r>
          </w:p>
        </w:tc>
        <w:tc>
          <w:tcPr>
            <w:tcW w:w="879" w:type="dxa"/>
            <w:tcMar>
              <w:left w:w="0" w:type="dxa"/>
              <w:right w:w="0" w:type="dxa"/>
            </w:tcMar>
            <w:vAlign w:val="center"/>
          </w:tcPr>
          <w:p w14:paraId="662AA083"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1.228</w:t>
            </w:r>
          </w:p>
        </w:tc>
        <w:tc>
          <w:tcPr>
            <w:tcW w:w="879" w:type="dxa"/>
            <w:tcMar>
              <w:left w:w="0" w:type="dxa"/>
              <w:right w:w="0" w:type="dxa"/>
            </w:tcMar>
            <w:vAlign w:val="center"/>
          </w:tcPr>
          <w:p w14:paraId="0C5CA8F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0.610</w:t>
            </w:r>
          </w:p>
        </w:tc>
        <w:tc>
          <w:tcPr>
            <w:tcW w:w="524" w:type="dxa"/>
            <w:tcMar>
              <w:left w:w="0" w:type="dxa"/>
              <w:right w:w="0" w:type="dxa"/>
            </w:tcMar>
            <w:vAlign w:val="center"/>
          </w:tcPr>
          <w:p w14:paraId="59CBE539"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73DB2338" w14:textId="77777777" w:rsidTr="009508DA">
        <w:tc>
          <w:tcPr>
            <w:tcW w:w="1418" w:type="dxa"/>
            <w:vMerge/>
            <w:tcMar>
              <w:left w:w="0" w:type="dxa"/>
              <w:right w:w="0" w:type="dxa"/>
            </w:tcMar>
            <w:vAlign w:val="center"/>
          </w:tcPr>
          <w:p w14:paraId="0608E974"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1EF0BB5E"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1450CFC8"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high-level (55)&gt;low (21)</w:t>
            </w:r>
          </w:p>
        </w:tc>
        <w:tc>
          <w:tcPr>
            <w:tcW w:w="1591" w:type="dxa"/>
            <w:tcMar>
              <w:left w:w="0" w:type="dxa"/>
              <w:right w:w="0" w:type="dxa"/>
            </w:tcMar>
            <w:vAlign w:val="center"/>
          </w:tcPr>
          <w:p w14:paraId="7B3FDBD5"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0.092±0.107</w:t>
            </w:r>
          </w:p>
        </w:tc>
        <w:tc>
          <w:tcPr>
            <w:tcW w:w="879" w:type="dxa"/>
            <w:tcMar>
              <w:left w:w="0" w:type="dxa"/>
              <w:right w:w="0" w:type="dxa"/>
            </w:tcMar>
            <w:vAlign w:val="center"/>
          </w:tcPr>
          <w:p w14:paraId="5BE172B6"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0.862</w:t>
            </w:r>
          </w:p>
        </w:tc>
        <w:tc>
          <w:tcPr>
            <w:tcW w:w="879" w:type="dxa"/>
            <w:tcMar>
              <w:left w:w="0" w:type="dxa"/>
              <w:right w:w="0" w:type="dxa"/>
            </w:tcMar>
            <w:vAlign w:val="center"/>
          </w:tcPr>
          <w:p w14:paraId="72FAA56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0.825</w:t>
            </w:r>
          </w:p>
        </w:tc>
        <w:tc>
          <w:tcPr>
            <w:tcW w:w="524" w:type="dxa"/>
            <w:tcMar>
              <w:left w:w="0" w:type="dxa"/>
              <w:right w:w="0" w:type="dxa"/>
            </w:tcMar>
            <w:vAlign w:val="center"/>
          </w:tcPr>
          <w:p w14:paraId="14A75E58"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6E3AAF92" w14:textId="77777777" w:rsidTr="009508DA">
        <w:tc>
          <w:tcPr>
            <w:tcW w:w="1418" w:type="dxa"/>
            <w:vMerge/>
            <w:tcMar>
              <w:left w:w="0" w:type="dxa"/>
              <w:right w:w="0" w:type="dxa"/>
            </w:tcMar>
            <w:vAlign w:val="center"/>
          </w:tcPr>
          <w:p w14:paraId="38E2FF99"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7746BC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857409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(51)&gt;rising (35)</w:t>
            </w:r>
          </w:p>
        </w:tc>
        <w:tc>
          <w:tcPr>
            <w:tcW w:w="1591" w:type="dxa"/>
            <w:tcMar>
              <w:left w:w="0" w:type="dxa"/>
              <w:right w:w="0" w:type="dxa"/>
            </w:tcMar>
            <w:vAlign w:val="center"/>
          </w:tcPr>
          <w:p w14:paraId="565549B4"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0.093±0.089</w:t>
            </w:r>
          </w:p>
        </w:tc>
        <w:tc>
          <w:tcPr>
            <w:tcW w:w="879" w:type="dxa"/>
            <w:tcMar>
              <w:left w:w="0" w:type="dxa"/>
              <w:right w:w="0" w:type="dxa"/>
            </w:tcMar>
            <w:vAlign w:val="center"/>
          </w:tcPr>
          <w:p w14:paraId="20F9535D"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1.053</w:t>
            </w:r>
          </w:p>
        </w:tc>
        <w:tc>
          <w:tcPr>
            <w:tcW w:w="879" w:type="dxa"/>
            <w:tcMar>
              <w:left w:w="0" w:type="dxa"/>
              <w:right w:w="0" w:type="dxa"/>
            </w:tcMar>
            <w:vAlign w:val="center"/>
          </w:tcPr>
          <w:p w14:paraId="17FFC984"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0.719</w:t>
            </w:r>
          </w:p>
        </w:tc>
        <w:tc>
          <w:tcPr>
            <w:tcW w:w="524" w:type="dxa"/>
            <w:tcMar>
              <w:left w:w="0" w:type="dxa"/>
              <w:right w:w="0" w:type="dxa"/>
            </w:tcMar>
            <w:vAlign w:val="center"/>
          </w:tcPr>
          <w:p w14:paraId="4AE27F4E"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79C3D78D" w14:textId="77777777" w:rsidTr="009508DA">
        <w:tc>
          <w:tcPr>
            <w:tcW w:w="1418" w:type="dxa"/>
            <w:vMerge/>
            <w:tcMar>
              <w:left w:w="0" w:type="dxa"/>
              <w:right w:w="0" w:type="dxa"/>
            </w:tcMar>
            <w:vAlign w:val="center"/>
          </w:tcPr>
          <w:p w14:paraId="5C6E64E1"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1220FAB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163ECBF8"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high-level (55)&gt;rising (35)</w:t>
            </w:r>
          </w:p>
        </w:tc>
        <w:tc>
          <w:tcPr>
            <w:tcW w:w="1591" w:type="dxa"/>
            <w:tcMar>
              <w:left w:w="0" w:type="dxa"/>
              <w:right w:w="0" w:type="dxa"/>
            </w:tcMar>
            <w:vAlign w:val="center"/>
          </w:tcPr>
          <w:p w14:paraId="0223B740"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0.085±0.104</w:t>
            </w:r>
          </w:p>
        </w:tc>
        <w:tc>
          <w:tcPr>
            <w:tcW w:w="879" w:type="dxa"/>
            <w:tcMar>
              <w:left w:w="0" w:type="dxa"/>
              <w:right w:w="0" w:type="dxa"/>
            </w:tcMar>
            <w:vAlign w:val="center"/>
          </w:tcPr>
          <w:p w14:paraId="2F39B0AC"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0.818</w:t>
            </w:r>
          </w:p>
        </w:tc>
        <w:tc>
          <w:tcPr>
            <w:tcW w:w="879" w:type="dxa"/>
            <w:tcMar>
              <w:left w:w="0" w:type="dxa"/>
              <w:right w:w="0" w:type="dxa"/>
            </w:tcMar>
            <w:vAlign w:val="center"/>
          </w:tcPr>
          <w:p w14:paraId="533B8696"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0.846</w:t>
            </w:r>
          </w:p>
        </w:tc>
        <w:tc>
          <w:tcPr>
            <w:tcW w:w="524" w:type="dxa"/>
            <w:tcMar>
              <w:left w:w="0" w:type="dxa"/>
              <w:right w:w="0" w:type="dxa"/>
            </w:tcMar>
            <w:vAlign w:val="center"/>
          </w:tcPr>
          <w:p w14:paraId="2DA6F9A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23F0201E" w14:textId="77777777" w:rsidTr="009508DA">
        <w:tc>
          <w:tcPr>
            <w:tcW w:w="1418" w:type="dxa"/>
            <w:vMerge/>
            <w:tcMar>
              <w:left w:w="0" w:type="dxa"/>
              <w:right w:w="0" w:type="dxa"/>
            </w:tcMar>
            <w:vAlign w:val="center"/>
          </w:tcPr>
          <w:p w14:paraId="6931274B" w14:textId="77777777" w:rsidR="00FA40F7" w:rsidRPr="00EB73AF" w:rsidRDefault="00FA40F7" w:rsidP="009508DA">
            <w:pPr>
              <w:pStyle w:val="JASABodyText"/>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1DBD57D1"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03DEB22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(51)&gt;high-level (55)</w:t>
            </w:r>
          </w:p>
        </w:tc>
        <w:tc>
          <w:tcPr>
            <w:tcW w:w="1591" w:type="dxa"/>
            <w:tcMar>
              <w:left w:w="0" w:type="dxa"/>
              <w:right w:w="0" w:type="dxa"/>
            </w:tcMar>
            <w:vAlign w:val="center"/>
          </w:tcPr>
          <w:p w14:paraId="1165A27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0.008±0.087</w:t>
            </w:r>
          </w:p>
        </w:tc>
        <w:tc>
          <w:tcPr>
            <w:tcW w:w="879" w:type="dxa"/>
            <w:tcMar>
              <w:left w:w="0" w:type="dxa"/>
              <w:right w:w="0" w:type="dxa"/>
            </w:tcMar>
            <w:vAlign w:val="center"/>
          </w:tcPr>
          <w:p w14:paraId="031590D6"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0.094</w:t>
            </w:r>
          </w:p>
        </w:tc>
        <w:tc>
          <w:tcPr>
            <w:tcW w:w="879" w:type="dxa"/>
            <w:tcMar>
              <w:left w:w="0" w:type="dxa"/>
              <w:right w:w="0" w:type="dxa"/>
            </w:tcMar>
            <w:vAlign w:val="center"/>
          </w:tcPr>
          <w:p w14:paraId="6D6215AA"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1.000</w:t>
            </w:r>
          </w:p>
        </w:tc>
        <w:tc>
          <w:tcPr>
            <w:tcW w:w="524" w:type="dxa"/>
            <w:tcMar>
              <w:left w:w="0" w:type="dxa"/>
              <w:right w:w="0" w:type="dxa"/>
            </w:tcMar>
            <w:vAlign w:val="center"/>
          </w:tcPr>
          <w:p w14:paraId="66E6163D"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0487E745" w14:textId="77777777" w:rsidTr="009508DA">
        <w:tc>
          <w:tcPr>
            <w:tcW w:w="1418" w:type="dxa"/>
            <w:vMerge/>
            <w:tcMar>
              <w:left w:w="0" w:type="dxa"/>
              <w:right w:w="0" w:type="dxa"/>
            </w:tcMar>
            <w:vAlign w:val="center"/>
          </w:tcPr>
          <w:p w14:paraId="4E0CDF5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val="restart"/>
            <w:tcMar>
              <w:left w:w="0" w:type="dxa"/>
              <w:right w:w="0" w:type="dxa"/>
            </w:tcMar>
            <w:vAlign w:val="center"/>
          </w:tcPr>
          <w:p w14:paraId="5EE0C82C"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Anticipatory</w:t>
            </w:r>
          </w:p>
        </w:tc>
        <w:tc>
          <w:tcPr>
            <w:tcW w:w="2835" w:type="dxa"/>
            <w:tcMar>
              <w:left w:w="0" w:type="dxa"/>
              <w:right w:w="0" w:type="dxa"/>
            </w:tcMar>
            <w:vAlign w:val="center"/>
          </w:tcPr>
          <w:p w14:paraId="706C2955"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(21)&gt;rising (35)</w:t>
            </w:r>
          </w:p>
        </w:tc>
        <w:tc>
          <w:tcPr>
            <w:tcW w:w="1591" w:type="dxa"/>
            <w:tcMar>
              <w:left w:w="0" w:type="dxa"/>
              <w:right w:w="0" w:type="dxa"/>
            </w:tcMar>
            <w:vAlign w:val="center"/>
          </w:tcPr>
          <w:p w14:paraId="007A8A8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0.236±0.088</w:t>
            </w:r>
          </w:p>
        </w:tc>
        <w:tc>
          <w:tcPr>
            <w:tcW w:w="879" w:type="dxa"/>
            <w:tcMar>
              <w:left w:w="0" w:type="dxa"/>
              <w:right w:w="0" w:type="dxa"/>
            </w:tcMar>
            <w:vAlign w:val="center"/>
          </w:tcPr>
          <w:p w14:paraId="782239FB"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2.690</w:t>
            </w:r>
          </w:p>
        </w:tc>
        <w:tc>
          <w:tcPr>
            <w:tcW w:w="879" w:type="dxa"/>
            <w:tcMar>
              <w:left w:w="0" w:type="dxa"/>
              <w:right w:w="0" w:type="dxa"/>
            </w:tcMar>
            <w:vAlign w:val="center"/>
          </w:tcPr>
          <w:p w14:paraId="54174E9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0.039</w:t>
            </w:r>
          </w:p>
        </w:tc>
        <w:tc>
          <w:tcPr>
            <w:tcW w:w="524" w:type="dxa"/>
            <w:tcMar>
              <w:left w:w="0" w:type="dxa"/>
              <w:right w:w="0" w:type="dxa"/>
            </w:tcMar>
            <w:vAlign w:val="center"/>
          </w:tcPr>
          <w:p w14:paraId="1D2DE3C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702E546A" w14:textId="77777777" w:rsidTr="009508DA">
        <w:tc>
          <w:tcPr>
            <w:tcW w:w="1418" w:type="dxa"/>
            <w:vMerge/>
            <w:tcMar>
              <w:left w:w="0" w:type="dxa"/>
              <w:right w:w="0" w:type="dxa"/>
            </w:tcMar>
            <w:vAlign w:val="center"/>
          </w:tcPr>
          <w:p w14:paraId="6CBFE85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1941BDEF"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0A20294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(21)&gt;falling (51)</w:t>
            </w:r>
          </w:p>
        </w:tc>
        <w:tc>
          <w:tcPr>
            <w:tcW w:w="1591" w:type="dxa"/>
            <w:tcMar>
              <w:left w:w="0" w:type="dxa"/>
              <w:right w:w="0" w:type="dxa"/>
            </w:tcMar>
            <w:vAlign w:val="center"/>
          </w:tcPr>
          <w:p w14:paraId="0EDB7BA2"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0.007±0.098</w:t>
            </w:r>
          </w:p>
        </w:tc>
        <w:tc>
          <w:tcPr>
            <w:tcW w:w="879" w:type="dxa"/>
            <w:tcMar>
              <w:left w:w="0" w:type="dxa"/>
              <w:right w:w="0" w:type="dxa"/>
            </w:tcMar>
            <w:vAlign w:val="center"/>
          </w:tcPr>
          <w:p w14:paraId="1522A13D"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0.071</w:t>
            </w:r>
          </w:p>
        </w:tc>
        <w:tc>
          <w:tcPr>
            <w:tcW w:w="879" w:type="dxa"/>
            <w:tcMar>
              <w:left w:w="0" w:type="dxa"/>
              <w:right w:w="0" w:type="dxa"/>
            </w:tcMar>
            <w:vAlign w:val="center"/>
          </w:tcPr>
          <w:p w14:paraId="6C905B27"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1.000</w:t>
            </w:r>
          </w:p>
        </w:tc>
        <w:tc>
          <w:tcPr>
            <w:tcW w:w="524" w:type="dxa"/>
            <w:tcMar>
              <w:left w:w="0" w:type="dxa"/>
              <w:right w:w="0" w:type="dxa"/>
            </w:tcMar>
            <w:vAlign w:val="center"/>
          </w:tcPr>
          <w:p w14:paraId="7905D7A2"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EB73AF" w14:paraId="5AE94D1A" w14:textId="77777777" w:rsidTr="009508DA">
        <w:tc>
          <w:tcPr>
            <w:tcW w:w="1418" w:type="dxa"/>
            <w:vMerge/>
            <w:tcMar>
              <w:left w:w="0" w:type="dxa"/>
              <w:right w:w="0" w:type="dxa"/>
            </w:tcMar>
            <w:vAlign w:val="center"/>
          </w:tcPr>
          <w:p w14:paraId="3C695C5F"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310977B6"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53425ABB"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low (21)&gt;high-level (55)</w:t>
            </w:r>
          </w:p>
        </w:tc>
        <w:tc>
          <w:tcPr>
            <w:tcW w:w="1591" w:type="dxa"/>
            <w:tcMar>
              <w:left w:w="0" w:type="dxa"/>
              <w:right w:w="0" w:type="dxa"/>
            </w:tcMar>
            <w:vAlign w:val="center"/>
          </w:tcPr>
          <w:p w14:paraId="339F9B11"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0.358±0.077</w:t>
            </w:r>
          </w:p>
        </w:tc>
        <w:tc>
          <w:tcPr>
            <w:tcW w:w="879" w:type="dxa"/>
            <w:tcMar>
              <w:left w:w="0" w:type="dxa"/>
              <w:right w:w="0" w:type="dxa"/>
            </w:tcMar>
            <w:vAlign w:val="center"/>
          </w:tcPr>
          <w:p w14:paraId="0D0C9A92"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4.659</w:t>
            </w:r>
          </w:p>
        </w:tc>
        <w:tc>
          <w:tcPr>
            <w:tcW w:w="879" w:type="dxa"/>
            <w:tcMar>
              <w:left w:w="0" w:type="dxa"/>
              <w:right w:w="0" w:type="dxa"/>
            </w:tcMar>
            <w:vAlign w:val="center"/>
          </w:tcPr>
          <w:p w14:paraId="379279C7"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24" w:type="dxa"/>
            <w:tcMar>
              <w:left w:w="0" w:type="dxa"/>
              <w:right w:w="0" w:type="dxa"/>
            </w:tcMar>
            <w:vAlign w:val="center"/>
          </w:tcPr>
          <w:p w14:paraId="09569D9D"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6FB2A7EE" w14:textId="77777777" w:rsidTr="009508DA">
        <w:tc>
          <w:tcPr>
            <w:tcW w:w="1418" w:type="dxa"/>
            <w:vMerge/>
            <w:tcMar>
              <w:left w:w="0" w:type="dxa"/>
              <w:right w:w="0" w:type="dxa"/>
            </w:tcMar>
            <w:vAlign w:val="center"/>
          </w:tcPr>
          <w:p w14:paraId="433FB9B5"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7EC437BB"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489AFF1D"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(51)&gt;rising (35)</w:t>
            </w:r>
          </w:p>
        </w:tc>
        <w:tc>
          <w:tcPr>
            <w:tcW w:w="1591" w:type="dxa"/>
            <w:tcMar>
              <w:left w:w="0" w:type="dxa"/>
              <w:right w:w="0" w:type="dxa"/>
            </w:tcMar>
            <w:vAlign w:val="center"/>
          </w:tcPr>
          <w:p w14:paraId="7D39D0E0"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0.229±0.060</w:t>
            </w:r>
          </w:p>
        </w:tc>
        <w:tc>
          <w:tcPr>
            <w:tcW w:w="879" w:type="dxa"/>
            <w:tcMar>
              <w:left w:w="0" w:type="dxa"/>
              <w:right w:w="0" w:type="dxa"/>
            </w:tcMar>
            <w:vAlign w:val="center"/>
          </w:tcPr>
          <w:p w14:paraId="2E0F1D4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3.838</w:t>
            </w:r>
          </w:p>
        </w:tc>
        <w:tc>
          <w:tcPr>
            <w:tcW w:w="879" w:type="dxa"/>
            <w:tcMar>
              <w:left w:w="0" w:type="dxa"/>
              <w:right w:w="0" w:type="dxa"/>
            </w:tcMar>
            <w:vAlign w:val="center"/>
          </w:tcPr>
          <w:p w14:paraId="14E423D0"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&lt;0.001</w:t>
            </w:r>
          </w:p>
        </w:tc>
        <w:tc>
          <w:tcPr>
            <w:tcW w:w="524" w:type="dxa"/>
            <w:tcMar>
              <w:left w:w="0" w:type="dxa"/>
              <w:right w:w="0" w:type="dxa"/>
            </w:tcMar>
            <w:vAlign w:val="center"/>
          </w:tcPr>
          <w:p w14:paraId="0F3E9A50"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w:t>
            </w:r>
          </w:p>
        </w:tc>
      </w:tr>
      <w:tr w:rsidR="00FA40F7" w:rsidRPr="00EB73AF" w14:paraId="7BEE5EDB" w14:textId="77777777" w:rsidTr="009508DA">
        <w:tc>
          <w:tcPr>
            <w:tcW w:w="1418" w:type="dxa"/>
            <w:vMerge/>
            <w:tcMar>
              <w:left w:w="0" w:type="dxa"/>
              <w:right w:w="0" w:type="dxa"/>
            </w:tcMar>
            <w:vAlign w:val="center"/>
          </w:tcPr>
          <w:p w14:paraId="33E1507F"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65D9D55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70DAC6E4"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rising (35)&gt;high-level (55)</w:t>
            </w:r>
          </w:p>
        </w:tc>
        <w:tc>
          <w:tcPr>
            <w:tcW w:w="1591" w:type="dxa"/>
            <w:tcMar>
              <w:left w:w="0" w:type="dxa"/>
              <w:right w:w="0" w:type="dxa"/>
            </w:tcMar>
            <w:vAlign w:val="center"/>
          </w:tcPr>
          <w:p w14:paraId="140D19EF"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0.122±0.068</w:t>
            </w:r>
          </w:p>
        </w:tc>
        <w:tc>
          <w:tcPr>
            <w:tcW w:w="879" w:type="dxa"/>
            <w:tcMar>
              <w:left w:w="0" w:type="dxa"/>
              <w:right w:w="0" w:type="dxa"/>
            </w:tcMar>
            <w:vAlign w:val="center"/>
          </w:tcPr>
          <w:p w14:paraId="55A8981A"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1.785</w:t>
            </w:r>
          </w:p>
        </w:tc>
        <w:tc>
          <w:tcPr>
            <w:tcW w:w="879" w:type="dxa"/>
            <w:tcMar>
              <w:left w:w="0" w:type="dxa"/>
              <w:right w:w="0" w:type="dxa"/>
            </w:tcMar>
            <w:vAlign w:val="center"/>
          </w:tcPr>
          <w:p w14:paraId="3FDFF2B7"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0.288</w:t>
            </w:r>
          </w:p>
        </w:tc>
        <w:tc>
          <w:tcPr>
            <w:tcW w:w="524" w:type="dxa"/>
            <w:tcMar>
              <w:left w:w="0" w:type="dxa"/>
              <w:right w:w="0" w:type="dxa"/>
            </w:tcMar>
            <w:vAlign w:val="center"/>
          </w:tcPr>
          <w:p w14:paraId="0D6F2515"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r>
      <w:tr w:rsidR="00FA40F7" w:rsidRPr="0032528B" w14:paraId="404CD3D7" w14:textId="77777777" w:rsidTr="009508DA">
        <w:tc>
          <w:tcPr>
            <w:tcW w:w="1418" w:type="dxa"/>
            <w:vMerge/>
            <w:tcMar>
              <w:left w:w="0" w:type="dxa"/>
              <w:right w:w="0" w:type="dxa"/>
            </w:tcMar>
            <w:vAlign w:val="center"/>
          </w:tcPr>
          <w:p w14:paraId="02B9FBA9"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1276" w:type="dxa"/>
            <w:vMerge/>
            <w:tcMar>
              <w:left w:w="0" w:type="dxa"/>
              <w:right w:w="0" w:type="dxa"/>
            </w:tcMar>
            <w:vAlign w:val="center"/>
          </w:tcPr>
          <w:p w14:paraId="33F83EDD"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p>
        </w:tc>
        <w:tc>
          <w:tcPr>
            <w:tcW w:w="2835" w:type="dxa"/>
            <w:tcMar>
              <w:left w:w="0" w:type="dxa"/>
              <w:right w:w="0" w:type="dxa"/>
            </w:tcMar>
            <w:vAlign w:val="center"/>
          </w:tcPr>
          <w:p w14:paraId="55906E2A" w14:textId="77777777" w:rsidR="00FA40F7" w:rsidRPr="00EB73AF" w:rsidRDefault="00FA40F7" w:rsidP="009508DA">
            <w:pPr>
              <w:pStyle w:val="JASABodyText"/>
              <w:ind w:firstLine="0"/>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falling (51)&gt;high-level (55)</w:t>
            </w:r>
          </w:p>
        </w:tc>
        <w:tc>
          <w:tcPr>
            <w:tcW w:w="1591" w:type="dxa"/>
            <w:tcMar>
              <w:left w:w="0" w:type="dxa"/>
              <w:right w:w="0" w:type="dxa"/>
            </w:tcMar>
            <w:vAlign w:val="center"/>
          </w:tcPr>
          <w:p w14:paraId="20DF35D9"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0.351±0.085</w:t>
            </w:r>
          </w:p>
        </w:tc>
        <w:tc>
          <w:tcPr>
            <w:tcW w:w="879" w:type="dxa"/>
            <w:tcMar>
              <w:left w:w="0" w:type="dxa"/>
              <w:right w:w="0" w:type="dxa"/>
            </w:tcMar>
            <w:vAlign w:val="center"/>
          </w:tcPr>
          <w:p w14:paraId="2E219196"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4.149</w:t>
            </w:r>
          </w:p>
        </w:tc>
        <w:tc>
          <w:tcPr>
            <w:tcW w:w="879" w:type="dxa"/>
            <w:tcMar>
              <w:left w:w="0" w:type="dxa"/>
              <w:right w:w="0" w:type="dxa"/>
            </w:tcMar>
            <w:vAlign w:val="center"/>
          </w:tcPr>
          <w:p w14:paraId="58DAF378" w14:textId="77777777" w:rsidR="00FA40F7" w:rsidRPr="00EB73AF" w:rsidRDefault="00FA40F7" w:rsidP="009508DA">
            <w:pPr>
              <w:pStyle w:val="JASABodyText"/>
              <w:ind w:firstLine="0"/>
              <w:jc w:val="right"/>
              <w:rPr>
                <w:rFonts w:ascii="Times New Roman" w:eastAsia="STKaiti" w:hAnsi="Times New Roman" w:cs="Times New Roman"/>
                <w:color w:val="000000" w:themeColor="text1"/>
                <w:highlight w:val="yellow"/>
              </w:rPr>
            </w:pPr>
            <w:r>
              <w:rPr>
                <w:rFonts w:ascii="Times New Roman" w:eastAsia="STKaiti" w:hAnsi="Times New Roman" w:cs="Times New Roman"/>
                <w:color w:val="000000" w:themeColor="text1"/>
                <w:highlight w:val="yellow"/>
              </w:rPr>
              <w:t>0.002</w:t>
            </w:r>
          </w:p>
        </w:tc>
        <w:tc>
          <w:tcPr>
            <w:tcW w:w="524" w:type="dxa"/>
            <w:tcMar>
              <w:left w:w="0" w:type="dxa"/>
              <w:right w:w="0" w:type="dxa"/>
            </w:tcMar>
            <w:vAlign w:val="center"/>
          </w:tcPr>
          <w:p w14:paraId="62BB2379" w14:textId="77777777" w:rsidR="00FA40F7" w:rsidRPr="0032528B" w:rsidRDefault="00FA40F7" w:rsidP="009508DA">
            <w:pPr>
              <w:pStyle w:val="JASABodyText"/>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w:t>
            </w:r>
          </w:p>
        </w:tc>
      </w:tr>
    </w:tbl>
    <w:p w14:paraId="5E67B4BF" w14:textId="77777777" w:rsidR="00FA40F7" w:rsidRPr="0032528B" w:rsidRDefault="00FA40F7" w:rsidP="00FA40F7">
      <w:pPr>
        <w:pStyle w:val="Headings-Acknowlegements"/>
        <w:ind w:firstLine="0"/>
        <w:rPr>
          <w:rFonts w:ascii="Times New Roman" w:eastAsia="STKaiti" w:hAnsi="Times New Roman" w:cs="Times New Roman"/>
          <w:b w:val="0"/>
          <w:bCs w:val="0"/>
          <w:color w:val="000000" w:themeColor="text1"/>
          <w:lang w:eastAsia="zh-TW"/>
        </w:rPr>
      </w:pPr>
    </w:p>
    <w:p w14:paraId="132B0413" w14:textId="172E2CC0" w:rsidR="007F468A" w:rsidRPr="0032528B" w:rsidRDefault="007F468A" w:rsidP="0070514D">
      <w:pPr>
        <w:rPr>
          <w:rFonts w:ascii="Times New Roman" w:eastAsia="STKaiti" w:hAnsi="Times New Roman" w:cs="Times New Roman"/>
          <w:b/>
          <w:bCs/>
          <w:color w:val="000000" w:themeColor="text1"/>
        </w:rPr>
      </w:pPr>
      <w:r>
        <w:rPr>
          <w:rFonts w:ascii="Times New Roman" w:eastAsia="STKaiti" w:hAnsi="Times New Roman" w:cs="Times New Roman"/>
          <w:b/>
          <w:bCs/>
          <w:color w:val="000000" w:themeColor="text1"/>
        </w:rPr>
        <w:t xml:space="preserve">Appendix B: Experiment 2</w:t>
      </w:r>
    </w:p>
    <w:p w14:paraId="6627DABB" w14:textId="70347F14" w:rsidR="00F223C3" w:rsidRPr="0032528B" w:rsidRDefault="00F82A52" w:rsidP="00F82A52">
      <w:pPr>
        <w:pStyle w:val="Headings-Acknowlegements"/>
        <w:ind w:firstLine="0"/>
        <w:rPr>
          <w:rFonts w:ascii="Times New Roman" w:eastAsia="STKaiti" w:hAnsi="Times New Roman" w:cs="Times New Roman"/>
          <w:color w:val="000000" w:themeColor="text1"/>
        </w:rPr>
      </w:pPr>
      <w:r>
        <w:rPr>
          <w:rFonts w:ascii="Times New Roman" w:eastAsia="STKaiti" w:hAnsi="Times New Roman" w:cs="Times New Roman"/>
          <w:b w:val="0"/>
          <w:bCs w:val="0"/>
          <w:color w:val="000000" w:themeColor="text1"/>
        </w:rPr>
        <w:t xml:space="preserve">1. Stimuli</w:t>
      </w:r>
    </w:p>
    <w:p w14:paraId="3A96923B" w14:textId="1F3E10F1" w:rsidR="00007B1F" w:rsidRPr="0032528B" w:rsidRDefault="00007B1F" w:rsidP="00F82A52">
      <w:pPr>
        <w:pStyle w:val="JASABodyText"/>
        <w:ind w:firstLine="0"/>
        <w:rPr>
          <w:rFonts w:ascii="Times New Roman" w:eastAsia="STKaiti" w:hAnsi="Times New Roman" w:cs="Times New Roman"/>
          <w:bCs/>
          <w:color w:val="000000" w:themeColor="text1"/>
        </w:rPr>
      </w:pPr>
      <w:r>
        <w:rPr>
          <w:rFonts w:ascii="Times New Roman" w:eastAsia="STKaiti" w:hAnsi="Times New Roman" w:cs="Times New Roman"/>
          <w:bCs/>
          <w:color w:val="000000" w:themeColor="text1"/>
        </w:rPr>
        <w:t xml:space="preserve">Table 13. Taiwan Mandarin version. Word frequencies are included after the glosses in the parentheses (total word counts in the corpus: 11,245,330).</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01"/>
        <w:gridCol w:w="1134"/>
        <w:gridCol w:w="2351"/>
        <w:gridCol w:w="2609"/>
      </w:tblGrid>
      <w:tr w:rsidR="0006295E" w:rsidRPr="0032528B" w14:paraId="68694D05" w14:textId="77777777" w:rsidTr="0070514D">
        <w:trPr>
          <w:trHeight w:val="268"/>
        </w:trPr>
        <w:tc>
          <w:tcPr>
            <w:tcW w:w="1701" w:type="dxa"/>
            <w:tcBorders>
              <w:top w:val="double" w:sz="4" w:space="0" w:color="auto"/>
              <w:bottom w:val="nil"/>
            </w:tcBorders>
            <w:tcMar>
              <w:top w:w="0" w:type="dxa"/>
              <w:left w:w="0" w:type="dxa"/>
              <w:bottom w:w="0" w:type="dxa"/>
              <w:right w:w="0" w:type="dxa"/>
            </w:tcMar>
          </w:tcPr>
          <w:p w14:paraId="77BA66D1" w14:textId="0FE25DBC"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vMerge w:val="restart"/>
            <w:tcBorders>
              <w:top w:val="double" w:sz="4" w:space="0" w:color="auto"/>
            </w:tcBorders>
            <w:tcMar>
              <w:top w:w="0" w:type="dxa"/>
              <w:left w:w="0" w:type="dxa"/>
              <w:bottom w:w="0" w:type="dxa"/>
              <w:right w:w="0" w:type="dxa"/>
            </w:tcMar>
          </w:tcPr>
          <w:p w14:paraId="45074EBF"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4960" w:type="dxa"/>
            <w:gridSpan w:val="2"/>
            <w:tcBorders>
              <w:top w:val="double" w:sz="4" w:space="0" w:color="auto"/>
            </w:tcBorders>
            <w:tcMar>
              <w:top w:w="0" w:type="dxa"/>
              <w:left w:w="0" w:type="dxa"/>
              <w:bottom w:w="0" w:type="dxa"/>
              <w:right w:w="0" w:type="dxa"/>
            </w:tcMar>
          </w:tcPr>
          <w:p w14:paraId="4464C1BD"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Second syllable</w:t>
            </w:r>
          </w:p>
        </w:tc>
      </w:tr>
      <w:tr w:rsidR="0006295E" w:rsidRPr="0032528B" w14:paraId="1895491C" w14:textId="77777777" w:rsidTr="0070514D">
        <w:trPr>
          <w:trHeight w:val="279"/>
        </w:trPr>
        <w:tc>
          <w:tcPr>
            <w:tcW w:w="1701" w:type="dxa"/>
            <w:tcBorders>
              <w:top w:val="nil"/>
              <w:bottom w:val="nil"/>
            </w:tcBorders>
            <w:tcMar>
              <w:top w:w="0" w:type="dxa"/>
              <w:left w:w="0" w:type="dxa"/>
              <w:bottom w:w="0" w:type="dxa"/>
              <w:right w:w="0" w:type="dxa"/>
            </w:tcMar>
          </w:tcPr>
          <w:p w14:paraId="2ABC9F18"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vMerge/>
            <w:tcMar>
              <w:top w:w="0" w:type="dxa"/>
              <w:left w:w="0" w:type="dxa"/>
              <w:bottom w:w="0" w:type="dxa"/>
              <w:right w:w="0" w:type="dxa"/>
            </w:tcMar>
          </w:tcPr>
          <w:p w14:paraId="2130333D"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2351" w:type="dxa"/>
            <w:tcMar>
              <w:top w:w="0" w:type="dxa"/>
              <w:left w:w="0" w:type="dxa"/>
              <w:bottom w:w="0" w:type="dxa"/>
              <w:right w:w="0" w:type="dxa"/>
            </w:tcMar>
          </w:tcPr>
          <w:p w14:paraId="512A64A1"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T3 (21)</w:t>
            </w:r>
          </w:p>
        </w:tc>
        <w:tc>
          <w:tcPr>
            <w:tcW w:w="2609" w:type="dxa"/>
            <w:tcMar>
              <w:top w:w="0" w:type="dxa"/>
              <w:left w:w="0" w:type="dxa"/>
              <w:bottom w:w="0" w:type="dxa"/>
              <w:right w:w="0" w:type="dxa"/>
            </w:tcMar>
          </w:tcPr>
          <w:p w14:paraId="62635A8A"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T4 (51)</w:t>
            </w:r>
          </w:p>
        </w:tc>
      </w:tr>
      <w:tr w:rsidR="0006295E" w:rsidRPr="0032528B" w14:paraId="7136A230" w14:textId="77777777" w:rsidTr="0070514D">
        <w:trPr>
          <w:trHeight w:val="578"/>
        </w:trPr>
        <w:tc>
          <w:tcPr>
            <w:tcW w:w="1701" w:type="dxa"/>
            <w:vMerge w:val="restart"/>
            <w:tcBorders>
              <w:top w:val="nil"/>
              <w:bottom w:val="single" w:sz="4" w:space="0" w:color="auto"/>
            </w:tcBorders>
            <w:tcMar>
              <w:top w:w="0" w:type="dxa"/>
              <w:left w:w="0" w:type="dxa"/>
              <w:bottom w:w="0" w:type="dxa"/>
              <w:right w:w="0" w:type="dxa"/>
            </w:tcMar>
          </w:tcPr>
          <w:p w14:paraId="32227D0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First syllable</w:t>
            </w:r>
          </w:p>
        </w:tc>
        <w:tc>
          <w:tcPr>
            <w:tcW w:w="1134" w:type="dxa"/>
            <w:tcMar>
              <w:top w:w="0" w:type="dxa"/>
              <w:left w:w="0" w:type="dxa"/>
              <w:bottom w:w="0" w:type="dxa"/>
              <w:right w:w="0" w:type="dxa"/>
            </w:tcMar>
          </w:tcPr>
          <w:p w14:paraId="7022744A"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T1 (55)</w:t>
            </w:r>
          </w:p>
        </w:tc>
        <w:tc>
          <w:tcPr>
            <w:tcW w:w="2351" w:type="dxa"/>
            <w:tcMar>
              <w:top w:w="0" w:type="dxa"/>
              <w:left w:w="0" w:type="dxa"/>
              <w:bottom w:w="0" w:type="dxa"/>
              <w:right w:w="0" w:type="dxa"/>
            </w:tcMar>
          </w:tcPr>
          <w:p w14:paraId="74D42E6B"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發火</w:t>
            </w:r>
            <w:r>
              <w:rPr>
                <w:rFonts w:ascii="Times New Roman" w:hAnsi="Times New Roman" w:cs="Times New Roman"/>
                <w:color w:val="000000" w:themeColor="text1"/>
              </w:rPr>
              <w:t xml:space="preserve">  /fa.hwo/</w:t>
            </w:r>
          </w:p>
          <w:p w14:paraId="0B05C286" w14:textId="77AA3AE8"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get angry’ (10)</w:t>
            </w:r>
          </w:p>
        </w:tc>
        <w:tc>
          <w:tcPr>
            <w:tcW w:w="2609" w:type="dxa"/>
            <w:tcMar>
              <w:top w:w="0" w:type="dxa"/>
              <w:left w:w="0" w:type="dxa"/>
              <w:bottom w:w="0" w:type="dxa"/>
              <w:right w:w="0" w:type="dxa"/>
            </w:tcMar>
          </w:tcPr>
          <w:p w14:paraId="770447B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發貨</w:t>
            </w:r>
            <w:r>
              <w:rPr>
                <w:rFonts w:ascii="Times New Roman" w:hAnsi="Times New Roman" w:cs="Times New Roman"/>
                <w:color w:val="000000" w:themeColor="text1"/>
              </w:rPr>
              <w:t xml:space="preserve">  /fa.hwo/</w:t>
            </w:r>
          </w:p>
          <w:p w14:paraId="7A3F80A1" w14:textId="10A06BE8"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send out delivery’ (20)</w:t>
            </w:r>
          </w:p>
        </w:tc>
      </w:tr>
      <w:tr w:rsidR="0006295E" w:rsidRPr="0032528B" w14:paraId="51368073" w14:textId="77777777" w:rsidTr="0070514D">
        <w:trPr>
          <w:trHeight w:val="578"/>
        </w:trPr>
        <w:tc>
          <w:tcPr>
            <w:tcW w:w="1701" w:type="dxa"/>
            <w:vMerge/>
            <w:tcBorders>
              <w:top w:val="nil"/>
              <w:bottom w:val="single" w:sz="4" w:space="0" w:color="auto"/>
            </w:tcBorders>
            <w:tcMar>
              <w:top w:w="0" w:type="dxa"/>
              <w:left w:w="0" w:type="dxa"/>
              <w:bottom w:w="0" w:type="dxa"/>
              <w:right w:w="0" w:type="dxa"/>
            </w:tcMar>
          </w:tcPr>
          <w:p w14:paraId="57F8F57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1134" w:type="dxa"/>
            <w:tcMar>
              <w:top w:w="0" w:type="dxa"/>
              <w:left w:w="0" w:type="dxa"/>
              <w:bottom w:w="0" w:type="dxa"/>
              <w:right w:w="0" w:type="dxa"/>
            </w:tcMar>
          </w:tcPr>
          <w:p w14:paraId="04ED8A9C"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T2 (35)</w:t>
            </w:r>
          </w:p>
        </w:tc>
        <w:tc>
          <w:tcPr>
            <w:tcW w:w="2351" w:type="dxa"/>
            <w:tcMar>
              <w:top w:w="0" w:type="dxa"/>
              <w:left w:w="0" w:type="dxa"/>
              <w:bottom w:w="0" w:type="dxa"/>
              <w:right w:w="0" w:type="dxa"/>
            </w:tcMar>
          </w:tcPr>
          <w:p w14:paraId="27EB34E0"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獨子</w:t>
            </w:r>
            <w:r>
              <w:rPr>
                <w:rFonts w:ascii="Times New Roman" w:hAnsi="Times New Roman" w:cs="Times New Roman"/>
                <w:color w:val="000000" w:themeColor="text1"/>
              </w:rPr>
              <w:t xml:space="preserve">  /tu.tsɨ/</w:t>
            </w:r>
          </w:p>
          <w:p w14:paraId="055843AE" w14:textId="5C7CB4F0"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‘the only son’ (35)</w:t>
            </w:r>
          </w:p>
        </w:tc>
        <w:tc>
          <w:tcPr>
            <w:tcW w:w="2609" w:type="dxa"/>
            <w:tcMar>
              <w:top w:w="0" w:type="dxa"/>
              <w:left w:w="0" w:type="dxa"/>
              <w:bottom w:w="0" w:type="dxa"/>
              <w:right w:w="0" w:type="dxa"/>
            </w:tcMar>
          </w:tcPr>
          <w:p w14:paraId="2629169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獨自</w:t>
            </w:r>
            <w:r>
              <w:rPr>
                <w:rFonts w:ascii="Times New Roman" w:hAnsi="Times New Roman" w:cs="Times New Roman"/>
                <w:color w:val="000000" w:themeColor="text1"/>
              </w:rPr>
              <w:t xml:space="preserve">  /tu.tsɨ/</w:t>
            </w:r>
          </w:p>
          <w:p w14:paraId="1153A6E6" w14:textId="7C20CA4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‘alone’ (257)</w:t>
            </w:r>
          </w:p>
        </w:tc>
      </w:tr>
      <w:tr w:rsidR="006663E4" w:rsidRPr="0032528B" w14:paraId="291DC2A7" w14:textId="77777777" w:rsidTr="0070514D">
        <w:trPr>
          <w:trHeight w:val="589"/>
        </w:trPr>
        <w:tc>
          <w:tcPr>
            <w:tcW w:w="1701" w:type="dxa"/>
            <w:vMerge/>
            <w:tcBorders>
              <w:top w:val="nil"/>
              <w:bottom w:val="double" w:sz="4" w:space="0" w:color="auto"/>
            </w:tcBorders>
            <w:tcMar>
              <w:top w:w="0" w:type="dxa"/>
              <w:left w:w="0" w:type="dxa"/>
              <w:bottom w:w="0" w:type="dxa"/>
              <w:right w:w="0" w:type="dxa"/>
            </w:tcMar>
          </w:tcPr>
          <w:p w14:paraId="32EA8CC7"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1134" w:type="dxa"/>
            <w:tcBorders>
              <w:bottom w:val="double" w:sz="4" w:space="0" w:color="auto"/>
            </w:tcBorders>
            <w:tcMar>
              <w:top w:w="0" w:type="dxa"/>
              <w:left w:w="0" w:type="dxa"/>
              <w:bottom w:w="0" w:type="dxa"/>
              <w:right w:w="0" w:type="dxa"/>
            </w:tcMar>
          </w:tcPr>
          <w:p w14:paraId="6B276F5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T4 (51)</w:t>
            </w:r>
          </w:p>
        </w:tc>
        <w:tc>
          <w:tcPr>
            <w:tcW w:w="2351" w:type="dxa"/>
            <w:tcBorders>
              <w:bottom w:val="double" w:sz="4" w:space="0" w:color="auto"/>
            </w:tcBorders>
            <w:tcMar>
              <w:top w:w="0" w:type="dxa"/>
              <w:left w:w="0" w:type="dxa"/>
              <w:bottom w:w="0" w:type="dxa"/>
              <w:right w:w="0" w:type="dxa"/>
            </w:tcMar>
          </w:tcPr>
          <w:p w14:paraId="62E6DCD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破解</w:t>
            </w:r>
            <w:r>
              <w:rPr>
                <w:rFonts w:ascii="Times New Roman" w:hAnsi="Times New Roman" w:cs="Times New Roman"/>
                <w:color w:val="000000" w:themeColor="text1"/>
              </w:rPr>
              <w:t xml:space="preserve">  /p</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wo.tɕjɛ/</w:t>
            </w:r>
          </w:p>
          <w:p w14:paraId="4DB29FD6" w14:textId="7814A47C"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solve’ (45)</w:t>
            </w:r>
          </w:p>
        </w:tc>
        <w:tc>
          <w:tcPr>
            <w:tcW w:w="2609" w:type="dxa"/>
            <w:tcBorders>
              <w:bottom w:val="double" w:sz="4" w:space="0" w:color="auto"/>
            </w:tcBorders>
            <w:tcMar>
              <w:top w:w="0" w:type="dxa"/>
              <w:left w:w="0" w:type="dxa"/>
              <w:bottom w:w="0" w:type="dxa"/>
              <w:right w:w="0" w:type="dxa"/>
            </w:tcMar>
          </w:tcPr>
          <w:p w14:paraId="58AAA105"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破戒</w:t>
            </w:r>
            <w:r>
              <w:rPr>
                <w:rFonts w:ascii="Times New Roman" w:hAnsi="Times New Roman" w:cs="Times New Roman"/>
                <w:color w:val="000000" w:themeColor="text1"/>
              </w:rPr>
              <w:t xml:space="preserve">  /p</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wo.tɕjɛ/</w:t>
            </w:r>
          </w:p>
          <w:p w14:paraId="24F01336" w14:textId="170A6FF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break a percept’ (2)</w:t>
            </w:r>
          </w:p>
        </w:tc>
      </w:tr>
    </w:tbl>
    <w:p w14:paraId="75C157CE" w14:textId="77777777" w:rsidR="006663E4" w:rsidRPr="0032528B" w:rsidRDefault="006663E4" w:rsidP="00BE6D25">
      <w:pPr>
        <w:pStyle w:val="JASAFigureCaptionsandEndnotes"/>
        <w:rPr>
          <w:rFonts w:ascii="Times New Roman" w:hAnsi="Times New Roman" w:cs="Times New Roman"/>
          <w:color w:val="000000" w:themeColor="text1"/>
        </w:rPr>
      </w:pPr>
    </w:p>
    <w:p w14:paraId="49E3379D" w14:textId="57D64FB5" w:rsidR="00007B1F" w:rsidRPr="0032528B" w:rsidRDefault="00007B1F" w:rsidP="00F82A52">
      <w:pPr>
        <w:pStyle w:val="JASABodyText"/>
        <w:ind w:firstLine="0"/>
        <w:rPr>
          <w:rFonts w:ascii="Times New Roman" w:eastAsia="STKaiti" w:hAnsi="Times New Roman" w:cs="Times New Roman"/>
          <w:bCs/>
          <w:color w:val="000000" w:themeColor="text1"/>
        </w:rPr>
      </w:pPr>
      <w:r>
        <w:rPr>
          <w:rFonts w:ascii="Times New Roman" w:eastAsia="STKaiti" w:hAnsi="Times New Roman" w:cs="Times New Roman"/>
          <w:bCs/>
          <w:color w:val="000000" w:themeColor="text1"/>
        </w:rPr>
        <w:t xml:space="preserve">Table 14. Taiwan Southern Min version. Word frequencies are included after the glosses in the parentheses (total word counts in the corpus: 711,486).</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01"/>
        <w:gridCol w:w="1134"/>
        <w:gridCol w:w="2351"/>
        <w:gridCol w:w="2609"/>
      </w:tblGrid>
      <w:tr w:rsidR="0006295E" w:rsidRPr="0032528B" w14:paraId="37CECECD" w14:textId="77777777" w:rsidTr="0070514D">
        <w:trPr>
          <w:trHeight w:val="268"/>
        </w:trPr>
        <w:tc>
          <w:tcPr>
            <w:tcW w:w="1701" w:type="dxa"/>
            <w:tcBorders>
              <w:top w:val="double" w:sz="4" w:space="0" w:color="auto"/>
              <w:bottom w:val="nil"/>
            </w:tcBorders>
            <w:tcMar>
              <w:top w:w="0" w:type="dxa"/>
              <w:left w:w="0" w:type="dxa"/>
              <w:bottom w:w="0" w:type="dxa"/>
              <w:right w:w="0" w:type="dxa"/>
            </w:tcMar>
          </w:tcPr>
          <w:p w14:paraId="198DB2E2"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vMerge w:val="restart"/>
            <w:tcBorders>
              <w:top w:val="double" w:sz="4" w:space="0" w:color="auto"/>
            </w:tcBorders>
            <w:tcMar>
              <w:top w:w="0" w:type="dxa"/>
              <w:left w:w="0" w:type="dxa"/>
              <w:bottom w:w="0" w:type="dxa"/>
              <w:right w:w="0" w:type="dxa"/>
            </w:tcMar>
          </w:tcPr>
          <w:p w14:paraId="6C1448D6"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4960" w:type="dxa"/>
            <w:gridSpan w:val="2"/>
            <w:tcBorders>
              <w:top w:val="double" w:sz="4" w:space="0" w:color="auto"/>
            </w:tcBorders>
            <w:tcMar>
              <w:top w:w="0" w:type="dxa"/>
              <w:left w:w="0" w:type="dxa"/>
              <w:bottom w:w="0" w:type="dxa"/>
              <w:right w:w="0" w:type="dxa"/>
            </w:tcMar>
          </w:tcPr>
          <w:p w14:paraId="613B378C"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Second syllable</w:t>
            </w:r>
          </w:p>
        </w:tc>
      </w:tr>
      <w:tr w:rsidR="0006295E" w:rsidRPr="0032528B" w14:paraId="22388EEB" w14:textId="77777777" w:rsidTr="0070514D">
        <w:trPr>
          <w:trHeight w:val="65"/>
        </w:trPr>
        <w:tc>
          <w:tcPr>
            <w:tcW w:w="1701" w:type="dxa"/>
            <w:tcBorders>
              <w:top w:val="nil"/>
              <w:bottom w:val="nil"/>
            </w:tcBorders>
            <w:tcMar>
              <w:top w:w="0" w:type="dxa"/>
              <w:left w:w="0" w:type="dxa"/>
              <w:bottom w:w="0" w:type="dxa"/>
              <w:right w:w="0" w:type="dxa"/>
            </w:tcMar>
          </w:tcPr>
          <w:p w14:paraId="13E05941"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vMerge/>
            <w:tcMar>
              <w:top w:w="0" w:type="dxa"/>
              <w:left w:w="0" w:type="dxa"/>
              <w:bottom w:w="0" w:type="dxa"/>
              <w:right w:w="0" w:type="dxa"/>
            </w:tcMar>
          </w:tcPr>
          <w:p w14:paraId="20CCD0BB"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2351" w:type="dxa"/>
            <w:tcMar>
              <w:top w:w="0" w:type="dxa"/>
              <w:left w:w="0" w:type="dxa"/>
              <w:bottom w:w="0" w:type="dxa"/>
              <w:right w:w="0" w:type="dxa"/>
            </w:tcMar>
          </w:tcPr>
          <w:p w14:paraId="6C705FA9"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T3 (21)</w:t>
            </w:r>
          </w:p>
        </w:tc>
        <w:tc>
          <w:tcPr>
            <w:tcW w:w="2609" w:type="dxa"/>
            <w:tcMar>
              <w:top w:w="0" w:type="dxa"/>
              <w:left w:w="0" w:type="dxa"/>
              <w:bottom w:w="0" w:type="dxa"/>
              <w:right w:w="0" w:type="dxa"/>
            </w:tcMar>
          </w:tcPr>
          <w:p w14:paraId="2E12CC68"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T2 (51)</w:t>
            </w:r>
          </w:p>
        </w:tc>
      </w:tr>
      <w:tr w:rsidR="0006295E" w:rsidRPr="0032528B" w14:paraId="7D0FCB5A" w14:textId="77777777" w:rsidTr="0070514D">
        <w:trPr>
          <w:trHeight w:val="578"/>
        </w:trPr>
        <w:tc>
          <w:tcPr>
            <w:tcW w:w="1701" w:type="dxa"/>
            <w:vMerge w:val="restart"/>
            <w:tcBorders>
              <w:top w:val="nil"/>
            </w:tcBorders>
            <w:tcMar>
              <w:top w:w="0" w:type="dxa"/>
              <w:left w:w="0" w:type="dxa"/>
              <w:bottom w:w="0" w:type="dxa"/>
              <w:right w:w="0" w:type="dxa"/>
            </w:tcMar>
          </w:tcPr>
          <w:p w14:paraId="7C78961B" w14:textId="0090A07F"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First syllable</w:t>
            </w:r>
          </w:p>
        </w:tc>
        <w:tc>
          <w:tcPr>
            <w:tcW w:w="1134" w:type="dxa"/>
            <w:tcMar>
              <w:top w:w="0" w:type="dxa"/>
              <w:left w:w="0" w:type="dxa"/>
              <w:bottom w:w="0" w:type="dxa"/>
              <w:right w:w="0" w:type="dxa"/>
            </w:tcMar>
          </w:tcPr>
          <w:p w14:paraId="39239207" w14:textId="2BA63F0E"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T2’ (55)</w:t>
            </w:r>
          </w:p>
        </w:tc>
        <w:tc>
          <w:tcPr>
            <w:tcW w:w="2351" w:type="dxa"/>
            <w:tcMar>
              <w:top w:w="0" w:type="dxa"/>
              <w:left w:w="0" w:type="dxa"/>
              <w:bottom w:w="0" w:type="dxa"/>
              <w:right w:w="0" w:type="dxa"/>
            </w:tcMar>
          </w:tcPr>
          <w:p w14:paraId="3C0BA143"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掌管</w:t>
            </w:r>
            <w:r>
              <w:rPr>
                <w:rFonts w:ascii="Times New Roman" w:hAnsi="Times New Roman" w:cs="Times New Roman"/>
                <w:color w:val="000000" w:themeColor="text1"/>
              </w:rPr>
              <w:t xml:space="preserve"> /tsjoŋ.kwan/</w:t>
            </w:r>
          </w:p>
          <w:p w14:paraId="24A5F8ED" w14:textId="0A889DC4" w:rsidR="000C1695" w:rsidRPr="0032528B" w:rsidRDefault="000C1695" w:rsidP="0070514D">
            <w:pPr>
              <w:pStyle w:val="JASAFigureCaptionsandEndnotes"/>
              <w:spacing w:line="240" w:lineRule="auto"/>
              <w:rPr>
                <w:rFonts w:ascii="Times New Roman" w:eastAsia="Microsoft JhengHei" w:hAnsi="Times New Roman" w:cs="Times New Roman"/>
                <w:color w:val="000000" w:themeColor="text1"/>
              </w:rPr>
            </w:pPr>
            <w:r>
              <w:rPr>
                <w:rFonts w:ascii="Times New Roman" w:hAnsi="Times New Roman" w:cs="Times New Roman"/>
                <w:color w:val="000000" w:themeColor="text1"/>
              </w:rPr>
              <w:t xml:space="preserve">‘to be in charge’ (0)</w:t>
            </w:r>
          </w:p>
        </w:tc>
        <w:tc>
          <w:tcPr>
            <w:tcW w:w="2609" w:type="dxa"/>
            <w:tcMar>
              <w:top w:w="0" w:type="dxa"/>
              <w:left w:w="0" w:type="dxa"/>
              <w:bottom w:w="0" w:type="dxa"/>
              <w:right w:w="0" w:type="dxa"/>
            </w:tcMar>
          </w:tcPr>
          <w:p w14:paraId="30244B70"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獎券</w:t>
            </w:r>
            <w:r>
              <w:rPr>
                <w:rFonts w:ascii="Times New Roman" w:hAnsi="Times New Roman" w:cs="Times New Roman"/>
                <w:color w:val="000000" w:themeColor="text1"/>
              </w:rPr>
              <w:t xml:space="preserve"> /tsjoŋ.kwan/</w:t>
            </w:r>
          </w:p>
          <w:p w14:paraId="0E4B6289" w14:textId="6D08861E" w:rsidR="000C1695" w:rsidRPr="0032528B" w:rsidRDefault="000C1695" w:rsidP="0070514D">
            <w:pPr>
              <w:pStyle w:val="JASAFigureCaptionsandEndnotes"/>
              <w:spacing w:line="240" w:lineRule="auto"/>
              <w:rPr>
                <w:rFonts w:ascii="Times New Roman" w:eastAsia="Microsoft JhengHei" w:hAnsi="Times New Roman" w:cs="Times New Roman"/>
                <w:color w:val="000000" w:themeColor="text1"/>
              </w:rPr>
            </w:pPr>
            <w:r>
              <w:rPr>
                <w:rFonts w:ascii="Times New Roman" w:hAnsi="Times New Roman" w:cs="Times New Roman"/>
                <w:color w:val="000000" w:themeColor="text1"/>
              </w:rPr>
              <w:t xml:space="preserve">‘lottery’ (3)</w:t>
            </w:r>
          </w:p>
        </w:tc>
      </w:tr>
      <w:tr w:rsidR="0006295E" w:rsidRPr="0032528B" w14:paraId="4F7C426F" w14:textId="77777777" w:rsidTr="0070514D">
        <w:trPr>
          <w:trHeight w:val="578"/>
        </w:trPr>
        <w:tc>
          <w:tcPr>
            <w:tcW w:w="1701" w:type="dxa"/>
            <w:vMerge/>
            <w:tcMar>
              <w:top w:w="0" w:type="dxa"/>
              <w:left w:w="0" w:type="dxa"/>
              <w:bottom w:w="0" w:type="dxa"/>
              <w:right w:w="0" w:type="dxa"/>
            </w:tcMar>
          </w:tcPr>
          <w:p w14:paraId="6ECF9EBE" w14:textId="0E58D283"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tcMar>
              <w:top w:w="0" w:type="dxa"/>
              <w:left w:w="0" w:type="dxa"/>
              <w:bottom w:w="0" w:type="dxa"/>
              <w:right w:w="0" w:type="dxa"/>
            </w:tcMar>
          </w:tcPr>
          <w:p w14:paraId="2E09C2E7" w14:textId="3315ADAA"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T3’ (51)</w:t>
            </w:r>
          </w:p>
        </w:tc>
        <w:tc>
          <w:tcPr>
            <w:tcW w:w="2351" w:type="dxa"/>
            <w:tcMar>
              <w:top w:w="0" w:type="dxa"/>
              <w:left w:w="0" w:type="dxa"/>
              <w:bottom w:w="0" w:type="dxa"/>
              <w:right w:w="0" w:type="dxa"/>
            </w:tcMar>
          </w:tcPr>
          <w:p w14:paraId="4786F6B4"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睏褲</w:t>
            </w:r>
            <w:r>
              <w:rPr>
                <w:rFonts w:ascii="Times New Roman" w:hAnsi="Times New Roman" w:cs="Times New Roman"/>
                <w:color w:val="000000" w:themeColor="text1"/>
              </w:rPr>
              <w:t>/k</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un.k</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ɔ/</w:t>
            </w:r>
          </w:p>
          <w:p w14:paraId="1FB3289D" w14:textId="3109A725"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‘pajama’ (0)</w:t>
            </w:r>
          </w:p>
        </w:tc>
        <w:tc>
          <w:tcPr>
            <w:tcW w:w="2609" w:type="dxa"/>
            <w:tcMar>
              <w:top w:w="0" w:type="dxa"/>
              <w:left w:w="0" w:type="dxa"/>
              <w:bottom w:w="0" w:type="dxa"/>
              <w:right w:w="0" w:type="dxa"/>
            </w:tcMar>
          </w:tcPr>
          <w:p w14:paraId="3729E4FB"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困苦</w:t>
            </w:r>
            <w:r>
              <w:rPr>
                <w:rFonts w:ascii="Times New Roman" w:hAnsi="Times New Roman" w:cs="Times New Roman"/>
                <w:color w:val="000000" w:themeColor="text1"/>
              </w:rPr>
              <w:t xml:space="preserve"> /k</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un.k</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ɔ /</w:t>
            </w:r>
          </w:p>
          <w:p w14:paraId="5D4231C5" w14:textId="1A288B1B"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‘hardship’ (15)</w:t>
            </w:r>
          </w:p>
        </w:tc>
      </w:tr>
      <w:tr w:rsidR="0006295E" w:rsidRPr="0032528B" w14:paraId="50B69759" w14:textId="77777777" w:rsidTr="0070514D">
        <w:trPr>
          <w:trHeight w:val="589"/>
        </w:trPr>
        <w:tc>
          <w:tcPr>
            <w:tcW w:w="1701" w:type="dxa"/>
            <w:vMerge/>
            <w:tcMar>
              <w:top w:w="0" w:type="dxa"/>
              <w:left w:w="0" w:type="dxa"/>
              <w:bottom w:w="0" w:type="dxa"/>
              <w:right w:w="0" w:type="dxa"/>
            </w:tcMar>
          </w:tcPr>
          <w:p w14:paraId="7BD89D4C"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tcMar>
              <w:top w:w="0" w:type="dxa"/>
              <w:left w:w="0" w:type="dxa"/>
              <w:bottom w:w="0" w:type="dxa"/>
              <w:right w:w="0" w:type="dxa"/>
            </w:tcMar>
          </w:tcPr>
          <w:p w14:paraId="40175762"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T5’ (33)</w:t>
            </w:r>
          </w:p>
        </w:tc>
        <w:tc>
          <w:tcPr>
            <w:tcW w:w="2351" w:type="dxa"/>
            <w:tcMar>
              <w:top w:w="0" w:type="dxa"/>
              <w:left w:w="0" w:type="dxa"/>
              <w:bottom w:w="0" w:type="dxa"/>
              <w:right w:w="0" w:type="dxa"/>
            </w:tcMar>
          </w:tcPr>
          <w:p w14:paraId="5A801E4C"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茶罐</w:t>
            </w:r>
            <w:r>
              <w:rPr>
                <w:rFonts w:ascii="Times New Roman" w:hAnsi="Times New Roman" w:cs="Times New Roman"/>
                <w:color w:val="000000" w:themeColor="text1"/>
              </w:rPr>
              <w:t xml:space="preserve"> /te.kwan/</w:t>
            </w:r>
          </w:p>
          <w:p w14:paraId="00171F55" w14:textId="702171EF"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‘tea can’ (0)</w:t>
            </w:r>
          </w:p>
        </w:tc>
        <w:tc>
          <w:tcPr>
            <w:tcW w:w="2609" w:type="dxa"/>
            <w:tcMar>
              <w:top w:w="0" w:type="dxa"/>
              <w:left w:w="0" w:type="dxa"/>
              <w:bottom w:w="0" w:type="dxa"/>
              <w:right w:w="0" w:type="dxa"/>
            </w:tcMar>
          </w:tcPr>
          <w:p w14:paraId="1219AB91"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茶館</w:t>
            </w:r>
            <w:r>
              <w:rPr>
                <w:rFonts w:ascii="Times New Roman" w:hAnsi="Times New Roman" w:cs="Times New Roman"/>
                <w:color w:val="000000" w:themeColor="text1"/>
              </w:rPr>
              <w:t xml:space="preserve"> /te.kwan /</w:t>
            </w:r>
          </w:p>
          <w:p w14:paraId="7DD7892E" w14:textId="7E6DCA2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‘tea shop’ (0)</w:t>
            </w:r>
          </w:p>
        </w:tc>
      </w:tr>
      <w:tr w:rsidR="000C1695" w:rsidRPr="0032528B" w14:paraId="632A89DD" w14:textId="77777777" w:rsidTr="0070514D">
        <w:trPr>
          <w:trHeight w:val="589"/>
        </w:trPr>
        <w:tc>
          <w:tcPr>
            <w:tcW w:w="1701" w:type="dxa"/>
            <w:vMerge/>
            <w:tcBorders>
              <w:bottom w:val="double" w:sz="4" w:space="0" w:color="auto"/>
            </w:tcBorders>
            <w:tcMar>
              <w:top w:w="0" w:type="dxa"/>
              <w:left w:w="0" w:type="dxa"/>
              <w:bottom w:w="0" w:type="dxa"/>
              <w:right w:w="0" w:type="dxa"/>
            </w:tcMar>
          </w:tcPr>
          <w:p w14:paraId="07D91FB5"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p>
        </w:tc>
        <w:tc>
          <w:tcPr>
            <w:tcW w:w="1134" w:type="dxa"/>
            <w:tcBorders>
              <w:bottom w:val="double" w:sz="4" w:space="0" w:color="auto"/>
            </w:tcBorders>
            <w:tcMar>
              <w:top w:w="0" w:type="dxa"/>
              <w:left w:w="0" w:type="dxa"/>
              <w:bottom w:w="0" w:type="dxa"/>
              <w:right w:w="0" w:type="dxa"/>
            </w:tcMar>
          </w:tcPr>
          <w:p w14:paraId="2FA20539"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T7’ (21)</w:t>
            </w:r>
          </w:p>
        </w:tc>
        <w:tc>
          <w:tcPr>
            <w:tcW w:w="2351" w:type="dxa"/>
            <w:tcBorders>
              <w:bottom w:val="double" w:sz="4" w:space="0" w:color="auto"/>
            </w:tcBorders>
            <w:tcMar>
              <w:top w:w="0" w:type="dxa"/>
              <w:left w:w="0" w:type="dxa"/>
              <w:bottom w:w="0" w:type="dxa"/>
              <w:right w:w="0" w:type="dxa"/>
            </w:tcMar>
          </w:tcPr>
          <w:p w14:paraId="75AF2476"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大體</w:t>
            </w:r>
            <w:r>
              <w:rPr>
                <w:rFonts w:ascii="Times New Roman" w:hAnsi="Times New Roman" w:cs="Times New Roman"/>
                <w:color w:val="000000" w:themeColor="text1"/>
              </w:rPr>
              <w:t xml:space="preserve"> /taj.t</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e/</w:t>
            </w:r>
          </w:p>
          <w:p w14:paraId="5B16AB04" w14:textId="7E8D3FBB"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‘corpse’ (10)</w:t>
            </w:r>
          </w:p>
        </w:tc>
        <w:tc>
          <w:tcPr>
            <w:tcW w:w="2609" w:type="dxa"/>
            <w:tcBorders>
              <w:bottom w:val="double" w:sz="4" w:space="0" w:color="auto"/>
            </w:tcBorders>
            <w:tcMar>
              <w:top w:w="0" w:type="dxa"/>
              <w:left w:w="0" w:type="dxa"/>
              <w:bottom w:w="0" w:type="dxa"/>
              <w:right w:w="0" w:type="dxa"/>
            </w:tcMar>
          </w:tcPr>
          <w:p w14:paraId="0FABA4BA" w14:textId="77777777"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代替</w:t>
            </w:r>
            <w:r>
              <w:rPr>
                <w:rFonts w:ascii="Times New Roman" w:hAnsi="Times New Roman" w:cs="Times New Roman"/>
                <w:color w:val="000000" w:themeColor="text1"/>
              </w:rPr>
              <w:t xml:space="preserve"> / taj.t</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e/</w:t>
            </w:r>
          </w:p>
          <w:p w14:paraId="46DB391B" w14:textId="5A072249" w:rsidR="000C1695" w:rsidRPr="0032528B" w:rsidRDefault="000C1695"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substitute’ (20)</w:t>
            </w:r>
          </w:p>
        </w:tc>
      </w:tr>
    </w:tbl>
    <w:p w14:paraId="0994B129" w14:textId="256FBF5A" w:rsidR="000008EF" w:rsidRPr="0032528B" w:rsidRDefault="000008EF">
      <w:pPr>
        <w:rPr>
          <w:rFonts w:ascii="Times New Roman" w:eastAsia="STKaiti" w:hAnsi="Times New Roman" w:cs="Times New Roman"/>
          <w:b/>
          <w:bCs/>
          <w:color w:val="000000" w:themeColor="text1"/>
        </w:rPr>
      </w:pPr>
    </w:p>
    <w:p w14:paraId="3121EE85" w14:textId="6B965131" w:rsidR="00F223C3" w:rsidRPr="0032528B" w:rsidRDefault="00F223C3" w:rsidP="0070514D">
      <w:pPr>
        <w:pStyle w:val="Headings-Acknowlegements"/>
        <w:ind w:firstLine="0"/>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lang w:val="fr-FR"/>
        </w:rPr>
        <w:t xml:space="preserve">Appendix C: Experiment 3</w:t>
      </w:r>
    </w:p>
    <w:p w14:paraId="5FE3A178" w14:textId="013F2626" w:rsidR="00F223C3" w:rsidRPr="0032528B" w:rsidRDefault="0070514D" w:rsidP="0070514D">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1. Stimuli</w:t>
      </w:r>
    </w:p>
    <w:p w14:paraId="36F342A3" w14:textId="7AA25A0C" w:rsidR="00007B1F" w:rsidRPr="0032528B" w:rsidRDefault="00007B1F" w:rsidP="0070514D">
      <w:pPr>
        <w:pStyle w:val="JASABodyText"/>
        <w:ind w:firstLine="0"/>
        <w:rPr>
          <w:rFonts w:ascii="Times New Roman" w:eastAsia="STKaiti" w:hAnsi="Times New Roman" w:cs="Times New Roman"/>
          <w:bCs/>
          <w:color w:val="000000" w:themeColor="text1"/>
        </w:rPr>
      </w:pPr>
      <w:r>
        <w:rPr>
          <w:rFonts w:ascii="Times New Roman" w:eastAsia="STKaiti" w:hAnsi="Times New Roman" w:cs="Times New Roman"/>
          <w:bCs/>
          <w:color w:val="000000" w:themeColor="text1"/>
          <w:lang w:val="fr-FR"/>
        </w:rPr>
        <w:t xml:space="preserve">Table 15. Taiwan Mandarin version. </w:t>
      </w:r>
      <w:r>
        <w:rPr>
          <w:rFonts w:ascii="Times New Roman" w:eastAsia="STKaiti" w:hAnsi="Times New Roman" w:cs="Times New Roman"/>
          <w:bCs/>
          <w:color w:val="000000" w:themeColor="text1"/>
        </w:rPr>
        <w:t xml:space="preserve">Word frequencies are included after the glosses in the parentheses (total word counts in the corpus: 11,245,330).</w:t>
      </w:r>
    </w:p>
    <w:tbl>
      <w:tblPr>
        <w:tblStyle w:val="Grilledutableau"/>
        <w:tblW w:w="9351"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63"/>
        <w:gridCol w:w="2552"/>
        <w:gridCol w:w="2126"/>
        <w:gridCol w:w="2410"/>
      </w:tblGrid>
      <w:tr w:rsidR="0006295E" w:rsidRPr="0032528B" w14:paraId="18223D65" w14:textId="77777777" w:rsidTr="0070514D">
        <w:tc>
          <w:tcPr>
            <w:tcW w:w="2263" w:type="dxa"/>
            <w:tcMar>
              <w:top w:w="0" w:type="dxa"/>
              <w:left w:w="0" w:type="dxa"/>
              <w:bottom w:w="0" w:type="dxa"/>
              <w:right w:w="0" w:type="dxa"/>
            </w:tcMar>
          </w:tcPr>
          <w:p w14:paraId="4CFEE788"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Syllables</w:t>
            </w:r>
          </w:p>
        </w:tc>
        <w:tc>
          <w:tcPr>
            <w:tcW w:w="2552" w:type="dxa"/>
            <w:tcMar>
              <w:top w:w="0" w:type="dxa"/>
              <w:left w:w="0" w:type="dxa"/>
              <w:bottom w:w="0" w:type="dxa"/>
              <w:right w:w="0" w:type="dxa"/>
            </w:tcMar>
          </w:tcPr>
          <w:p w14:paraId="6A05300F"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Words</w:t>
            </w:r>
          </w:p>
        </w:tc>
        <w:tc>
          <w:tcPr>
            <w:tcW w:w="2126" w:type="dxa"/>
            <w:tcMar>
              <w:top w:w="0" w:type="dxa"/>
              <w:left w:w="0" w:type="dxa"/>
              <w:bottom w:w="0" w:type="dxa"/>
              <w:right w:w="0" w:type="dxa"/>
            </w:tcMar>
          </w:tcPr>
          <w:p w14:paraId="64119F9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Syllables</w:t>
            </w:r>
          </w:p>
        </w:tc>
        <w:tc>
          <w:tcPr>
            <w:tcW w:w="2410" w:type="dxa"/>
            <w:tcMar>
              <w:top w:w="0" w:type="dxa"/>
              <w:left w:w="0" w:type="dxa"/>
              <w:bottom w:w="0" w:type="dxa"/>
              <w:right w:w="0" w:type="dxa"/>
            </w:tcMar>
          </w:tcPr>
          <w:p w14:paraId="13254705"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Words</w:t>
            </w:r>
          </w:p>
        </w:tc>
      </w:tr>
      <w:tr w:rsidR="0006295E" w:rsidRPr="0032528B" w14:paraId="39125BEB" w14:textId="77777777" w:rsidTr="0070514D">
        <w:tc>
          <w:tcPr>
            <w:tcW w:w="2263" w:type="dxa"/>
            <w:vMerge w:val="restart"/>
            <w:tcMar>
              <w:top w:w="0" w:type="dxa"/>
              <w:left w:w="0" w:type="dxa"/>
              <w:bottom w:w="0" w:type="dxa"/>
              <w:right w:w="0" w:type="dxa"/>
            </w:tcMar>
          </w:tcPr>
          <w:p w14:paraId="749A1678" w14:textId="5EA5364C"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T1 (55) + T3 (21)</w:t>
            </w:r>
          </w:p>
        </w:tc>
        <w:tc>
          <w:tcPr>
            <w:tcW w:w="2552" w:type="dxa"/>
            <w:tcMar>
              <w:top w:w="0" w:type="dxa"/>
              <w:left w:w="0" w:type="dxa"/>
              <w:bottom w:w="0" w:type="dxa"/>
              <w:right w:w="0" w:type="dxa"/>
            </w:tcMar>
          </w:tcPr>
          <w:p w14:paraId="565CDE1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桌腳</w:t>
            </w:r>
            <w:r>
              <w:rPr>
                <w:rFonts w:ascii="Times New Roman" w:hAnsi="Times New Roman" w:cs="Times New Roman"/>
                <w:color w:val="000000" w:themeColor="text1"/>
              </w:rPr>
              <w:t xml:space="preserve"> /tswɔ.tɕjɑʊ/</w:t>
            </w:r>
          </w:p>
          <w:p w14:paraId="43C048B5" w14:textId="1164ED80"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‘table base’ (2)</w:t>
            </w:r>
          </w:p>
        </w:tc>
        <w:tc>
          <w:tcPr>
            <w:tcW w:w="2126" w:type="dxa"/>
            <w:vMerge w:val="restart"/>
            <w:tcMar>
              <w:top w:w="0" w:type="dxa"/>
              <w:left w:w="0" w:type="dxa"/>
              <w:bottom w:w="0" w:type="dxa"/>
              <w:right w:w="0" w:type="dxa"/>
            </w:tcMar>
          </w:tcPr>
          <w:p w14:paraId="42B21E5F" w14:textId="2B184F41"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T1 (55) + T4 (51)</w:t>
            </w:r>
          </w:p>
        </w:tc>
        <w:tc>
          <w:tcPr>
            <w:tcW w:w="2410" w:type="dxa"/>
            <w:tcMar>
              <w:top w:w="0" w:type="dxa"/>
              <w:left w:w="0" w:type="dxa"/>
              <w:bottom w:w="0" w:type="dxa"/>
              <w:right w:w="0" w:type="dxa"/>
            </w:tcMar>
          </w:tcPr>
          <w:p w14:paraId="4643FB7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tc>
      </w:tr>
      <w:tr w:rsidR="0006295E" w:rsidRPr="0032528B" w14:paraId="2AA78BB7" w14:textId="77777777" w:rsidTr="0070514D">
        <w:trPr>
          <w:trHeight w:val="65"/>
        </w:trPr>
        <w:tc>
          <w:tcPr>
            <w:tcW w:w="2263" w:type="dxa"/>
            <w:vMerge/>
            <w:tcMar>
              <w:top w:w="0" w:type="dxa"/>
              <w:left w:w="0" w:type="dxa"/>
              <w:bottom w:w="0" w:type="dxa"/>
              <w:right w:w="0" w:type="dxa"/>
            </w:tcMar>
          </w:tcPr>
          <w:p w14:paraId="105D2ADA"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6141B6EC"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喝酒</w:t>
            </w:r>
            <w:r>
              <w:rPr>
                <w:rFonts w:ascii="Times New Roman" w:hAnsi="Times New Roman" w:cs="Times New Roman"/>
                <w:color w:val="000000" w:themeColor="text1"/>
              </w:rPr>
              <w:t xml:space="preserve"> /hə.tɕjoʊ/</w:t>
            </w:r>
          </w:p>
          <w:p w14:paraId="311371BF" w14:textId="40D174AE"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drink alcohol’ (4)</w:t>
            </w:r>
          </w:p>
        </w:tc>
        <w:tc>
          <w:tcPr>
            <w:tcW w:w="2126" w:type="dxa"/>
            <w:vMerge/>
            <w:tcMar>
              <w:top w:w="0" w:type="dxa"/>
              <w:left w:w="0" w:type="dxa"/>
              <w:bottom w:w="0" w:type="dxa"/>
              <w:right w:w="0" w:type="dxa"/>
            </w:tcMar>
          </w:tcPr>
          <w:p w14:paraId="51FF897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5348CB2E"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60C3B848" w14:textId="77777777" w:rsidTr="0070514D">
        <w:tc>
          <w:tcPr>
            <w:tcW w:w="2263" w:type="dxa"/>
            <w:vMerge/>
            <w:tcMar>
              <w:top w:w="0" w:type="dxa"/>
              <w:left w:w="0" w:type="dxa"/>
              <w:bottom w:w="0" w:type="dxa"/>
              <w:right w:w="0" w:type="dxa"/>
            </w:tcMar>
          </w:tcPr>
          <w:p w14:paraId="78A7A37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523666EA"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吸管</w:t>
            </w:r>
            <w:r>
              <w:rPr>
                <w:rFonts w:ascii="Times New Roman" w:hAnsi="Times New Roman" w:cs="Times New Roman"/>
                <w:color w:val="000000" w:themeColor="text1"/>
              </w:rPr>
              <w:t xml:space="preserve"> /ɕi.kwan/</w:t>
            </w:r>
          </w:p>
          <w:p w14:paraId="0C170DAE" w14:textId="26EB693D"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‘straw’ (19)</w:t>
            </w:r>
          </w:p>
        </w:tc>
        <w:tc>
          <w:tcPr>
            <w:tcW w:w="2126" w:type="dxa"/>
            <w:vMerge/>
            <w:tcMar>
              <w:top w:w="0" w:type="dxa"/>
              <w:left w:w="0" w:type="dxa"/>
              <w:bottom w:w="0" w:type="dxa"/>
              <w:right w:w="0" w:type="dxa"/>
            </w:tcMar>
          </w:tcPr>
          <w:p w14:paraId="6B748A8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70F421DB"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1254BDDC" w14:textId="77777777" w:rsidTr="0070514D">
        <w:tc>
          <w:tcPr>
            <w:tcW w:w="2263" w:type="dxa"/>
            <w:vMerge/>
            <w:tcMar>
              <w:top w:w="0" w:type="dxa"/>
              <w:left w:w="0" w:type="dxa"/>
              <w:bottom w:w="0" w:type="dxa"/>
              <w:right w:w="0" w:type="dxa"/>
            </w:tcMar>
          </w:tcPr>
          <w:p w14:paraId="4F81876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3733A3A7"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發展</w:t>
            </w:r>
            <w:r>
              <w:rPr>
                <w:rFonts w:ascii="Times New Roman" w:hAnsi="Times New Roman" w:cs="Times New Roman"/>
                <w:color w:val="000000" w:themeColor="text1"/>
              </w:rPr>
              <w:t xml:space="preserve"> /fa.tsan/</w:t>
            </w:r>
          </w:p>
          <w:p w14:paraId="531A0A78" w14:textId="101983AE"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develop’ (6956)</w:t>
            </w:r>
          </w:p>
        </w:tc>
        <w:tc>
          <w:tcPr>
            <w:tcW w:w="2126" w:type="dxa"/>
            <w:vMerge/>
            <w:tcMar>
              <w:top w:w="0" w:type="dxa"/>
              <w:left w:w="0" w:type="dxa"/>
              <w:bottom w:w="0" w:type="dxa"/>
              <w:right w:w="0" w:type="dxa"/>
            </w:tcMar>
          </w:tcPr>
          <w:p w14:paraId="29107E67"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78CE02F7"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7682046E" w14:textId="77777777" w:rsidTr="0070514D">
        <w:tc>
          <w:tcPr>
            <w:tcW w:w="2263" w:type="dxa"/>
            <w:vMerge/>
            <w:tcMar>
              <w:top w:w="0" w:type="dxa"/>
              <w:left w:w="0" w:type="dxa"/>
              <w:bottom w:w="0" w:type="dxa"/>
              <w:right w:w="0" w:type="dxa"/>
            </w:tcMar>
          </w:tcPr>
          <w:p w14:paraId="58046BA0"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3CA1B6A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今晚</w:t>
            </w:r>
            <w:r>
              <w:rPr>
                <w:rFonts w:ascii="Times New Roman" w:hAnsi="Times New Roman" w:cs="Times New Roman"/>
                <w:color w:val="000000" w:themeColor="text1"/>
              </w:rPr>
              <w:t xml:space="preserve"> /tɕiŋ.wan/</w:t>
            </w:r>
          </w:p>
          <w:p w14:paraId="22E85911" w14:textId="7E4C9792"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‘tonight’ (190)</w:t>
            </w:r>
          </w:p>
        </w:tc>
        <w:tc>
          <w:tcPr>
            <w:tcW w:w="2126" w:type="dxa"/>
            <w:vMerge/>
            <w:tcMar>
              <w:top w:w="0" w:type="dxa"/>
              <w:left w:w="0" w:type="dxa"/>
              <w:bottom w:w="0" w:type="dxa"/>
              <w:right w:w="0" w:type="dxa"/>
            </w:tcMar>
          </w:tcPr>
          <w:p w14:paraId="46ADB07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10570C5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163F5805" w14:textId="77777777" w:rsidTr="0070514D">
        <w:tc>
          <w:tcPr>
            <w:tcW w:w="2263" w:type="dxa"/>
            <w:vMerge/>
            <w:tcMar>
              <w:top w:w="0" w:type="dxa"/>
              <w:left w:w="0" w:type="dxa"/>
              <w:bottom w:w="0" w:type="dxa"/>
              <w:right w:w="0" w:type="dxa"/>
            </w:tcMar>
          </w:tcPr>
          <w:p w14:paraId="74F0D61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5651FA0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2126" w:type="dxa"/>
            <w:vMerge/>
            <w:tcMar>
              <w:top w:w="0" w:type="dxa"/>
              <w:left w:w="0" w:type="dxa"/>
              <w:bottom w:w="0" w:type="dxa"/>
              <w:right w:w="0" w:type="dxa"/>
            </w:tcMar>
          </w:tcPr>
          <w:p w14:paraId="21F10DD9"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37ACFF9F"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壓力</w:t>
            </w:r>
            <w:r>
              <w:rPr>
                <w:rFonts w:ascii="Times New Roman" w:hAnsi="Times New Roman" w:cs="Times New Roman"/>
                <w:color w:val="000000" w:themeColor="text1"/>
              </w:rPr>
              <w:t xml:space="preserve"> /ja.li/</w:t>
            </w:r>
          </w:p>
          <w:p w14:paraId="02D73CAD" w14:textId="75BF691C"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‘pressure’ (1861)</w:t>
            </w:r>
          </w:p>
        </w:tc>
      </w:tr>
      <w:tr w:rsidR="0006295E" w:rsidRPr="0032528B" w14:paraId="7311E8C6" w14:textId="77777777" w:rsidTr="0070514D">
        <w:tc>
          <w:tcPr>
            <w:tcW w:w="2263" w:type="dxa"/>
            <w:vMerge/>
            <w:tcMar>
              <w:top w:w="0" w:type="dxa"/>
              <w:left w:w="0" w:type="dxa"/>
              <w:bottom w:w="0" w:type="dxa"/>
              <w:right w:w="0" w:type="dxa"/>
            </w:tcMar>
          </w:tcPr>
          <w:p w14:paraId="172080E0"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54FCDFA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2126" w:type="dxa"/>
            <w:vMerge/>
            <w:tcMar>
              <w:top w:w="0" w:type="dxa"/>
              <w:left w:w="0" w:type="dxa"/>
              <w:bottom w:w="0" w:type="dxa"/>
              <w:right w:w="0" w:type="dxa"/>
            </w:tcMar>
          </w:tcPr>
          <w:p w14:paraId="041DC29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04BE22E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飛彈</w:t>
            </w:r>
            <w:r>
              <w:rPr>
                <w:rFonts w:ascii="Times New Roman" w:hAnsi="Times New Roman" w:cs="Times New Roman"/>
                <w:color w:val="000000" w:themeColor="text1"/>
              </w:rPr>
              <w:t xml:space="preserve"> /fej.tan/</w:t>
            </w:r>
          </w:p>
          <w:p w14:paraId="0D4D8C74" w14:textId="741B148F"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‘missile’ (511)</w:t>
            </w:r>
          </w:p>
        </w:tc>
      </w:tr>
      <w:tr w:rsidR="0006295E" w:rsidRPr="0032528B" w14:paraId="30696E73" w14:textId="77777777" w:rsidTr="0070514D">
        <w:tc>
          <w:tcPr>
            <w:tcW w:w="2263" w:type="dxa"/>
            <w:vMerge/>
            <w:tcMar>
              <w:top w:w="0" w:type="dxa"/>
              <w:left w:w="0" w:type="dxa"/>
              <w:bottom w:w="0" w:type="dxa"/>
              <w:right w:w="0" w:type="dxa"/>
            </w:tcMar>
          </w:tcPr>
          <w:p w14:paraId="111BDB55"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74BA18D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2126" w:type="dxa"/>
            <w:vMerge/>
            <w:tcMar>
              <w:top w:w="0" w:type="dxa"/>
              <w:left w:w="0" w:type="dxa"/>
              <w:bottom w:w="0" w:type="dxa"/>
              <w:right w:w="0" w:type="dxa"/>
            </w:tcMar>
          </w:tcPr>
          <w:p w14:paraId="22576BC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0ECDDD27"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登記</w:t>
            </w:r>
            <w:r>
              <w:rPr>
                <w:rFonts w:ascii="Times New Roman" w:hAnsi="Times New Roman" w:cs="Times New Roman"/>
                <w:color w:val="000000" w:themeColor="text1"/>
              </w:rPr>
              <w:t xml:space="preserve"> /təŋ.tɕi/</w:t>
            </w:r>
          </w:p>
          <w:p w14:paraId="0AA9D552" w14:textId="4D70A979"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register’ (491)</w:t>
            </w:r>
          </w:p>
        </w:tc>
      </w:tr>
      <w:tr w:rsidR="0006295E" w:rsidRPr="0032528B" w14:paraId="058A9E41" w14:textId="77777777" w:rsidTr="0070514D">
        <w:tc>
          <w:tcPr>
            <w:tcW w:w="2263" w:type="dxa"/>
            <w:vMerge/>
            <w:tcMar>
              <w:top w:w="0" w:type="dxa"/>
              <w:left w:w="0" w:type="dxa"/>
              <w:bottom w:w="0" w:type="dxa"/>
              <w:right w:w="0" w:type="dxa"/>
            </w:tcMar>
          </w:tcPr>
          <w:p w14:paraId="57BF0C71"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574D1CA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2126" w:type="dxa"/>
            <w:vMerge/>
            <w:tcMar>
              <w:top w:w="0" w:type="dxa"/>
              <w:left w:w="0" w:type="dxa"/>
              <w:bottom w:w="0" w:type="dxa"/>
              <w:right w:w="0" w:type="dxa"/>
            </w:tcMar>
          </w:tcPr>
          <w:p w14:paraId="4450DEBA"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6D7D57EA"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功課</w:t>
            </w:r>
            <w:r>
              <w:rPr>
                <w:rFonts w:ascii="Times New Roman" w:hAnsi="Times New Roman" w:cs="Times New Roman"/>
                <w:color w:val="000000" w:themeColor="text1"/>
              </w:rPr>
              <w:t xml:space="preserve"> /koŋ.k</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ə/</w:t>
            </w:r>
          </w:p>
          <w:p w14:paraId="7CA29DBF" w14:textId="4C118F7F"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‘assignment’ (398)</w:t>
            </w:r>
          </w:p>
        </w:tc>
      </w:tr>
      <w:tr w:rsidR="006663E4" w:rsidRPr="0032528B" w14:paraId="3901DC95" w14:textId="77777777" w:rsidTr="0070514D">
        <w:tc>
          <w:tcPr>
            <w:tcW w:w="2263" w:type="dxa"/>
            <w:vMerge/>
            <w:tcMar>
              <w:top w:w="0" w:type="dxa"/>
              <w:left w:w="0" w:type="dxa"/>
              <w:bottom w:w="0" w:type="dxa"/>
              <w:right w:w="0" w:type="dxa"/>
            </w:tcMar>
          </w:tcPr>
          <w:p w14:paraId="31E5CC7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57E1316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2126" w:type="dxa"/>
            <w:vMerge/>
            <w:tcMar>
              <w:top w:w="0" w:type="dxa"/>
              <w:left w:w="0" w:type="dxa"/>
              <w:bottom w:w="0" w:type="dxa"/>
              <w:right w:w="0" w:type="dxa"/>
            </w:tcMar>
          </w:tcPr>
          <w:p w14:paraId="7530AC75"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410" w:type="dxa"/>
            <w:tcMar>
              <w:top w:w="0" w:type="dxa"/>
              <w:left w:w="0" w:type="dxa"/>
              <w:bottom w:w="0" w:type="dxa"/>
              <w:right w:w="0" w:type="dxa"/>
            </w:tcMar>
          </w:tcPr>
          <w:p w14:paraId="6754EA41"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衣物</w:t>
            </w:r>
            <w:r>
              <w:rPr>
                <w:rFonts w:ascii="Times New Roman" w:hAnsi="Times New Roman" w:cs="Times New Roman"/>
                <w:color w:val="000000" w:themeColor="text1"/>
              </w:rPr>
              <w:t xml:space="preserve"> /i.u/</w:t>
            </w:r>
          </w:p>
          <w:p w14:paraId="3FABB314" w14:textId="707EC562"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‘clothes’ (120)</w:t>
            </w:r>
          </w:p>
        </w:tc>
      </w:tr>
    </w:tbl>
    <w:p w14:paraId="17782390" w14:textId="77777777" w:rsidR="006663E4" w:rsidRPr="0032528B" w:rsidRDefault="006663E4" w:rsidP="00BE6D25">
      <w:pPr>
        <w:pStyle w:val="JASAFigureCaptionsandEndnotes"/>
        <w:rPr>
          <w:rFonts w:ascii="Times New Roman" w:hAnsi="Times New Roman" w:cs="Times New Roman"/>
          <w:color w:val="000000" w:themeColor="text1"/>
        </w:rPr>
      </w:pPr>
    </w:p>
    <w:p w14:paraId="0A93A17E" w14:textId="410E5209" w:rsidR="00007B1F" w:rsidRPr="0032528B" w:rsidRDefault="00007B1F" w:rsidP="0070514D">
      <w:pPr>
        <w:pStyle w:val="JASABodyText"/>
        <w:ind w:firstLine="0"/>
        <w:rPr>
          <w:rFonts w:ascii="Times New Roman" w:eastAsia="STKaiti" w:hAnsi="Times New Roman" w:cs="Times New Roman"/>
          <w:bCs/>
          <w:color w:val="000000" w:themeColor="text1"/>
        </w:rPr>
      </w:pPr>
      <w:r>
        <w:rPr>
          <w:rFonts w:ascii="Times New Roman" w:eastAsia="STKaiti" w:hAnsi="Times New Roman" w:cs="Times New Roman"/>
          <w:bCs/>
          <w:color w:val="000000" w:themeColor="text1"/>
        </w:rPr>
        <w:t xml:space="preserve">Table 16. Taiwan Southern Min version. Word frequencies are included after the glosses in the parentheses (total word counts in the corpus: 711,486).</w:t>
      </w:r>
    </w:p>
    <w:tbl>
      <w:tblPr>
        <w:tblStyle w:val="Grilledutableau"/>
        <w:tblW w:w="9351"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63"/>
        <w:gridCol w:w="2552"/>
        <w:gridCol w:w="1989"/>
        <w:gridCol w:w="2547"/>
      </w:tblGrid>
      <w:tr w:rsidR="0006295E" w:rsidRPr="0032528B" w14:paraId="372B7570" w14:textId="77777777" w:rsidTr="0070514D">
        <w:tc>
          <w:tcPr>
            <w:tcW w:w="2263" w:type="dxa"/>
            <w:tcMar>
              <w:top w:w="0" w:type="dxa"/>
              <w:left w:w="0" w:type="dxa"/>
              <w:bottom w:w="0" w:type="dxa"/>
              <w:right w:w="0" w:type="dxa"/>
            </w:tcMar>
          </w:tcPr>
          <w:p w14:paraId="4989FA99"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Syllables</w:t>
            </w:r>
          </w:p>
        </w:tc>
        <w:tc>
          <w:tcPr>
            <w:tcW w:w="2552" w:type="dxa"/>
            <w:tcMar>
              <w:top w:w="0" w:type="dxa"/>
              <w:left w:w="0" w:type="dxa"/>
              <w:bottom w:w="0" w:type="dxa"/>
              <w:right w:w="0" w:type="dxa"/>
            </w:tcMar>
          </w:tcPr>
          <w:p w14:paraId="4D5F9779"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Words</w:t>
            </w:r>
          </w:p>
        </w:tc>
        <w:tc>
          <w:tcPr>
            <w:tcW w:w="1989" w:type="dxa"/>
            <w:tcMar>
              <w:top w:w="0" w:type="dxa"/>
              <w:left w:w="0" w:type="dxa"/>
              <w:bottom w:w="0" w:type="dxa"/>
              <w:right w:w="0" w:type="dxa"/>
            </w:tcMar>
          </w:tcPr>
          <w:p w14:paraId="6742D94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Syllables</w:t>
            </w:r>
          </w:p>
        </w:tc>
        <w:tc>
          <w:tcPr>
            <w:tcW w:w="2547" w:type="dxa"/>
            <w:tcMar>
              <w:top w:w="0" w:type="dxa"/>
              <w:left w:w="0" w:type="dxa"/>
              <w:bottom w:w="0" w:type="dxa"/>
              <w:right w:w="0" w:type="dxa"/>
            </w:tcMar>
          </w:tcPr>
          <w:p w14:paraId="0A95FD8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Words</w:t>
            </w:r>
          </w:p>
        </w:tc>
      </w:tr>
      <w:tr w:rsidR="000544C3" w:rsidRPr="0032528B" w14:paraId="49359A0D" w14:textId="77777777" w:rsidTr="009508DA">
        <w:trPr>
          <w:trHeight w:val="1698"/>
        </w:trPr>
        <w:tc>
          <w:tcPr>
            <w:tcW w:w="2263" w:type="dxa"/>
            <w:vMerge w:val="restart"/>
            <w:tcMar>
              <w:top w:w="0" w:type="dxa"/>
              <w:left w:w="0" w:type="dxa"/>
              <w:bottom w:w="0" w:type="dxa"/>
              <w:right w:w="0" w:type="dxa"/>
            </w:tcMar>
          </w:tcPr>
          <w:p w14:paraId="19452447" w14:textId="77777777" w:rsidR="000544C3" w:rsidRPr="0032528B" w:rsidRDefault="000544C3"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T2’ (55) + T3 (21)</w:t>
            </w:r>
          </w:p>
        </w:tc>
        <w:tc>
          <w:tcPr>
            <w:tcW w:w="2552" w:type="dxa"/>
            <w:tcMar>
              <w:top w:w="0" w:type="dxa"/>
              <w:left w:w="0" w:type="dxa"/>
              <w:bottom w:w="0" w:type="dxa"/>
              <w:right w:w="0" w:type="dxa"/>
            </w:tcMar>
          </w:tcPr>
          <w:p w14:paraId="6A9F5062" w14:textId="77777777" w:rsidR="000544C3" w:rsidRPr="0032528B" w:rsidRDefault="000544C3"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狡怪</w:t>
            </w:r>
            <w:r>
              <w:rPr>
                <w:rFonts w:ascii="Times New Roman" w:hAnsi="Times New Roman" w:cs="Times New Roman"/>
                <w:color w:val="000000" w:themeColor="text1"/>
              </w:rPr>
              <w:t xml:space="preserve"> /kɑʊ.kwaj/</w:t>
            </w:r>
          </w:p>
          <w:p w14:paraId="2BD13FC7" w14:textId="7CDBB89B" w:rsidR="000544C3" w:rsidRPr="0032528B" w:rsidRDefault="000544C3"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‘mischief’ (20)</w:t>
            </w:r>
          </w:p>
        </w:tc>
        <w:tc>
          <w:tcPr>
            <w:tcW w:w="1989" w:type="dxa"/>
            <w:vMerge w:val="restart"/>
            <w:tcMar>
              <w:top w:w="0" w:type="dxa"/>
              <w:left w:w="0" w:type="dxa"/>
              <w:bottom w:w="0" w:type="dxa"/>
              <w:right w:w="0" w:type="dxa"/>
            </w:tcMar>
          </w:tcPr>
          <w:p w14:paraId="15888744" w14:textId="77777777" w:rsidR="000544C3" w:rsidRPr="0032528B" w:rsidRDefault="000544C3"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T2’ (55) + T2 (51)</w:t>
            </w:r>
          </w:p>
        </w:tc>
        <w:tc>
          <w:tcPr>
            <w:tcW w:w="2547" w:type="dxa"/>
            <w:tcMar>
              <w:top w:w="0" w:type="dxa"/>
              <w:left w:w="0" w:type="dxa"/>
              <w:bottom w:w="0" w:type="dxa"/>
              <w:right w:w="0" w:type="dxa"/>
            </w:tcMar>
          </w:tcPr>
          <w:p w14:paraId="31BA0A9B" w14:textId="0D6B4083" w:rsidR="000544C3" w:rsidRPr="0032528B" w:rsidRDefault="000544C3"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tc>
      </w:tr>
      <w:tr w:rsidR="0006295E" w:rsidRPr="0032528B" w14:paraId="6FD9B0DC" w14:textId="77777777" w:rsidTr="0070514D">
        <w:tc>
          <w:tcPr>
            <w:tcW w:w="2263" w:type="dxa"/>
            <w:vMerge/>
            <w:tcMar>
              <w:top w:w="0" w:type="dxa"/>
              <w:left w:w="0" w:type="dxa"/>
              <w:bottom w:w="0" w:type="dxa"/>
              <w:right w:w="0" w:type="dxa"/>
            </w:tcMar>
          </w:tcPr>
          <w:p w14:paraId="23978A5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07A3C42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買票</w:t>
            </w:r>
            <w:r>
              <w:rPr>
                <w:rFonts w:ascii="Times New Roman" w:hAnsi="Times New Roman" w:cs="Times New Roman"/>
                <w:color w:val="000000" w:themeColor="text1"/>
              </w:rPr>
              <w:t xml:space="preserve"> /be.p</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jo/</w:t>
            </w:r>
          </w:p>
          <w:p w14:paraId="30A84EF4" w14:textId="3AA31868"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buy tickets’ (14)</w:t>
            </w:r>
          </w:p>
        </w:tc>
        <w:tc>
          <w:tcPr>
            <w:tcW w:w="1989" w:type="dxa"/>
            <w:vMerge/>
            <w:tcMar>
              <w:top w:w="0" w:type="dxa"/>
              <w:left w:w="0" w:type="dxa"/>
              <w:bottom w:w="0" w:type="dxa"/>
              <w:right w:w="0" w:type="dxa"/>
            </w:tcMar>
          </w:tcPr>
          <w:p w14:paraId="43E9B11F"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773CBAD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32774C77" w14:textId="77777777" w:rsidTr="0070514D">
        <w:tc>
          <w:tcPr>
            <w:tcW w:w="2263" w:type="dxa"/>
            <w:vMerge/>
            <w:tcMar>
              <w:top w:w="0" w:type="dxa"/>
              <w:left w:w="0" w:type="dxa"/>
              <w:bottom w:w="0" w:type="dxa"/>
              <w:right w:w="0" w:type="dxa"/>
            </w:tcMar>
          </w:tcPr>
          <w:p w14:paraId="0D62DC70"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24AF798C"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早暗</w:t>
            </w:r>
            <w:r>
              <w:rPr>
                <w:rFonts w:ascii="Times New Roman" w:hAnsi="Times New Roman" w:cs="Times New Roman"/>
                <w:color w:val="000000" w:themeColor="text1"/>
              </w:rPr>
              <w:t xml:space="preserve"> /tsa.am/</w:t>
            </w:r>
          </w:p>
          <w:p w14:paraId="7AD6C6EC" w14:textId="68E655E6"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‘day and night’ (9)</w:t>
            </w:r>
          </w:p>
        </w:tc>
        <w:tc>
          <w:tcPr>
            <w:tcW w:w="1989" w:type="dxa"/>
            <w:vMerge/>
            <w:tcMar>
              <w:top w:w="0" w:type="dxa"/>
              <w:left w:w="0" w:type="dxa"/>
              <w:bottom w:w="0" w:type="dxa"/>
              <w:right w:w="0" w:type="dxa"/>
            </w:tcMar>
          </w:tcPr>
          <w:p w14:paraId="1C9A4E7D"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66C1C389"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18FD386A" w14:textId="77777777" w:rsidTr="0070514D">
        <w:tc>
          <w:tcPr>
            <w:tcW w:w="2263" w:type="dxa"/>
            <w:vMerge/>
            <w:tcMar>
              <w:top w:w="0" w:type="dxa"/>
              <w:left w:w="0" w:type="dxa"/>
              <w:bottom w:w="0" w:type="dxa"/>
              <w:right w:w="0" w:type="dxa"/>
            </w:tcMar>
          </w:tcPr>
          <w:p w14:paraId="25BD481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6982C86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短褲</w:t>
            </w:r>
            <w:r>
              <w:rPr>
                <w:rFonts w:ascii="Times New Roman" w:hAnsi="Times New Roman" w:cs="Times New Roman"/>
                <w:color w:val="000000" w:themeColor="text1"/>
              </w:rPr>
              <w:t xml:space="preserve"> /te.k</w:t>
            </w:r>
            <w:r>
              <w:rPr>
                <w:rFonts w:ascii="Times New Roman" w:hAnsi="Times New Roman" w:cs="Times New Roman"/>
                <w:color w:val="000000" w:themeColor="text1"/>
                <w:vertAlign w:val="superscript"/>
              </w:rPr>
              <w:t>h</w:t>
            </w:r>
            <w:r>
              <w:rPr>
                <w:rFonts w:ascii="Times New Roman" w:hAnsi="Times New Roman" w:cs="Times New Roman"/>
                <w:color w:val="000000" w:themeColor="text1"/>
              </w:rPr>
              <w:t>oʊ/</w:t>
            </w:r>
          </w:p>
          <w:p w14:paraId="594E3C61" w14:textId="4B5FBBDD"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‘short pants’ (5)</w:t>
            </w:r>
          </w:p>
        </w:tc>
        <w:tc>
          <w:tcPr>
            <w:tcW w:w="1989" w:type="dxa"/>
            <w:vMerge/>
            <w:tcMar>
              <w:top w:w="0" w:type="dxa"/>
              <w:left w:w="0" w:type="dxa"/>
              <w:bottom w:w="0" w:type="dxa"/>
              <w:right w:w="0" w:type="dxa"/>
            </w:tcMar>
          </w:tcPr>
          <w:p w14:paraId="296F3AD8"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2B312FA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r>
      <w:tr w:rsidR="0006295E" w:rsidRPr="0032528B" w14:paraId="079D2E57" w14:textId="77777777" w:rsidTr="0070514D">
        <w:tc>
          <w:tcPr>
            <w:tcW w:w="2263" w:type="dxa"/>
            <w:vMerge/>
            <w:tcMar>
              <w:top w:w="0" w:type="dxa"/>
              <w:left w:w="0" w:type="dxa"/>
              <w:bottom w:w="0" w:type="dxa"/>
              <w:right w:w="0" w:type="dxa"/>
            </w:tcMar>
          </w:tcPr>
          <w:p w14:paraId="4569F6D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0D2EDEF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1989" w:type="dxa"/>
            <w:vMerge/>
            <w:tcMar>
              <w:top w:w="0" w:type="dxa"/>
              <w:left w:w="0" w:type="dxa"/>
              <w:bottom w:w="0" w:type="dxa"/>
              <w:right w:w="0" w:type="dxa"/>
            </w:tcMar>
          </w:tcPr>
          <w:p w14:paraId="5A2C42D5"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6F0CB97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水果</w:t>
            </w:r>
            <w:r>
              <w:rPr>
                <w:rFonts w:ascii="Times New Roman" w:hAnsi="Times New Roman" w:cs="Times New Roman"/>
                <w:color w:val="000000" w:themeColor="text1"/>
              </w:rPr>
              <w:t xml:space="preserve"> /tsuj.ko/</w:t>
            </w:r>
          </w:p>
          <w:p w14:paraId="563342F9" w14:textId="645A1248"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‘fruit’ (6)</w:t>
            </w:r>
          </w:p>
        </w:tc>
      </w:tr>
      <w:tr w:rsidR="0006295E" w:rsidRPr="0032528B" w14:paraId="7004C83C" w14:textId="77777777" w:rsidTr="0070514D">
        <w:tc>
          <w:tcPr>
            <w:tcW w:w="2263" w:type="dxa"/>
            <w:vMerge/>
            <w:tcMar>
              <w:top w:w="0" w:type="dxa"/>
              <w:left w:w="0" w:type="dxa"/>
              <w:bottom w:w="0" w:type="dxa"/>
              <w:right w:w="0" w:type="dxa"/>
            </w:tcMar>
          </w:tcPr>
          <w:p w14:paraId="340777F4"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1D9195E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1989" w:type="dxa"/>
            <w:vMerge/>
            <w:tcMar>
              <w:top w:w="0" w:type="dxa"/>
              <w:left w:w="0" w:type="dxa"/>
              <w:bottom w:w="0" w:type="dxa"/>
              <w:right w:w="0" w:type="dxa"/>
            </w:tcMar>
          </w:tcPr>
          <w:p w14:paraId="75304C41"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58EA4030"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米酒</w:t>
            </w:r>
            <w:r>
              <w:rPr>
                <w:rFonts w:ascii="Times New Roman" w:hAnsi="Times New Roman" w:cs="Times New Roman"/>
                <w:color w:val="000000" w:themeColor="text1"/>
              </w:rPr>
              <w:t xml:space="preserve"> /bi.tsuj/</w:t>
            </w:r>
          </w:p>
          <w:p w14:paraId="2DAD64E7" w14:textId="3A733D66"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‘rice wine’ (6)</w:t>
            </w:r>
          </w:p>
        </w:tc>
      </w:tr>
      <w:tr w:rsidR="0006295E" w:rsidRPr="0032528B" w14:paraId="21E51ABC" w14:textId="77777777" w:rsidTr="0070514D">
        <w:tc>
          <w:tcPr>
            <w:tcW w:w="2263" w:type="dxa"/>
            <w:vMerge/>
            <w:tcMar>
              <w:top w:w="0" w:type="dxa"/>
              <w:left w:w="0" w:type="dxa"/>
              <w:bottom w:w="0" w:type="dxa"/>
              <w:right w:w="0" w:type="dxa"/>
            </w:tcMar>
          </w:tcPr>
          <w:p w14:paraId="0282893B"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64D75168"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1989" w:type="dxa"/>
            <w:vMerge/>
            <w:tcMar>
              <w:top w:w="0" w:type="dxa"/>
              <w:left w:w="0" w:type="dxa"/>
              <w:bottom w:w="0" w:type="dxa"/>
              <w:right w:w="0" w:type="dxa"/>
            </w:tcMar>
          </w:tcPr>
          <w:p w14:paraId="335AECBC"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4238ACA2"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飽滿</w:t>
            </w:r>
            <w:r>
              <w:rPr>
                <w:rFonts w:ascii="Times New Roman" w:hAnsi="Times New Roman" w:cs="Times New Roman"/>
                <w:color w:val="000000" w:themeColor="text1"/>
              </w:rPr>
              <w:t xml:space="preserve"> /pa.mwa/</w:t>
            </w:r>
          </w:p>
          <w:p w14:paraId="13438F82" w14:textId="02768742"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‘full’ (0)</w:t>
            </w:r>
          </w:p>
        </w:tc>
      </w:tr>
      <w:tr w:rsidR="0006295E" w:rsidRPr="0032528B" w14:paraId="628FC475" w14:textId="77777777" w:rsidTr="0070514D">
        <w:tc>
          <w:tcPr>
            <w:tcW w:w="2263" w:type="dxa"/>
            <w:vMerge/>
            <w:tcMar>
              <w:top w:w="0" w:type="dxa"/>
              <w:left w:w="0" w:type="dxa"/>
              <w:bottom w:w="0" w:type="dxa"/>
              <w:right w:w="0" w:type="dxa"/>
            </w:tcMar>
          </w:tcPr>
          <w:p w14:paraId="6D3F7416"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36556F5F"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1989" w:type="dxa"/>
            <w:vMerge/>
            <w:tcMar>
              <w:top w:w="0" w:type="dxa"/>
              <w:left w:w="0" w:type="dxa"/>
              <w:bottom w:w="0" w:type="dxa"/>
              <w:right w:w="0" w:type="dxa"/>
            </w:tcMar>
          </w:tcPr>
          <w:p w14:paraId="069E614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05060157"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滾水</w:t>
            </w:r>
            <w:r>
              <w:rPr>
                <w:rFonts w:ascii="Times New Roman" w:hAnsi="Times New Roman" w:cs="Times New Roman"/>
                <w:color w:val="000000" w:themeColor="text1"/>
              </w:rPr>
              <w:t xml:space="preserve"> /kun.tsuj/</w:t>
            </w:r>
          </w:p>
          <w:p w14:paraId="526E0A58" w14:textId="2E503754"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‘boiled water’ (42)</w:t>
            </w:r>
          </w:p>
        </w:tc>
      </w:tr>
      <w:tr w:rsidR="006663E4" w:rsidRPr="0032528B" w14:paraId="6BA8F246" w14:textId="77777777" w:rsidTr="0070514D">
        <w:tc>
          <w:tcPr>
            <w:tcW w:w="2263" w:type="dxa"/>
            <w:vMerge/>
            <w:tcMar>
              <w:top w:w="0" w:type="dxa"/>
              <w:left w:w="0" w:type="dxa"/>
              <w:bottom w:w="0" w:type="dxa"/>
              <w:right w:w="0" w:type="dxa"/>
            </w:tcMar>
          </w:tcPr>
          <w:p w14:paraId="4070AB53"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52" w:type="dxa"/>
            <w:tcMar>
              <w:top w:w="0" w:type="dxa"/>
              <w:left w:w="0" w:type="dxa"/>
              <w:bottom w:w="0" w:type="dxa"/>
              <w:right w:w="0" w:type="dxa"/>
            </w:tcMar>
          </w:tcPr>
          <w:p w14:paraId="3D695B6E"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w:t>
            </w:r>
          </w:p>
        </w:tc>
        <w:tc>
          <w:tcPr>
            <w:tcW w:w="1989" w:type="dxa"/>
            <w:vMerge/>
            <w:tcMar>
              <w:top w:w="0" w:type="dxa"/>
              <w:left w:w="0" w:type="dxa"/>
              <w:bottom w:w="0" w:type="dxa"/>
              <w:right w:w="0" w:type="dxa"/>
            </w:tcMar>
          </w:tcPr>
          <w:p w14:paraId="0DE5615B"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p>
        </w:tc>
        <w:tc>
          <w:tcPr>
            <w:tcW w:w="2547" w:type="dxa"/>
            <w:tcMar>
              <w:top w:w="0" w:type="dxa"/>
              <w:left w:w="0" w:type="dxa"/>
              <w:bottom w:w="0" w:type="dxa"/>
              <w:right w:w="0" w:type="dxa"/>
            </w:tcMar>
          </w:tcPr>
          <w:p w14:paraId="33D4A418" w14:textId="77777777"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eastAsia="STKaiti" w:hAnsi="Times New Roman" w:cs="Times New Roman"/>
                <w:color w:val="000000" w:themeColor="text1"/>
              </w:rPr>
              <w:t>補繳</w:t>
            </w:r>
            <w:r>
              <w:rPr>
                <w:rFonts w:ascii="Times New Roman" w:hAnsi="Times New Roman" w:cs="Times New Roman"/>
                <w:color w:val="000000" w:themeColor="text1"/>
              </w:rPr>
              <w:t xml:space="preserve"> /po.kjɑʊ/</w:t>
            </w:r>
          </w:p>
          <w:p w14:paraId="7FA803DB" w14:textId="240325E5" w:rsidR="006663E4" w:rsidRPr="0032528B" w:rsidRDefault="006663E4" w:rsidP="0070514D">
            <w:pPr>
              <w:pStyle w:val="JASAFigureCaptionsandEndnotes"/>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‘to pay afterwards’ (0)</w:t>
            </w:r>
          </w:p>
        </w:tc>
      </w:tr>
    </w:tbl>
    <w:p w14:paraId="7A7897DA" w14:textId="1744BCBE" w:rsidR="0070514D" w:rsidRPr="0032528B" w:rsidRDefault="0070514D" w:rsidP="0070514D">
      <w:pPr>
        <w:rPr>
          <w:rFonts w:ascii="Times New Roman" w:eastAsia="STKaiti" w:hAnsi="Times New Roman" w:cs="Times New Roman"/>
          <w:color w:val="000000" w:themeColor="text1"/>
        </w:rPr>
      </w:pPr>
    </w:p>
    <w:p w14:paraId="023F9794" w14:textId="385E9441" w:rsidR="00431D02" w:rsidRPr="0032528B" w:rsidRDefault="00431D02" w:rsidP="0070514D">
      <w:pPr>
        <w:rPr>
          <w:rFonts w:ascii="Times New Roman" w:eastAsia="STKaiti" w:hAnsi="Times New Roman" w:cs="Times New Roman"/>
          <w:b/>
          <w:bCs/>
          <w:color w:val="000000" w:themeColor="text1"/>
        </w:rPr>
      </w:pPr>
      <w:r>
        <w:rPr>
          <w:rFonts w:ascii="Times New Roman" w:eastAsia="STKaiti" w:hAnsi="Times New Roman" w:cs="Times New Roman"/>
          <w:b/>
          <w:bCs/>
          <w:color w:val="000000" w:themeColor="text1"/>
        </w:rPr>
        <w:t xml:space="preserve">Appendix D: Tone inventories and sandhi rules in Taiwan Mandarin and Taiwan Southern Min</w:t>
      </w:r>
    </w:p>
    <w:p w14:paraId="754C38A7" w14:textId="77777777" w:rsidR="0070514D" w:rsidRPr="0032528B" w:rsidRDefault="0070514D" w:rsidP="0070514D">
      <w:pPr>
        <w:rPr>
          <w:rFonts w:ascii="Times New Roman" w:eastAsia="STKaiti" w:hAnsi="Times New Roman" w:cs="Times New Roman"/>
          <w:b/>
          <w:bCs/>
          <w:color w:val="000000" w:themeColor="text1"/>
        </w:rPr>
      </w:pPr>
    </w:p>
    <w:p w14:paraId="406B9907" w14:textId="1E5CD3ED" w:rsidR="00F223C3" w:rsidRPr="0032528B" w:rsidRDefault="0070514D" w:rsidP="0070514D">
      <w:pPr>
        <w:pStyle w:val="JASAFigureCaptionsandEndnotes"/>
        <w:rPr>
          <w:rFonts w:ascii="Times New Roman" w:hAnsi="Times New Roman" w:cs="Times New Roman"/>
          <w:color w:val="000000" w:themeColor="text1"/>
        </w:rPr>
      </w:pPr>
      <w:r>
        <w:rPr>
          <w:rFonts w:ascii="Times New Roman" w:hAnsi="Times New Roman" w:cs="Times New Roman"/>
          <w:color w:val="000000" w:themeColor="text1"/>
        </w:rPr>
        <w:t xml:space="preserve">1. Tone inventories</w:t>
      </w:r>
    </w:p>
    <w:tbl>
      <w:tblPr>
        <w:tblStyle w:val="Grilledutableau"/>
        <w:tblW w:w="0" w:type="auto"/>
        <w:tblLook w:val="04A0" w:firstRow="1" w:lastRow="0" w:firstColumn="1" w:lastColumn="0" w:noHBand="0" w:noVBand="1"/>
      </w:tblPr>
      <w:tblGrid>
        <w:gridCol w:w="1980"/>
        <w:gridCol w:w="3260"/>
        <w:gridCol w:w="4110"/>
      </w:tblGrid>
      <w:tr w:rsidR="00153DBC" w:rsidRPr="0032528B" w14:paraId="15556624" w14:textId="77777777" w:rsidTr="009508DA">
        <w:tc>
          <w:tcPr>
            <w:tcW w:w="1980" w:type="dxa"/>
          </w:tcPr>
          <w:p w14:paraId="66A2EE38"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Tone</w:t>
            </w:r>
          </w:p>
        </w:tc>
        <w:tc>
          <w:tcPr>
            <w:tcW w:w="3260" w:type="dxa"/>
          </w:tcPr>
          <w:p w14:paraId="1399BA1B"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Taiwan Mandarin</w:t>
            </w:r>
          </w:p>
        </w:tc>
        <w:tc>
          <w:tcPr>
            <w:tcW w:w="4110" w:type="dxa"/>
          </w:tcPr>
          <w:p w14:paraId="0B855688"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Taiwan Southern Min</w:t>
            </w:r>
          </w:p>
        </w:tc>
      </w:tr>
      <w:tr w:rsidR="00153DBC" w:rsidRPr="0032528B" w14:paraId="040E1D0B" w14:textId="77777777" w:rsidTr="009508DA">
        <w:tc>
          <w:tcPr>
            <w:tcW w:w="1980" w:type="dxa"/>
          </w:tcPr>
          <w:p w14:paraId="083C388A"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High-level (55)</w:t>
            </w:r>
          </w:p>
        </w:tc>
        <w:tc>
          <w:tcPr>
            <w:tcW w:w="3260" w:type="dxa"/>
          </w:tcPr>
          <w:p w14:paraId="0951C839"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T1</w:t>
            </w:r>
          </w:p>
        </w:tc>
        <w:tc>
          <w:tcPr>
            <w:tcW w:w="4110" w:type="dxa"/>
          </w:tcPr>
          <w:p w14:paraId="217AEE21"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T1/T2’</w:t>
            </w:r>
          </w:p>
        </w:tc>
      </w:tr>
      <w:tr w:rsidR="00153DBC" w:rsidRPr="00697250" w14:paraId="7A774699" w14:textId="77777777" w:rsidTr="009508DA">
        <w:tc>
          <w:tcPr>
            <w:tcW w:w="1980" w:type="dxa"/>
          </w:tcPr>
          <w:p w14:paraId="2C7CD330"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lastRenderedPageBreak/>
              <w:t>Mid-level (33)</w:t>
            </w:r>
          </w:p>
        </w:tc>
        <w:tc>
          <w:tcPr>
            <w:tcW w:w="3260" w:type="dxa"/>
          </w:tcPr>
          <w:p w14:paraId="4BBEA803" w14:textId="77777777" w:rsidR="00153DBC" w:rsidRPr="0032528B" w:rsidRDefault="00153DBC" w:rsidP="009508DA">
            <w:pPr>
              <w:pStyle w:val="JASAFigureCaptionsandEndnotes"/>
              <w:rPr>
                <w:rFonts w:ascii="Times New Roman" w:hAnsi="Times New Roman" w:cs="Times New Roman"/>
                <w:color w:val="000000" w:themeColor="text1"/>
                <w:lang w:val="fr-FR"/>
              </w:rPr>
            </w:pPr>
          </w:p>
        </w:tc>
        <w:tc>
          <w:tcPr>
            <w:tcW w:w="4110" w:type="dxa"/>
          </w:tcPr>
          <w:p w14:paraId="6C40512E"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T7/T1’/T5’ (Zhangzhou dialect)</w:t>
            </w:r>
          </w:p>
        </w:tc>
      </w:tr>
      <w:tr w:rsidR="00153DBC" w:rsidRPr="00697250" w14:paraId="455AB5E9" w14:textId="77777777" w:rsidTr="009508DA">
        <w:tc>
          <w:tcPr>
            <w:tcW w:w="1980" w:type="dxa"/>
          </w:tcPr>
          <w:p w14:paraId="4CDC4335"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Low (21)</w:t>
            </w:r>
          </w:p>
        </w:tc>
        <w:tc>
          <w:tcPr>
            <w:tcW w:w="3260" w:type="dxa"/>
          </w:tcPr>
          <w:p w14:paraId="390B2A30"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T3</w:t>
            </w:r>
          </w:p>
        </w:tc>
        <w:tc>
          <w:tcPr>
            <w:tcW w:w="4110" w:type="dxa"/>
          </w:tcPr>
          <w:p w14:paraId="7C5E366C"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T3/T7’/T5’ (Quanzhou dialect)/T8’ (coda=/ʔ/)</w:t>
            </w:r>
          </w:p>
        </w:tc>
      </w:tr>
      <w:tr w:rsidR="00153DBC" w:rsidRPr="0032528B" w14:paraId="10223D7A" w14:textId="77777777" w:rsidTr="009508DA">
        <w:tc>
          <w:tcPr>
            <w:tcW w:w="1980" w:type="dxa"/>
          </w:tcPr>
          <w:p w14:paraId="44017C0B"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Rising (35)</w:t>
            </w:r>
          </w:p>
        </w:tc>
        <w:tc>
          <w:tcPr>
            <w:tcW w:w="3260" w:type="dxa"/>
          </w:tcPr>
          <w:p w14:paraId="08008804"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T2/T3’ (_+T3)</w:t>
            </w:r>
          </w:p>
        </w:tc>
        <w:tc>
          <w:tcPr>
            <w:tcW w:w="4110" w:type="dxa"/>
          </w:tcPr>
          <w:p w14:paraId="176EC903"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T5</w:t>
            </w:r>
          </w:p>
        </w:tc>
      </w:tr>
      <w:tr w:rsidR="00153DBC" w:rsidRPr="00697250" w14:paraId="0E8A4845" w14:textId="77777777" w:rsidTr="009508DA">
        <w:tc>
          <w:tcPr>
            <w:tcW w:w="1980" w:type="dxa"/>
          </w:tcPr>
          <w:p w14:paraId="0C9D2C71"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Falling (51)</w:t>
            </w:r>
          </w:p>
        </w:tc>
        <w:tc>
          <w:tcPr>
            <w:tcW w:w="3260" w:type="dxa"/>
          </w:tcPr>
          <w:p w14:paraId="04BEAA98"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T4</w:t>
            </w:r>
          </w:p>
        </w:tc>
        <w:tc>
          <w:tcPr>
            <w:tcW w:w="4110" w:type="dxa"/>
          </w:tcPr>
          <w:p w14:paraId="21A33DE5"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T2/T3’/T4’ (coda=/ʔ/)</w:t>
            </w:r>
          </w:p>
        </w:tc>
      </w:tr>
      <w:tr w:rsidR="00153DBC" w:rsidRPr="00697250" w14:paraId="5B6E0C4C" w14:textId="77777777" w:rsidTr="009508DA">
        <w:tc>
          <w:tcPr>
            <w:tcW w:w="1980" w:type="dxa"/>
          </w:tcPr>
          <w:p w14:paraId="6A033CE1"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Mid-checked (2)</w:t>
            </w:r>
          </w:p>
        </w:tc>
        <w:tc>
          <w:tcPr>
            <w:tcW w:w="3260" w:type="dxa"/>
          </w:tcPr>
          <w:p w14:paraId="19437E53" w14:textId="77777777" w:rsidR="00153DBC" w:rsidRPr="0032528B" w:rsidRDefault="00153DBC" w:rsidP="009508DA">
            <w:pPr>
              <w:pStyle w:val="JASAFigureCaptionsandEndnotes"/>
              <w:rPr>
                <w:rFonts w:ascii="Times New Roman" w:hAnsi="Times New Roman" w:cs="Times New Roman"/>
                <w:color w:val="000000" w:themeColor="text1"/>
                <w:lang w:val="fr-FR"/>
              </w:rPr>
            </w:pPr>
          </w:p>
        </w:tc>
        <w:tc>
          <w:tcPr>
            <w:tcW w:w="4110" w:type="dxa"/>
          </w:tcPr>
          <w:p w14:paraId="4D51EFEC"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T4/T8’ (coda=/p, t, k/)</w:t>
            </w:r>
          </w:p>
        </w:tc>
      </w:tr>
      <w:tr w:rsidR="00153DBC" w:rsidRPr="00697250" w14:paraId="07BF6F33" w14:textId="77777777" w:rsidTr="009508DA">
        <w:trPr>
          <w:trHeight w:val="401"/>
        </w:trPr>
        <w:tc>
          <w:tcPr>
            <w:tcW w:w="1980" w:type="dxa"/>
          </w:tcPr>
          <w:p w14:paraId="27DA981A"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High-checked (5)</w:t>
            </w:r>
          </w:p>
        </w:tc>
        <w:tc>
          <w:tcPr>
            <w:tcW w:w="3260" w:type="dxa"/>
          </w:tcPr>
          <w:p w14:paraId="0809E4C8" w14:textId="77777777" w:rsidR="00153DBC" w:rsidRPr="0032528B" w:rsidRDefault="00153DBC" w:rsidP="009508DA">
            <w:pPr>
              <w:pStyle w:val="JASAFigureCaptionsandEndnotes"/>
              <w:rPr>
                <w:rFonts w:ascii="Times New Roman" w:hAnsi="Times New Roman" w:cs="Times New Roman"/>
                <w:color w:val="000000" w:themeColor="text1"/>
                <w:lang w:val="fr-FR"/>
              </w:rPr>
            </w:pPr>
          </w:p>
        </w:tc>
        <w:tc>
          <w:tcPr>
            <w:tcW w:w="4110" w:type="dxa"/>
          </w:tcPr>
          <w:p w14:paraId="7E9A7D22" w14:textId="77777777" w:rsidR="00153DBC" w:rsidRPr="0032528B" w:rsidRDefault="00153DBC" w:rsidP="009508DA">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T8/T4’ (coda=/p, t, k/)</w:t>
            </w:r>
          </w:p>
        </w:tc>
      </w:tr>
    </w:tbl>
    <w:p w14:paraId="5D2724D0" w14:textId="77777777" w:rsidR="00153DBC" w:rsidRPr="0032528B" w:rsidRDefault="00153DBC" w:rsidP="0070514D">
      <w:pPr>
        <w:pStyle w:val="JASAFigureCaptionsandEndnotes"/>
        <w:rPr>
          <w:rFonts w:ascii="Times New Roman" w:hAnsi="Times New Roman" w:cs="Times New Roman"/>
          <w:color w:val="000000" w:themeColor="text1"/>
          <w:lang w:val="fr-FR"/>
        </w:rPr>
      </w:pPr>
    </w:p>
    <w:p w14:paraId="43D149E9" w14:textId="5BAE0E88" w:rsidR="00F223C3" w:rsidRPr="0032528B" w:rsidRDefault="00F82A52" w:rsidP="00F82A52">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2. Tone sandhi</w:t>
      </w:r>
    </w:p>
    <w:p w14:paraId="21AF4849" w14:textId="7EA0FED4" w:rsidR="0032076F" w:rsidRPr="0032528B" w:rsidRDefault="00F82A52" w:rsidP="00F82A52">
      <w:pPr>
        <w:pStyle w:val="JASAFigureCaptionsandEndnotes"/>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(a) Taiwan Mandarin tone sandhi: T3 (21)→T3’ (35)/_T3</w:t>
      </w:r>
    </w:p>
    <w:p w14:paraId="2CF3F165" w14:textId="1583FD5B" w:rsidR="0032076F" w:rsidRPr="0032528B" w:rsidRDefault="00F82A52" w:rsidP="00F82A52">
      <w:pPr>
        <w:pStyle w:val="JASAFigureCaptionsandEndnotes"/>
        <w:rPr>
          <w:rFonts w:ascii="Times New Roman" w:hAnsi="Times New Roman" w:cs="Times New Roman"/>
          <w:color w:val="000000" w:themeColor="text1"/>
        </w:rPr>
      </w:pPr>
      <w:r>
        <w:rPr>
          <w:rFonts w:ascii="Times New Roman" w:hAnsi="Times New Roman" w:cs="Times New Roman"/>
          <w:color w:val="000000" w:themeColor="text1"/>
        </w:rPr>
        <w:t xml:space="preserve">(b) Taiwan Southern Min tone sandhi</w:t>
      </w:r>
    </w:p>
    <w:tbl>
      <w:tblPr>
        <w:tblStyle w:val="TableGrid"/>
        <w:tblW w:w="9325" w:type="dxa"/>
        <w:tblInd w:w="0" w:type="dxa"/>
        <w:tblCellMar>
          <w:right w:w="50" w:type="dxa"/>
        </w:tblCellMar>
        <w:tblLook w:val="04A0" w:firstRow="1" w:lastRow="0" w:firstColumn="1" w:lastColumn="0" w:noHBand="0" w:noVBand="1"/>
      </w:tblPr>
      <w:tblGrid>
        <w:gridCol w:w="3309"/>
        <w:gridCol w:w="4136"/>
        <w:gridCol w:w="1880"/>
      </w:tblGrid>
      <w:tr w:rsidR="0006295E" w:rsidRPr="0032528B" w14:paraId="4651FF1F" w14:textId="77777777" w:rsidTr="0070514D">
        <w:trPr>
          <w:trHeight w:val="810"/>
        </w:trPr>
        <w:tc>
          <w:tcPr>
            <w:tcW w:w="3309" w:type="dxa"/>
            <w:tcBorders>
              <w:top w:val="double" w:sz="4" w:space="0" w:color="000000"/>
              <w:left w:val="nil"/>
              <w:bottom w:val="nil"/>
              <w:right w:val="nil"/>
            </w:tcBorders>
            <w:tcMar>
              <w:right w:w="0" w:type="dxa"/>
            </w:tcMar>
            <w:vAlign w:val="center"/>
          </w:tcPr>
          <w:p w14:paraId="44F4FADF" w14:textId="5CCCE1AE"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Underlying</w:t>
            </w:r>
          </w:p>
        </w:tc>
        <w:tc>
          <w:tcPr>
            <w:tcW w:w="4136" w:type="dxa"/>
            <w:tcBorders>
              <w:top w:val="double" w:sz="4" w:space="0" w:color="000000"/>
              <w:left w:val="nil"/>
              <w:bottom w:val="nil"/>
              <w:right w:val="nil"/>
            </w:tcBorders>
            <w:tcMar>
              <w:right w:w="0" w:type="dxa"/>
            </w:tcMar>
            <w:vAlign w:val="center"/>
          </w:tcPr>
          <w:p w14:paraId="054923D1" w14:textId="3AFAC39A"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Tone sandhi applied</w:t>
            </w:r>
          </w:p>
        </w:tc>
        <w:tc>
          <w:tcPr>
            <w:tcW w:w="1880" w:type="dxa"/>
            <w:tcBorders>
              <w:top w:val="double" w:sz="4" w:space="0" w:color="000000"/>
              <w:left w:val="nil"/>
              <w:bottom w:val="nil"/>
              <w:right w:val="nil"/>
            </w:tcBorders>
            <w:tcMar>
              <w:right w:w="0" w:type="dxa"/>
            </w:tcMar>
            <w:vAlign w:val="center"/>
          </w:tcPr>
          <w:p w14:paraId="61EFC47E" w14:textId="412EBA4B" w:rsidR="0032076F" w:rsidRPr="0032528B" w:rsidRDefault="0032076F" w:rsidP="0070514D">
            <w:pPr>
              <w:spacing w:after="160"/>
              <w:rPr>
                <w:rFonts w:ascii="Times New Roman" w:hAnsi="Times New Roman" w:cs="Times New Roman"/>
                <w:color w:val="000000" w:themeColor="text1"/>
              </w:rPr>
            </w:pPr>
            <w:r>
              <w:rPr>
                <w:rFonts w:ascii="Times New Roman" w:hAnsi="Times New Roman" w:cs="Times New Roman"/>
                <w:color w:val="000000" w:themeColor="text1"/>
              </w:rPr>
              <w:t>Condition</w:t>
            </w:r>
          </w:p>
        </w:tc>
      </w:tr>
      <w:tr w:rsidR="0006295E" w:rsidRPr="0032528B" w14:paraId="48342A92" w14:textId="77777777" w:rsidTr="0070514D">
        <w:trPr>
          <w:trHeight w:val="810"/>
        </w:trPr>
        <w:tc>
          <w:tcPr>
            <w:tcW w:w="3309" w:type="dxa"/>
            <w:tcBorders>
              <w:top w:val="single" w:sz="3" w:space="0" w:color="000000"/>
              <w:left w:val="nil"/>
              <w:bottom w:val="nil"/>
              <w:right w:val="nil"/>
            </w:tcBorders>
            <w:tcMar>
              <w:right w:w="0" w:type="dxa"/>
            </w:tcMar>
            <w:vAlign w:val="center"/>
          </w:tcPr>
          <w:p w14:paraId="5A983A7F"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T1 (55)</w:t>
            </w:r>
          </w:p>
        </w:tc>
        <w:tc>
          <w:tcPr>
            <w:tcW w:w="4136" w:type="dxa"/>
            <w:tcBorders>
              <w:top w:val="single" w:sz="3" w:space="0" w:color="000000"/>
              <w:left w:val="nil"/>
              <w:bottom w:val="nil"/>
              <w:right w:val="nil"/>
            </w:tcBorders>
            <w:tcMar>
              <w:right w:w="0" w:type="dxa"/>
            </w:tcMar>
            <w:vAlign w:val="center"/>
          </w:tcPr>
          <w:p w14:paraId="1D091339"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T1’ (33)</w:t>
            </w:r>
          </w:p>
        </w:tc>
        <w:tc>
          <w:tcPr>
            <w:tcW w:w="1880" w:type="dxa"/>
            <w:tcBorders>
              <w:top w:val="single" w:sz="3" w:space="0" w:color="000000"/>
              <w:left w:val="nil"/>
              <w:bottom w:val="nil"/>
              <w:right w:val="nil"/>
            </w:tcBorders>
            <w:tcMar>
              <w:right w:w="0" w:type="dxa"/>
            </w:tcMar>
            <w:vAlign w:val="center"/>
          </w:tcPr>
          <w:p w14:paraId="00333991" w14:textId="77777777" w:rsidR="0032076F" w:rsidRPr="0032528B" w:rsidRDefault="0032076F" w:rsidP="0070514D">
            <w:pPr>
              <w:spacing w:after="160"/>
              <w:rPr>
                <w:rFonts w:ascii="Times New Roman" w:hAnsi="Times New Roman" w:cs="Times New Roman"/>
                <w:color w:val="000000" w:themeColor="text1"/>
              </w:rPr>
            </w:pPr>
          </w:p>
        </w:tc>
      </w:tr>
      <w:tr w:rsidR="0006295E" w:rsidRPr="0032528B" w14:paraId="726C6713" w14:textId="77777777" w:rsidTr="0070514D">
        <w:trPr>
          <w:trHeight w:val="717"/>
        </w:trPr>
        <w:tc>
          <w:tcPr>
            <w:tcW w:w="3309" w:type="dxa"/>
            <w:tcBorders>
              <w:top w:val="nil"/>
              <w:left w:val="nil"/>
              <w:bottom w:val="nil"/>
              <w:right w:val="nil"/>
            </w:tcBorders>
            <w:tcMar>
              <w:right w:w="0" w:type="dxa"/>
            </w:tcMar>
            <w:vAlign w:val="center"/>
          </w:tcPr>
          <w:p w14:paraId="1451F40A"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T2 (51)</w:t>
            </w:r>
          </w:p>
        </w:tc>
        <w:tc>
          <w:tcPr>
            <w:tcW w:w="4136" w:type="dxa"/>
            <w:tcBorders>
              <w:top w:val="nil"/>
              <w:left w:val="nil"/>
              <w:bottom w:val="nil"/>
              <w:right w:val="nil"/>
            </w:tcBorders>
            <w:tcMar>
              <w:right w:w="0" w:type="dxa"/>
            </w:tcMar>
            <w:vAlign w:val="center"/>
          </w:tcPr>
          <w:p w14:paraId="270BF30F"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T2’ (55)</w:t>
            </w:r>
          </w:p>
        </w:tc>
        <w:tc>
          <w:tcPr>
            <w:tcW w:w="1880" w:type="dxa"/>
            <w:tcBorders>
              <w:top w:val="nil"/>
              <w:left w:val="nil"/>
              <w:bottom w:val="nil"/>
              <w:right w:val="nil"/>
            </w:tcBorders>
            <w:tcMar>
              <w:right w:w="0" w:type="dxa"/>
            </w:tcMar>
            <w:vAlign w:val="center"/>
          </w:tcPr>
          <w:p w14:paraId="10784E9C" w14:textId="77777777" w:rsidR="0032076F" w:rsidRPr="0032528B" w:rsidRDefault="0032076F" w:rsidP="0070514D">
            <w:pPr>
              <w:spacing w:after="160"/>
              <w:rPr>
                <w:rFonts w:ascii="Times New Roman" w:hAnsi="Times New Roman" w:cs="Times New Roman"/>
                <w:color w:val="000000" w:themeColor="text1"/>
              </w:rPr>
            </w:pPr>
          </w:p>
        </w:tc>
      </w:tr>
      <w:tr w:rsidR="0006295E" w:rsidRPr="0032528B" w14:paraId="6FD02D7B" w14:textId="77777777" w:rsidTr="0070514D">
        <w:trPr>
          <w:trHeight w:val="717"/>
        </w:trPr>
        <w:tc>
          <w:tcPr>
            <w:tcW w:w="3309" w:type="dxa"/>
            <w:tcBorders>
              <w:top w:val="nil"/>
              <w:left w:val="nil"/>
              <w:bottom w:val="nil"/>
              <w:right w:val="nil"/>
            </w:tcBorders>
            <w:tcMar>
              <w:right w:w="0" w:type="dxa"/>
            </w:tcMar>
            <w:vAlign w:val="center"/>
          </w:tcPr>
          <w:p w14:paraId="43BB2AC7"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T3 (21)</w:t>
            </w:r>
          </w:p>
        </w:tc>
        <w:tc>
          <w:tcPr>
            <w:tcW w:w="4136" w:type="dxa"/>
            <w:tcBorders>
              <w:top w:val="nil"/>
              <w:left w:val="nil"/>
              <w:bottom w:val="nil"/>
              <w:right w:val="nil"/>
            </w:tcBorders>
            <w:tcMar>
              <w:right w:w="0" w:type="dxa"/>
            </w:tcMar>
            <w:vAlign w:val="center"/>
          </w:tcPr>
          <w:p w14:paraId="7E64FD44"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T3’ (51)</w:t>
            </w:r>
          </w:p>
        </w:tc>
        <w:tc>
          <w:tcPr>
            <w:tcW w:w="1880" w:type="dxa"/>
            <w:tcBorders>
              <w:top w:val="nil"/>
              <w:left w:val="nil"/>
              <w:bottom w:val="nil"/>
              <w:right w:val="nil"/>
            </w:tcBorders>
            <w:tcMar>
              <w:right w:w="0" w:type="dxa"/>
            </w:tcMar>
            <w:vAlign w:val="center"/>
          </w:tcPr>
          <w:p w14:paraId="035505E7" w14:textId="77777777" w:rsidR="0032076F" w:rsidRPr="0032528B" w:rsidRDefault="0032076F" w:rsidP="0070514D">
            <w:pPr>
              <w:spacing w:after="160"/>
              <w:rPr>
                <w:rFonts w:ascii="Times New Roman" w:hAnsi="Times New Roman" w:cs="Times New Roman"/>
                <w:color w:val="000000" w:themeColor="text1"/>
              </w:rPr>
            </w:pPr>
          </w:p>
        </w:tc>
      </w:tr>
      <w:tr w:rsidR="0006295E" w:rsidRPr="0032528B" w14:paraId="435E1B4F" w14:textId="77777777" w:rsidTr="0070514D">
        <w:trPr>
          <w:trHeight w:val="717"/>
        </w:trPr>
        <w:tc>
          <w:tcPr>
            <w:tcW w:w="3309" w:type="dxa"/>
            <w:tcBorders>
              <w:top w:val="nil"/>
              <w:left w:val="nil"/>
              <w:bottom w:val="nil"/>
              <w:right w:val="nil"/>
            </w:tcBorders>
            <w:tcMar>
              <w:right w:w="0" w:type="dxa"/>
            </w:tcMar>
            <w:vAlign w:val="center"/>
          </w:tcPr>
          <w:p w14:paraId="206DBB3A"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T4 (2)</w:t>
            </w:r>
          </w:p>
        </w:tc>
        <w:tc>
          <w:tcPr>
            <w:tcW w:w="4136" w:type="dxa"/>
            <w:tcBorders>
              <w:top w:val="nil"/>
              <w:left w:val="nil"/>
              <w:bottom w:val="nil"/>
              <w:right w:val="nil"/>
            </w:tcBorders>
            <w:tcMar>
              <w:right w:w="0" w:type="dxa"/>
            </w:tcMar>
            <w:vAlign w:val="center"/>
          </w:tcPr>
          <w:p w14:paraId="2CB46DEC"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T4’ (51)</w:t>
            </w:r>
          </w:p>
        </w:tc>
        <w:tc>
          <w:tcPr>
            <w:tcW w:w="1880" w:type="dxa"/>
            <w:tcBorders>
              <w:top w:val="nil"/>
              <w:left w:val="nil"/>
              <w:bottom w:val="nil"/>
              <w:right w:val="nil"/>
            </w:tcBorders>
            <w:tcMar>
              <w:right w:w="0" w:type="dxa"/>
            </w:tcMar>
            <w:vAlign w:val="center"/>
          </w:tcPr>
          <w:p w14:paraId="20E9C603" w14:textId="6696A33A"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coda=/ʔ/</w:t>
            </w:r>
          </w:p>
        </w:tc>
      </w:tr>
      <w:tr w:rsidR="0006295E" w:rsidRPr="0032528B" w14:paraId="41952749" w14:textId="77777777" w:rsidTr="0070514D">
        <w:trPr>
          <w:trHeight w:val="698"/>
        </w:trPr>
        <w:tc>
          <w:tcPr>
            <w:tcW w:w="3309" w:type="dxa"/>
            <w:tcBorders>
              <w:top w:val="nil"/>
              <w:left w:val="nil"/>
              <w:bottom w:val="nil"/>
              <w:right w:val="nil"/>
            </w:tcBorders>
            <w:tcMar>
              <w:right w:w="0" w:type="dxa"/>
            </w:tcMar>
            <w:vAlign w:val="center"/>
          </w:tcPr>
          <w:p w14:paraId="0C4A84B6"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lastRenderedPageBreak/>
              <w:t>T4 (2)</w:t>
            </w:r>
          </w:p>
        </w:tc>
        <w:tc>
          <w:tcPr>
            <w:tcW w:w="4136" w:type="dxa"/>
            <w:tcBorders>
              <w:top w:val="nil"/>
              <w:left w:val="nil"/>
              <w:bottom w:val="nil"/>
              <w:right w:val="nil"/>
            </w:tcBorders>
            <w:tcMar>
              <w:right w:w="0" w:type="dxa"/>
            </w:tcMar>
            <w:vAlign w:val="center"/>
          </w:tcPr>
          <w:p w14:paraId="21D1F9E2"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T4’ (5)</w:t>
            </w:r>
          </w:p>
        </w:tc>
        <w:tc>
          <w:tcPr>
            <w:tcW w:w="1880" w:type="dxa"/>
            <w:tcBorders>
              <w:top w:val="nil"/>
              <w:left w:val="nil"/>
              <w:bottom w:val="nil"/>
              <w:right w:val="nil"/>
            </w:tcBorders>
            <w:tcMar>
              <w:right w:w="0" w:type="dxa"/>
            </w:tcMar>
            <w:vAlign w:val="center"/>
          </w:tcPr>
          <w:p w14:paraId="0F6C1CAF"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coda=/p, t, k/</w:t>
            </w:r>
          </w:p>
        </w:tc>
      </w:tr>
      <w:tr w:rsidR="0006295E" w:rsidRPr="0032528B" w14:paraId="73A1D56B" w14:textId="77777777" w:rsidTr="0070514D">
        <w:trPr>
          <w:trHeight w:val="737"/>
        </w:trPr>
        <w:tc>
          <w:tcPr>
            <w:tcW w:w="3309" w:type="dxa"/>
            <w:tcBorders>
              <w:top w:val="nil"/>
              <w:left w:val="nil"/>
              <w:bottom w:val="nil"/>
              <w:right w:val="nil"/>
            </w:tcBorders>
            <w:tcMar>
              <w:right w:w="0" w:type="dxa"/>
            </w:tcMar>
            <w:vAlign w:val="center"/>
          </w:tcPr>
          <w:p w14:paraId="121100D3"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T5 (35)</w:t>
            </w:r>
          </w:p>
        </w:tc>
        <w:tc>
          <w:tcPr>
            <w:tcW w:w="4136" w:type="dxa"/>
            <w:tcBorders>
              <w:top w:val="nil"/>
              <w:left w:val="nil"/>
              <w:bottom w:val="nil"/>
              <w:right w:val="nil"/>
            </w:tcBorders>
            <w:tcMar>
              <w:right w:w="0" w:type="dxa"/>
            </w:tcMar>
            <w:vAlign w:val="center"/>
          </w:tcPr>
          <w:p w14:paraId="3159684F"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T5’ (33)</w:t>
            </w:r>
          </w:p>
        </w:tc>
        <w:tc>
          <w:tcPr>
            <w:tcW w:w="1880" w:type="dxa"/>
            <w:tcBorders>
              <w:top w:val="nil"/>
              <w:left w:val="nil"/>
              <w:bottom w:val="nil"/>
              <w:right w:val="nil"/>
            </w:tcBorders>
            <w:tcMar>
              <w:right w:w="0" w:type="dxa"/>
            </w:tcMar>
            <w:vAlign w:val="center"/>
          </w:tcPr>
          <w:p w14:paraId="4E036761"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Zhangzhou dialect</w:t>
            </w:r>
            <w:r>
              <w:rPr>
                <w:rFonts w:ascii="Times New Roman" w:hAnsi="Times New Roman" w:cs="Times New Roman"/>
                <w:color w:val="000000" w:themeColor="text1"/>
                <w:vertAlign w:val="superscript"/>
              </w:rPr>
              <w:t>a</w:t>
            </w:r>
          </w:p>
        </w:tc>
      </w:tr>
      <w:tr w:rsidR="0006295E" w:rsidRPr="0032528B" w14:paraId="576A0B30" w14:textId="77777777" w:rsidTr="0070514D">
        <w:trPr>
          <w:trHeight w:val="717"/>
        </w:trPr>
        <w:tc>
          <w:tcPr>
            <w:tcW w:w="3309" w:type="dxa"/>
            <w:tcBorders>
              <w:top w:val="nil"/>
              <w:left w:val="nil"/>
              <w:bottom w:val="nil"/>
              <w:right w:val="nil"/>
            </w:tcBorders>
            <w:tcMar>
              <w:right w:w="0" w:type="dxa"/>
            </w:tcMar>
            <w:vAlign w:val="center"/>
          </w:tcPr>
          <w:p w14:paraId="22855A44"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T5 (35)</w:t>
            </w:r>
          </w:p>
        </w:tc>
        <w:tc>
          <w:tcPr>
            <w:tcW w:w="4136" w:type="dxa"/>
            <w:tcBorders>
              <w:top w:val="nil"/>
              <w:left w:val="nil"/>
              <w:bottom w:val="nil"/>
              <w:right w:val="nil"/>
            </w:tcBorders>
            <w:tcMar>
              <w:right w:w="0" w:type="dxa"/>
            </w:tcMar>
            <w:vAlign w:val="center"/>
          </w:tcPr>
          <w:p w14:paraId="70E4A7DC"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T5’ (21)</w:t>
            </w:r>
          </w:p>
        </w:tc>
        <w:tc>
          <w:tcPr>
            <w:tcW w:w="1880" w:type="dxa"/>
            <w:tcBorders>
              <w:top w:val="nil"/>
              <w:left w:val="nil"/>
              <w:bottom w:val="nil"/>
              <w:right w:val="nil"/>
            </w:tcBorders>
            <w:tcMar>
              <w:right w:w="0" w:type="dxa"/>
            </w:tcMar>
            <w:vAlign w:val="center"/>
          </w:tcPr>
          <w:p w14:paraId="0F0895DD"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Quanzhou dialect</w:t>
            </w:r>
          </w:p>
        </w:tc>
      </w:tr>
      <w:tr w:rsidR="0006295E" w:rsidRPr="0032528B" w14:paraId="11323731" w14:textId="77777777" w:rsidTr="0070514D">
        <w:trPr>
          <w:trHeight w:val="717"/>
        </w:trPr>
        <w:tc>
          <w:tcPr>
            <w:tcW w:w="3309" w:type="dxa"/>
            <w:tcBorders>
              <w:top w:val="nil"/>
              <w:left w:val="nil"/>
              <w:bottom w:val="nil"/>
              <w:right w:val="nil"/>
            </w:tcBorders>
            <w:tcMar>
              <w:right w:w="0" w:type="dxa"/>
            </w:tcMar>
            <w:vAlign w:val="center"/>
          </w:tcPr>
          <w:p w14:paraId="1A3C0A5B"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T7 (33)</w:t>
            </w:r>
          </w:p>
        </w:tc>
        <w:tc>
          <w:tcPr>
            <w:tcW w:w="4136" w:type="dxa"/>
            <w:tcBorders>
              <w:top w:val="nil"/>
              <w:left w:val="nil"/>
              <w:bottom w:val="nil"/>
              <w:right w:val="nil"/>
            </w:tcBorders>
            <w:tcMar>
              <w:right w:w="0" w:type="dxa"/>
            </w:tcMar>
            <w:vAlign w:val="center"/>
          </w:tcPr>
          <w:p w14:paraId="0C65F757"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T7’ (21)</w:t>
            </w:r>
          </w:p>
        </w:tc>
        <w:tc>
          <w:tcPr>
            <w:tcW w:w="1880" w:type="dxa"/>
            <w:tcBorders>
              <w:top w:val="nil"/>
              <w:left w:val="nil"/>
              <w:bottom w:val="nil"/>
              <w:right w:val="nil"/>
            </w:tcBorders>
            <w:tcMar>
              <w:right w:w="0" w:type="dxa"/>
            </w:tcMar>
            <w:vAlign w:val="center"/>
          </w:tcPr>
          <w:p w14:paraId="3ECE7383" w14:textId="77777777" w:rsidR="0032076F" w:rsidRPr="0032528B" w:rsidRDefault="0032076F" w:rsidP="0070514D">
            <w:pPr>
              <w:spacing w:after="160"/>
              <w:rPr>
                <w:rFonts w:ascii="Times New Roman" w:hAnsi="Times New Roman" w:cs="Times New Roman"/>
                <w:color w:val="000000" w:themeColor="text1"/>
              </w:rPr>
            </w:pPr>
          </w:p>
        </w:tc>
      </w:tr>
      <w:tr w:rsidR="0006295E" w:rsidRPr="0032528B" w14:paraId="55989B27" w14:textId="77777777" w:rsidTr="0070514D">
        <w:trPr>
          <w:trHeight w:val="717"/>
        </w:trPr>
        <w:tc>
          <w:tcPr>
            <w:tcW w:w="3309" w:type="dxa"/>
            <w:tcBorders>
              <w:top w:val="nil"/>
              <w:left w:val="nil"/>
              <w:bottom w:val="nil"/>
              <w:right w:val="nil"/>
            </w:tcBorders>
            <w:tcMar>
              <w:right w:w="0" w:type="dxa"/>
            </w:tcMar>
            <w:vAlign w:val="center"/>
          </w:tcPr>
          <w:p w14:paraId="4E7C1B08" w14:textId="77777777" w:rsidR="0032076F" w:rsidRPr="0032528B" w:rsidRDefault="0032076F" w:rsidP="0070514D">
            <w:pPr>
              <w:ind w:left="40"/>
              <w:rPr>
                <w:rFonts w:ascii="Times New Roman" w:hAnsi="Times New Roman" w:cs="Times New Roman"/>
                <w:color w:val="000000" w:themeColor="text1"/>
              </w:rPr>
            </w:pPr>
            <w:r>
              <w:rPr>
                <w:rFonts w:ascii="Times New Roman" w:hAnsi="Times New Roman" w:cs="Times New Roman"/>
                <w:color w:val="000000" w:themeColor="text1"/>
              </w:rPr>
              <w:t>T8 (5)</w:t>
            </w:r>
          </w:p>
        </w:tc>
        <w:tc>
          <w:tcPr>
            <w:tcW w:w="4136" w:type="dxa"/>
            <w:tcBorders>
              <w:top w:val="nil"/>
              <w:left w:val="nil"/>
              <w:bottom w:val="nil"/>
              <w:right w:val="nil"/>
            </w:tcBorders>
            <w:tcMar>
              <w:right w:w="0" w:type="dxa"/>
            </w:tcMar>
            <w:vAlign w:val="center"/>
          </w:tcPr>
          <w:p w14:paraId="0A25DFA5" w14:textId="77777777"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T8’ (21)</w:t>
            </w:r>
          </w:p>
        </w:tc>
        <w:tc>
          <w:tcPr>
            <w:tcW w:w="1880" w:type="dxa"/>
            <w:tcBorders>
              <w:top w:val="nil"/>
              <w:left w:val="nil"/>
              <w:bottom w:val="nil"/>
              <w:right w:val="nil"/>
            </w:tcBorders>
            <w:tcMar>
              <w:right w:w="0" w:type="dxa"/>
            </w:tcMar>
            <w:vAlign w:val="center"/>
          </w:tcPr>
          <w:p w14:paraId="6A017955" w14:textId="3C00C668" w:rsidR="0032076F" w:rsidRPr="0032528B" w:rsidRDefault="0032076F" w:rsidP="0070514D">
            <w:pPr>
              <w:rPr>
                <w:rFonts w:ascii="Times New Roman" w:hAnsi="Times New Roman" w:cs="Times New Roman"/>
                <w:color w:val="000000" w:themeColor="text1"/>
              </w:rPr>
            </w:pPr>
            <w:r>
              <w:rPr>
                <w:rFonts w:ascii="Times New Roman" w:hAnsi="Times New Roman" w:cs="Times New Roman"/>
                <w:color w:val="000000" w:themeColor="text1"/>
              </w:rPr>
              <w:t>coda=/ʔ/</w:t>
            </w:r>
          </w:p>
        </w:tc>
      </w:tr>
      <w:tr w:rsidR="0006295E" w:rsidRPr="0032528B" w14:paraId="66512166" w14:textId="77777777" w:rsidTr="0070514D">
        <w:trPr>
          <w:trHeight w:val="696"/>
        </w:trPr>
        <w:tc>
          <w:tcPr>
            <w:tcW w:w="3309" w:type="dxa"/>
            <w:tcBorders>
              <w:top w:val="nil"/>
              <w:left w:val="nil"/>
              <w:bottom w:val="double" w:sz="4" w:space="0" w:color="000000"/>
              <w:right w:val="nil"/>
            </w:tcBorders>
            <w:tcMar>
              <w:right w:w="0" w:type="dxa"/>
            </w:tcMar>
            <w:vAlign w:val="center"/>
          </w:tcPr>
          <w:p w14:paraId="7786E1D5" w14:textId="2579D219" w:rsidR="00D37745" w:rsidRPr="0032528B" w:rsidRDefault="00D37745" w:rsidP="0070514D">
            <w:pPr>
              <w:rPr>
                <w:rFonts w:ascii="Times New Roman" w:hAnsi="Times New Roman" w:cs="Times New Roman"/>
                <w:color w:val="000000" w:themeColor="text1"/>
              </w:rPr>
            </w:pPr>
            <w:r>
              <w:rPr>
                <w:rFonts w:ascii="Times New Roman" w:hAnsi="Times New Roman" w:cs="Times New Roman"/>
                <w:color w:val="000000" w:themeColor="text1"/>
              </w:rPr>
              <w:t>T8 (5)</w:t>
            </w:r>
          </w:p>
        </w:tc>
        <w:tc>
          <w:tcPr>
            <w:tcW w:w="4136" w:type="dxa"/>
            <w:tcBorders>
              <w:top w:val="nil"/>
              <w:left w:val="nil"/>
              <w:bottom w:val="double" w:sz="4" w:space="0" w:color="000000"/>
              <w:right w:val="nil"/>
            </w:tcBorders>
            <w:tcMar>
              <w:right w:w="0" w:type="dxa"/>
            </w:tcMar>
            <w:vAlign w:val="center"/>
          </w:tcPr>
          <w:p w14:paraId="0C92ADC2" w14:textId="4D7DCE3E" w:rsidR="00D37745" w:rsidRPr="0032528B" w:rsidRDefault="00D37745" w:rsidP="0070514D">
            <w:pPr>
              <w:rPr>
                <w:rFonts w:ascii="Times New Roman" w:hAnsi="Times New Roman" w:cs="Times New Roman"/>
                <w:color w:val="000000" w:themeColor="text1"/>
              </w:rPr>
            </w:pPr>
            <w:r>
              <w:rPr>
                <w:rFonts w:ascii="Times New Roman" w:hAnsi="Times New Roman" w:cs="Times New Roman"/>
                <w:color w:val="000000" w:themeColor="text1"/>
              </w:rPr>
              <w:t>T8’ (2)</w:t>
            </w:r>
          </w:p>
        </w:tc>
        <w:tc>
          <w:tcPr>
            <w:tcW w:w="1880" w:type="dxa"/>
            <w:tcBorders>
              <w:top w:val="nil"/>
              <w:left w:val="nil"/>
              <w:bottom w:val="double" w:sz="4" w:space="0" w:color="000000"/>
              <w:right w:val="nil"/>
            </w:tcBorders>
            <w:tcMar>
              <w:right w:w="0" w:type="dxa"/>
            </w:tcMar>
            <w:vAlign w:val="center"/>
          </w:tcPr>
          <w:p w14:paraId="7220906A" w14:textId="6E5DED19" w:rsidR="00D37745" w:rsidRPr="0032528B" w:rsidRDefault="00D37745" w:rsidP="0070514D">
            <w:pPr>
              <w:rPr>
                <w:rFonts w:ascii="Times New Roman" w:hAnsi="Times New Roman" w:cs="Times New Roman"/>
                <w:color w:val="000000" w:themeColor="text1"/>
              </w:rPr>
            </w:pPr>
            <w:r>
              <w:rPr>
                <w:rFonts w:ascii="Times New Roman" w:hAnsi="Times New Roman" w:cs="Times New Roman"/>
                <w:color w:val="000000" w:themeColor="text1"/>
              </w:rPr>
              <w:t>coda=/p, t, k/</w:t>
            </w:r>
          </w:p>
        </w:tc>
      </w:tr>
    </w:tbl>
    <w:p w14:paraId="0F23110D" w14:textId="77001BF2" w:rsidR="007C498C" w:rsidRPr="0032528B" w:rsidRDefault="0032076F" w:rsidP="0070514D">
      <w:pPr>
        <w:pStyle w:val="JASAFigureCaptionsandEndnotes"/>
        <w:rPr>
          <w:rFonts w:ascii="Times New Roman" w:hAnsi="Times New Roman" w:cs="Times New Roman"/>
          <w:color w:val="000000" w:themeColor="text1"/>
        </w:rPr>
      </w:pPr>
      <w:r>
        <w:rPr>
          <w:rFonts w:ascii="Times New Roman" w:hAnsi="Times New Roman" w:cs="Times New Roman"/>
          <w:color w:val="000000" w:themeColor="text1"/>
          <w:vertAlign w:val="superscript"/>
        </w:rPr>
        <w:t xml:space="preserve">a </w:t>
      </w:r>
      <w:r>
        <w:rPr>
          <w:rFonts w:ascii="Times New Roman" w:hAnsi="Times New Roman" w:cs="Times New Roman"/>
          <w:color w:val="000000" w:themeColor="text1"/>
        </w:rPr>
        <w:t xml:space="preserve">This is a crude distinction. The actual dialectal differences are rather complicated in Taiwan (cf. Ang 2024).</w:t>
      </w:r>
    </w:p>
    <w:p w14:paraId="1EA48228" w14:textId="77777777" w:rsidR="0070514D" w:rsidRPr="0032528B" w:rsidRDefault="0070514D" w:rsidP="0070514D">
      <w:pPr>
        <w:pStyle w:val="JASAFigureCaptionsandEndnotes"/>
        <w:rPr>
          <w:rFonts w:ascii="Times New Roman" w:hAnsi="Times New Roman" w:cs="Times New Roman"/>
          <w:color w:val="000000" w:themeColor="text1"/>
        </w:rPr>
      </w:pPr>
    </w:p>
    <w:p w14:paraId="4AC5B1D7" w14:textId="175ECB43" w:rsidR="009E3D59" w:rsidRPr="0032528B" w:rsidRDefault="009E3D59" w:rsidP="00A1648F">
      <w:pPr>
        <w:pStyle w:val="Headings-Acknowlegements"/>
        <w:ind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References</w:t>
      </w:r>
    </w:p>
    <w:p w14:paraId="29E62C5C" w14:textId="4E7A53EF" w:rsidR="00727D3C" w:rsidRPr="0032528B" w:rsidRDefault="00727D3C" w:rsidP="00971249">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Alexander, </w:t>
      </w:r>
      <w:r>
        <w:rPr>
          <w:rFonts w:ascii="Times New Roman" w:eastAsia="STKaiti" w:hAnsi="Times New Roman" w:cs="Times New Roman"/>
          <w:color w:val="000000" w:themeColor="text1"/>
          <w:lang w:val="fr-TW"/>
        </w:rPr>
        <w:t xml:space="preserve">J. Alexandra. </w:t>
      </w:r>
      <w:r>
        <w:rPr>
          <w:rFonts w:ascii="Times New Roman" w:eastAsia="STKaiti" w:hAnsi="Times New Roman" w:cs="Times New Roman"/>
          <w:color w:val="000000" w:themeColor="text1"/>
        </w:rPr>
        <w:t xml:space="preserve">2010. </w:t>
      </w:r>
      <w:r>
        <w:rPr>
          <w:rFonts w:ascii="Times New Roman" w:eastAsia="STKaiti" w:hAnsi="Times New Roman" w:cs="Times New Roman"/>
          <w:i/>
          <w:iCs/>
          <w:color w:val="000000" w:themeColor="text1"/>
        </w:rPr>
        <w:t>The theory of adaptive dispersion and acoustic-phonetic properties of cross-language lexical-tone systems. Evanston</w:t>
      </w:r>
      <w:r>
        <w:rPr>
          <w:rFonts w:ascii="Times New Roman" w:eastAsia="STKaiti" w:hAnsi="Times New Roman" w:cs="Times New Roman"/>
          <w:color w:val="000000" w:themeColor="text1"/>
        </w:rPr>
        <w:t xml:space="preserve">, IL: Northwestern University dissertation.</w:t>
      </w:r>
    </w:p>
    <w:p w14:paraId="0325D068" w14:textId="1DF8183F" w:rsidR="00D55B6F" w:rsidRPr="0032528B" w:rsidRDefault="00D55B6F" w:rsidP="00D55B6F">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Ang, Un-Jin. 2024. Reconstruction of the history of phonology of Southern Min based on dialectal maps. </w:t>
      </w:r>
      <w:r>
        <w:rPr>
          <w:rFonts w:ascii="Times New Roman" w:eastAsia="STKaiti" w:hAnsi="Times New Roman" w:cs="Times New Roman"/>
          <w:i/>
          <w:iCs/>
          <w:color w:val="000000" w:themeColor="text1"/>
        </w:rPr>
        <w:t xml:space="preserve">Bulletin of Chinese Phonology</w:t>
      </w:r>
      <w:r>
        <w:rPr>
          <w:rFonts w:ascii="Times New Roman" w:eastAsia="STKaiti" w:hAnsi="Times New Roman" w:cs="Times New Roman"/>
          <w:color w:val="000000" w:themeColor="text1"/>
        </w:rPr>
        <w:t xml:space="preserve"> 32(6).</w:t>
      </w:r>
      <w:r>
        <w:rPr>
          <w:rFonts w:ascii="Times New Roman" w:eastAsia="STKaiti" w:hAnsi="Times New Roman" w:cs="Times New Roman"/>
          <w:color w:val="000000" w:themeColor="text1"/>
        </w:rPr>
        <w:t xml:space="preserve"> 1–31.</w:t>
      </w:r>
    </w:p>
    <w:p w14:paraId="7F9DBA1B" w14:textId="4B5656DD" w:rsidR="00C213E7" w:rsidRPr="0032528B" w:rsidRDefault="00C213E7" w:rsidP="00D55B6F">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Bates, Douglas, Martin Mächler, Ben Bolker &amp; Steve Walker. 2015. Fitting linear mixed-effects models using lme4. </w:t>
      </w:r>
      <w:r>
        <w:rPr>
          <w:rFonts w:ascii="Times New Roman" w:eastAsia="STKaiti" w:hAnsi="Times New Roman" w:cs="Times New Roman"/>
          <w:i/>
          <w:iCs/>
          <w:color w:val="000000" w:themeColor="text1"/>
        </w:rPr>
        <w:t>Journal of Statistical Software</w:t>
      </w:r>
      <w:r>
        <w:rPr>
          <w:rFonts w:ascii="Times New Roman" w:eastAsia="STKaiti" w:hAnsi="Times New Roman" w:cs="Times New Roman"/>
          <w:color w:val="000000" w:themeColor="text1"/>
        </w:rPr>
        <w:t xml:space="preserve"> 67(1). 1–48. doi: 10.18637/jss.v067.i01</w:t>
      </w:r>
    </w:p>
    <w:p w14:paraId="5ED7CCB1" w14:textId="1F82550A" w:rsidR="00D55B6F" w:rsidRPr="0032528B" w:rsidRDefault="00D337E6" w:rsidP="00D55B6F">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Blicher, Deborah L., Randy L. Diehl &amp; Leslie B. Cohen. 1990. Effects of syllable duration on the perception of the Mandarin tone 2/tone 3 distinction: Evidence of auditory enhancement. </w:t>
      </w:r>
      <w:r>
        <w:rPr>
          <w:rFonts w:ascii="Times New Roman" w:eastAsia="STKaiti" w:hAnsi="Times New Roman" w:cs="Times New Roman"/>
          <w:i/>
          <w:color w:val="000000" w:themeColor="text1"/>
        </w:rPr>
        <w:t>Journal of Phonetics</w:t>
      </w:r>
      <w:r>
        <w:rPr>
          <w:rFonts w:ascii="Times New Roman" w:eastAsia="STKaiti" w:hAnsi="Times New Roman" w:cs="Times New Roman"/>
          <w:iCs/>
          <w:color w:val="000000" w:themeColor="text1"/>
        </w:rPr>
        <w:t xml:space="preserve"> 18</w:t>
      </w:r>
      <w:r>
        <w:rPr>
          <w:rFonts w:ascii="Times New Roman" w:eastAsia="STKaiti" w:hAnsi="Times New Roman" w:cs="Times New Roman"/>
          <w:color w:val="000000" w:themeColor="text1"/>
        </w:rPr>
        <w:t xml:space="preserve">(1). 37–49. doi: 10.1016/S0095-4470(19)30357-2</w:t>
      </w:r>
    </w:p>
    <w:p w14:paraId="7E408EC6" w14:textId="33F632D3"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Boersma, Paul &amp; David Weenink. 2018. </w:t>
      </w:r>
      <w:r>
        <w:rPr>
          <w:rFonts w:ascii="Times New Roman" w:eastAsia="STKaiti" w:hAnsi="Times New Roman" w:cs="Times New Roman"/>
          <w:i/>
          <w:iCs/>
          <w:color w:val="000000" w:themeColor="text1"/>
        </w:rPr>
        <w:t xml:space="preserve">Praat: Doing phonetics by computer</w:t>
      </w:r>
      <w:r>
        <w:rPr>
          <w:rFonts w:ascii="Times New Roman" w:eastAsia="STKaiti" w:hAnsi="Times New Roman" w:cs="Times New Roman"/>
          <w:color w:val="000000" w:themeColor="text1"/>
        </w:rPr>
        <w:t xml:space="preserve"> (version 6.2.14). http://www.praat.org/ (accessed 14 June 2024). </w:t>
      </w:r>
    </w:p>
    <w:p w14:paraId="09A00F89" w14:textId="1947BBDD"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Brunelle, Marc. 2009. Northern and Southern Vietnamese tone coarticulation: A comparative case study. </w:t>
      </w:r>
      <w:r>
        <w:rPr>
          <w:rFonts w:ascii="Times New Roman" w:eastAsia="STKaiti" w:hAnsi="Times New Roman" w:cs="Times New Roman"/>
          <w:i/>
          <w:color w:val="000000" w:themeColor="text1"/>
        </w:rPr>
        <w:t>Journal of the Southeast Asian Linguistics Society</w:t>
      </w:r>
      <w:r>
        <w:rPr>
          <w:rFonts w:ascii="Times New Roman" w:eastAsia="STKaiti" w:hAnsi="Times New Roman" w:cs="Times New Roman"/>
          <w:iCs/>
          <w:color w:val="000000" w:themeColor="text1"/>
        </w:rPr>
        <w:t xml:space="preserve"> 1. 49</w:t>
      </w:r>
      <w:r>
        <w:rPr>
          <w:rFonts w:ascii="Times New Roman" w:eastAsia="STKaiti" w:hAnsi="Times New Roman" w:cs="Times New Roman"/>
          <w:color w:val="000000" w:themeColor="text1"/>
        </w:rPr>
        <w:t xml:space="preserve">–62. </w:t>
      </w:r>
    </w:p>
    <w:p w14:paraId="4B6ABECC" w14:textId="28340313" w:rsidR="00C47D72" w:rsidRPr="0032528B" w:rsidRDefault="00C47D72"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Burroni, Francesco &amp; James Kirby. 2025. Effects of speaking rate on f0 trajectories: Evidence from Thai lexical tones. </w:t>
      </w:r>
      <w:r>
        <w:rPr>
          <w:rFonts w:ascii="Times New Roman" w:eastAsia="STKaiti" w:hAnsi="Times New Roman" w:cs="Times New Roman"/>
          <w:i/>
          <w:iCs/>
          <w:color w:val="000000" w:themeColor="text1"/>
        </w:rPr>
        <w:t xml:space="preserve">The Journal of the Acoustical Society of America</w:t>
      </w:r>
      <w:r>
        <w:rPr>
          <w:rFonts w:ascii="Times New Roman" w:eastAsia="STKaiti" w:hAnsi="Times New Roman" w:cs="Times New Roman"/>
          <w:color w:val="000000" w:themeColor="text1"/>
        </w:rPr>
        <w:t xml:space="preserve"> 158(2). 1204–1226</w:t>
      </w:r>
      <w:r>
        <w:rPr>
          <w:rFonts w:ascii="Times New Roman" w:eastAsia="STKaiti" w:hAnsi="Times New Roman" w:cs="Times New Roman"/>
          <w:color w:val="000000" w:themeColor="text1"/>
        </w:rPr>
        <w:t>. </w:t>
      </w:r>
      <w:r>
        <w:rPr>
          <w:rStyle w:val="Lienhypertexte"/>
          <w:rFonts w:ascii="Times New Roman" w:eastAsia="STKaiti" w:hAnsi="Times New Roman" w:cs="Times New Roman"/>
        </w:rPr>
        <w:t>doi: 10.1121/10.0038965</w:t>
      </w:r>
    </w:p>
    <w:p w14:paraId="5C80C34C" w14:textId="34BAE71E"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Chang, Yueh-Chin &amp; Feng-Fan Hsieh. 2012. Tonal coarticulation in Malaysian Hokkien: A typological anomaly? </w:t>
      </w:r>
      <w:r>
        <w:rPr>
          <w:rFonts w:ascii="Times New Roman" w:eastAsia="STKaiti" w:hAnsi="Times New Roman" w:cs="Times New Roman"/>
          <w:i/>
          <w:iCs/>
          <w:color w:val="000000" w:themeColor="text1"/>
        </w:rPr>
        <w:t xml:space="preserve">The Linguistic Review</w:t>
      </w:r>
      <w:r>
        <w:rPr>
          <w:rFonts w:ascii="Times New Roman" w:eastAsia="STKaiti" w:hAnsi="Times New Roman" w:cs="Times New Roman"/>
          <w:color w:val="000000" w:themeColor="text1"/>
        </w:rPr>
        <w:t xml:space="preserve"> 29(1). 37–73</w:t>
      </w:r>
      <w:r>
        <w:rPr>
          <w:rFonts w:ascii="Times New Roman" w:eastAsia="STKaiti" w:hAnsi="Times New Roman" w:cs="Times New Roman"/>
          <w:iCs/>
          <w:color w:val="000000" w:themeColor="text1"/>
        </w:rPr>
        <w:t xml:space="preserve"/>
      </w:r>
      <w:r>
        <w:rPr>
          <w:rFonts w:ascii="Times New Roman" w:eastAsia="STKaiti" w:hAnsi="Times New Roman" w:cs="Times New Roman"/>
          <w:color w:val="000000" w:themeColor="text1"/>
        </w:rPr>
        <w:t xml:space="preserve">. doi: 10.1515/tlr-2012-0003</w:t>
      </w:r>
    </w:p>
    <w:p w14:paraId="52D13438" w14:textId="57CC4607"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Chao, Yuen-Ren. 1968. </w:t>
      </w:r>
      <w:r>
        <w:rPr>
          <w:rFonts w:ascii="Times New Roman" w:eastAsia="STKaiti" w:hAnsi="Times New Roman" w:cs="Times New Roman"/>
          <w:i/>
          <w:iCs/>
          <w:color w:val="000000" w:themeColor="text1"/>
        </w:rPr>
        <w:t xml:space="preserve">A grammar of spoken Chinese</w:t>
      </w:r>
      <w:r>
        <w:rPr>
          <w:rFonts w:ascii="Times New Roman" w:eastAsia="STKaiti" w:hAnsi="Times New Roman" w:cs="Times New Roman"/>
          <w:color w:val="000000" w:themeColor="text1"/>
        </w:rPr>
        <w:t xml:space="preserve">.</w:t>
      </w:r>
      <w:r>
        <w:rPr>
          <w:rFonts w:ascii="Times New Roman" w:eastAsia="STKaiti" w:hAnsi="Times New Roman" w:cs="Times New Roman"/>
          <w:i/>
          <w:iCs/>
          <w:color w:val="000000" w:themeColor="text1"/>
        </w:rPr>
        <w:t/>
      </w:r>
      <w:r>
        <w:rPr>
          <w:rFonts w:ascii="Times New Roman" w:eastAsia="STKaiti" w:hAnsi="Times New Roman" w:cs="Times New Roman"/>
          <w:color w:val="000000" w:themeColor="text1"/>
        </w:rPr>
        <w:t xml:space="preserve"> Berkeley: University of California Press.</w:t>
      </w:r>
    </w:p>
    <w:p w14:paraId="3883F774" w14:textId="71FCB8DB" w:rsidR="00A34111" w:rsidRPr="0032528B" w:rsidRDefault="00A34111" w:rsidP="00A34111">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Chen, Fei &amp; Gang Peng. 2016. Context effect in the categorical perception of Mandarin tones. </w:t>
      </w:r>
      <w:r>
        <w:rPr>
          <w:rFonts w:ascii="Times New Roman" w:eastAsia="STKaiti" w:hAnsi="Times New Roman" w:cs="Times New Roman"/>
          <w:i/>
          <w:iCs/>
          <w:color w:val="000000" w:themeColor="text1"/>
        </w:rPr>
        <w:t>Journal of Signal Processing Systems</w:t>
      </w:r>
      <w:r>
        <w:rPr>
          <w:rFonts w:ascii="Times New Roman" w:eastAsia="STKaiti" w:hAnsi="Times New Roman" w:cs="Times New Roman"/>
          <w:color w:val="000000" w:themeColor="text1"/>
        </w:rPr>
        <w:t xml:space="preserve"> 82(2). 253–261. doi: </w:t>
      </w:r>
      <w:hyperlink r:id="rId28">
        <w:r>
          <w:rPr>
            <w:rStyle w:val="Lienhypertexte"/>
            <w:rFonts w:ascii="Times New Roman" w:eastAsia="STKaiti" w:hAnsi="Times New Roman" w:cs="Times New Roman"/>
            <w:color w:val="000000" w:themeColor="text1"/>
            <w:u w:val="none"/>
          </w:rPr>
          <w:t>10.1007/</w:t>
        </w:r>
      </w:hyperlink>
      <w:r>
        <w:rPr>
          <w:rFonts w:ascii="Times New Roman" w:eastAsia="STKaiti" w:hAnsi="Times New Roman" w:cs="Times New Roman"/>
        </w:rPr>
        <w:t>s11265-015-1008-2</w:t>
      </w:r>
      <w:hyperlink r:id="rId29">
        <w:r>
          <w:rPr>
            <w:rStyle w:val="Lienhypertexte"/>
            <w:rFonts w:ascii="Times New Roman" w:eastAsia="STKaiti" w:hAnsi="Times New Roman" w:cs="Times New Roman"/>
            <w:color w:val="000000" w:themeColor="text1"/>
            <w:u w:val="none"/>
          </w:rPr>
          <w:t/>
        </w:r>
      </w:hyperlink>
    </w:p>
    <w:p w14:paraId="3ECD1A9E" w14:textId="3E1E0A78"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Chen, Si, Caroline R. Wiltshire &amp; Bin Li. 2018. An updated typology of tonal coarticulation properties. </w:t>
      </w:r>
      <w:r>
        <w:rPr>
          <w:rFonts w:ascii="Times New Roman" w:eastAsia="STKaiti" w:hAnsi="Times New Roman" w:cs="Times New Roman"/>
          <w:i/>
          <w:iCs/>
          <w:color w:val="000000" w:themeColor="text1"/>
        </w:rPr>
        <w:t>Taiwan Journal of Linguistics</w:t>
      </w:r>
      <w:r>
        <w:rPr>
          <w:rFonts w:ascii="Times New Roman" w:eastAsia="STKaiti" w:hAnsi="Times New Roman" w:cs="Times New Roman"/>
          <w:color w:val="000000" w:themeColor="text1"/>
        </w:rPr>
        <w:t xml:space="preserve"> 16(2). 79–114. doi: 10.6519/TJL.2018.16(2).3</w:t>
      </w:r>
    </w:p>
    <w:p w14:paraId="5D82E3CE" w14:textId="4FB0B323"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Chuang, Yu-Ying &amp; Janice Fon. 2010. The effect of prosodic prominence on the realizations of voiceless dental and retroflex sibilants in Taiwan Mandarin spontaneous speech. In </w:t>
      </w:r>
      <w:r>
        <w:rPr>
          <w:rFonts w:ascii="Times New Roman" w:eastAsia="STKaiti" w:hAnsi="Times New Roman" w:cs="Times New Roman"/>
          <w:i/>
          <w:color w:val="000000" w:themeColor="text1"/>
        </w:rPr>
        <w:t>Proceedings of Speech Prosody 2010</w:t>
      </w:r>
      <w:r>
        <w:rPr>
          <w:rFonts w:ascii="Times New Roman" w:eastAsia="STKaiti" w:hAnsi="Times New Roman" w:cs="Times New Roman"/>
          <w:color w:val="000000" w:themeColor="text1"/>
        </w:rPr>
        <w:t xml:space="preserve">, May 11–14, 2010, Chicago, IL, paper 414.</w:t>
      </w:r>
    </w:p>
    <w:p w14:paraId="016A4FD3" w14:textId="0BBBE841" w:rsidR="00727D3C"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DiCanio, Christian. 2014. Triqui tonal coarticulation and contrast preservation in tonal phonology. In </w:t>
      </w:r>
      <w:r>
        <w:rPr>
          <w:rFonts w:ascii="Times New Roman" w:eastAsia="STKaiti" w:hAnsi="Times New Roman" w:cs="Times New Roman"/>
          <w:i/>
          <w:iCs/>
          <w:color w:val="000000" w:themeColor="text1"/>
        </w:rPr>
        <w:t xml:space="preserve">Proceedings from Sound Systems of Mexico and Central America</w:t>
      </w:r>
      <w:r>
        <w:rPr>
          <w:rFonts w:ascii="Times New Roman" w:eastAsia="STKaiti" w:hAnsi="Times New Roman" w:cs="Times New Roman"/>
          <w:color w:val="000000" w:themeColor="text1"/>
        </w:rPr>
        <w:t xml:space="preserve">, April 4–6, 2014, New Haven, CT. doi: 10.5281/zenodo.2230070</w:t>
      </w:r>
    </w:p>
    <w:p w14:paraId="5CB18904" w14:textId="13C96F22" w:rsidR="00CF498A" w:rsidRPr="0032528B" w:rsidRDefault="00CF498A"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 xml:space="preserve">Erickson, Donna M. 1976. </w:t>
      </w:r>
      <w:r>
        <w:rPr>
          <w:rFonts w:ascii="Times New Roman" w:eastAsia="STKaiti" w:hAnsi="Times New Roman" w:cs="Times New Roman"/>
          <w:i/>
          <w:iCs/>
          <w:color w:val="000000" w:themeColor="text1"/>
          <w:highlight w:val="yellow"/>
        </w:rPr>
        <w:t>A physiological analysis of the tones of Thai</w:t>
      </w:r>
      <w:r>
        <w:rPr>
          <w:rFonts w:ascii="Times New Roman" w:eastAsia="STKaiti" w:hAnsi="Times New Roman" w:cs="Times New Roman"/>
          <w:color w:val="000000" w:themeColor="text1"/>
          <w:highlight w:val="yellow"/>
        </w:rPr>
        <w:t>. Storrs, CT: University of Connecticut dissertation.</w:t>
      </w:r>
    </w:p>
    <w:p w14:paraId="6684FA09" w14:textId="13A340FC"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Finney, D. John. 1971. </w:t>
      </w:r>
      <w:r>
        <w:rPr>
          <w:rFonts w:ascii="Times New Roman" w:eastAsia="STKaiti" w:hAnsi="Times New Roman" w:cs="Times New Roman"/>
          <w:i/>
          <w:color w:val="000000" w:themeColor="text1"/>
        </w:rPr>
        <w:t>Probit analysis.</w:t>
      </w:r>
      <w:r>
        <w:rPr>
          <w:rFonts w:ascii="Times New Roman" w:eastAsia="STKaiti" w:hAnsi="Times New Roman" w:cs="Times New Roman"/>
          <w:color w:val="000000" w:themeColor="text1"/>
        </w:rPr>
        <w:t xml:space="preserve"> Cambridge: Cambridge University Press.</w:t>
      </w:r>
    </w:p>
    <w:p w14:paraId="167927CE" w14:textId="0B9554E4" w:rsidR="00727D3C" w:rsidRPr="005E5E70"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Flemming, Edward. </w:t>
      </w:r>
      <w:r>
        <w:rPr>
          <w:rFonts w:ascii="Times New Roman" w:eastAsia="STKaiti" w:hAnsi="Times New Roman" w:cs="Times New Roman"/>
          <w:color w:val="000000" w:themeColor="text1"/>
          <w:lang w:val="fr-FR"/>
        </w:rPr>
        <w:t xml:space="preserve">2011. The grammar of coarticulation. In Mohamed Embarki &amp; Christelle Dodane (eds.), </w:t>
      </w:r>
      <w:r>
        <w:rPr>
          <w:rFonts w:ascii="Times New Roman" w:eastAsia="STKaiti" w:hAnsi="Times New Roman" w:cs="Times New Roman"/>
          <w:i/>
          <w:iCs/>
          <w:color w:val="000000" w:themeColor="text1"/>
          <w:lang w:val="fr-FR"/>
        </w:rPr>
        <w:t xml:space="preserve">La coarticulation: Des indices à la représentation</w:t>
      </w:r>
      <w:r>
        <w:rPr>
          <w:rFonts w:ascii="Times New Roman" w:eastAsia="STKaiti" w:hAnsi="Times New Roman" w:cs="Times New Roman"/>
          <w:color w:val="000000" w:themeColor="text1"/>
          <w:lang w:val="fr-FR"/>
        </w:rPr>
        <w:t xml:space="preserve">, Chapter 12. </w:t>
      </w:r>
      <w:r>
        <w:rPr>
          <w:rFonts w:ascii="Times New Roman" w:eastAsia="STKaiti" w:hAnsi="Times New Roman" w:cs="Times New Roman"/>
          <w:color w:val="000000" w:themeColor="text1"/>
        </w:rPr>
        <w:t xml:space="preserve">Paris: L’Harmattan.</w:t>
      </w:r>
    </w:p>
    <w:p w14:paraId="40F8C46E" w14:textId="2D89C7AD"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Fon, Janice &amp; Wen-Yu Chiang. 1999. What does Chao have to say about tones?—A case study of Taiwan Mandarin. </w:t>
      </w:r>
      <w:r>
        <w:rPr>
          <w:rFonts w:ascii="Times New Roman" w:eastAsia="STKaiti" w:hAnsi="Times New Roman" w:cs="Times New Roman"/>
          <w:i/>
          <w:iCs/>
          <w:color w:val="000000" w:themeColor="text1"/>
        </w:rPr>
        <w:t>Journal of Chinese Linguistics</w:t>
      </w:r>
      <w:r>
        <w:rPr>
          <w:rFonts w:ascii="Times New Roman" w:eastAsia="STKaiti" w:hAnsi="Times New Roman" w:cs="Times New Roman"/>
          <w:color w:val="000000" w:themeColor="text1"/>
        </w:rPr>
        <w:t xml:space="preserve"> 27(1). 13–37.</w:t>
      </w:r>
    </w:p>
    <w:p w14:paraId="22948B73" w14:textId="1154B0BE"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Fowler, Carol A. 1980. Coarticulation and theories of extrinsic timing. </w:t>
      </w:r>
      <w:r>
        <w:rPr>
          <w:rFonts w:ascii="Times New Roman" w:eastAsia="STKaiti" w:hAnsi="Times New Roman" w:cs="Times New Roman"/>
          <w:i/>
          <w:iCs/>
          <w:color w:val="000000" w:themeColor="text1"/>
        </w:rPr>
        <w:t xml:space="preserve">Journal of Phonetics</w:t>
      </w:r>
      <w:r>
        <w:rPr>
          <w:rFonts w:ascii="Times New Roman" w:eastAsia="STKaiti" w:hAnsi="Times New Roman" w:cs="Times New Roman"/>
          <w:color w:val="000000" w:themeColor="text1"/>
        </w:rPr>
        <w:t xml:space="preserve"> 8(1). 113–133.</w:t>
      </w:r>
    </w:p>
    <w:p w14:paraId="37B68C4D" w14:textId="65B9077A"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Gandour, Jack, Siripong Potisuk &amp; Sumalee Dechongkit. 1994. Tonal coarticulation in Thai. </w:t>
      </w:r>
      <w:r>
        <w:rPr>
          <w:rFonts w:ascii="Times New Roman" w:eastAsia="STKaiti" w:hAnsi="Times New Roman" w:cs="Times New Roman"/>
          <w:i/>
          <w:iCs/>
          <w:color w:val="000000" w:themeColor="text1"/>
        </w:rPr>
        <w:t>Journal of Phonetics</w:t>
      </w:r>
      <w:r>
        <w:rPr>
          <w:rFonts w:ascii="Times New Roman" w:eastAsia="STKaiti" w:hAnsi="Times New Roman" w:cs="Times New Roman"/>
          <w:color w:val="000000" w:themeColor="text1"/>
        </w:rPr>
        <w:t xml:space="preserve"> 22(4). 477–492.</w:t>
      </w:r>
    </w:p>
    <w:p w14:paraId="607514F1" w14:textId="21F90D61" w:rsidR="00A34111" w:rsidRPr="0032528B" w:rsidRDefault="00D36F97" w:rsidP="00A34111">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Gandour, Jack, Siripong Potisuk, Sumalee Dechongkit &amp; Suvit Ponglorpisit. 1992. Anticipatory tonal coarticulation in Thai noun compounds. </w:t>
      </w:r>
      <w:r>
        <w:rPr>
          <w:rFonts w:ascii="Times New Roman" w:eastAsia="STKaiti" w:hAnsi="Times New Roman" w:cs="Times New Roman"/>
          <w:i/>
          <w:iCs/>
          <w:color w:val="000000" w:themeColor="text1"/>
        </w:rPr>
        <w:t>Linguistics of the Tibeto-Burman Area</w:t>
      </w:r>
      <w:r>
        <w:rPr>
          <w:rFonts w:ascii="Times New Roman" w:eastAsia="STKaiti" w:hAnsi="Times New Roman" w:cs="Times New Roman"/>
          <w:color w:val="000000" w:themeColor="text1"/>
        </w:rPr>
        <w:t xml:space="preserve"> 15(1). 111–123.</w:t>
      </w:r>
    </w:p>
    <w:p w14:paraId="64F450DE" w14:textId="27A3E8E9" w:rsidR="00A34111" w:rsidRPr="0032528B" w:rsidRDefault="00A34111" w:rsidP="00A34111">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Gu, Wentao &amp; Tan Lee. 2007. Effects of tonal context and focus on Cantonese f0. In </w:t>
      </w:r>
      <w:r>
        <w:rPr>
          <w:rFonts w:ascii="Times New Roman" w:eastAsia="STKaiti" w:hAnsi="Times New Roman" w:cs="Times New Roman"/>
          <w:i/>
          <w:color w:val="000000" w:themeColor="text1"/>
        </w:rPr>
        <w:t>Proceedings of the 16th International Congress of Phonetic Sciences</w:t>
      </w:r>
      <w:r>
        <w:rPr>
          <w:rFonts w:ascii="Times New Roman" w:eastAsia="STKaiti" w:hAnsi="Times New Roman" w:cs="Times New Roman"/>
          <w:color w:val="000000" w:themeColor="text1"/>
        </w:rPr>
        <w:t xml:space="preserve">, August 6–10, 2007, Saarbrücken, Germany, 1033–1036.</w:t>
      </w:r>
    </w:p>
    <w:p w14:paraId="7131316C" w14:textId="30CFB02B"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Hammarberg, Robert. 1982. On redefining coarticulation. </w:t>
      </w:r>
      <w:r>
        <w:rPr>
          <w:rFonts w:ascii="Times New Roman" w:eastAsia="STKaiti" w:hAnsi="Times New Roman" w:cs="Times New Roman"/>
          <w:i/>
          <w:iCs/>
          <w:color w:val="000000" w:themeColor="text1"/>
        </w:rPr>
        <w:t>Journal of Phonetics</w:t>
      </w:r>
      <w:r>
        <w:rPr>
          <w:rFonts w:ascii="Times New Roman" w:eastAsia="STKaiti" w:hAnsi="Times New Roman" w:cs="Times New Roman"/>
          <w:color w:val="000000" w:themeColor="text1"/>
        </w:rPr>
        <w:t xml:space="preserve"> 10(2). 123–137.</w:t>
      </w:r>
    </w:p>
    <w:p w14:paraId="04A7F9AE" w14:textId="0F9AADEF" w:rsidR="00FF15DD" w:rsidRPr="0032528B" w:rsidRDefault="00FF15DD" w:rsidP="00FF15DD">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lang w:val="fr-TW"/>
        </w:rPr>
        <w:t xml:space="preserve">Hao, Lixia, Wei Zhang, Yanlu Xie &amp; Jinsong Zhang. 2018. A preliminary study on tonal coarticulation in continuous speech. In </w:t>
      </w:r>
      <w:r>
        <w:rPr>
          <w:rFonts w:ascii="Times New Roman" w:eastAsia="STKaiti" w:hAnsi="Times New Roman" w:cs="Times New Roman"/>
          <w:i/>
          <w:iCs/>
          <w:color w:val="000000" w:themeColor="text1"/>
        </w:rPr>
        <w:t xml:space="preserve">Proceedings of Interspeech 2018</w:t>
      </w:r>
      <w:r>
        <w:rPr>
          <w:rFonts w:ascii="Times New Roman" w:eastAsia="STKaiti" w:hAnsi="Times New Roman" w:cs="Times New Roman"/>
          <w:color w:val="000000" w:themeColor="text1"/>
        </w:rPr>
        <w:t xml:space="preserve">, 3017–3021.</w:t>
      </w:r>
      <w:r>
        <w:rPr>
          <w:rFonts w:ascii="Times New Roman" w:eastAsia="STKaiti" w:hAnsi="Times New Roman" w:cs="Times New Roman"/>
          <w:color w:val="000000" w:themeColor="text1"/>
          <w:lang w:val="fr-TW"/>
        </w:rPr>
        <w:t xml:space="preserve"> doi: 10.21437/Interspeech.2018-1849</w:t>
      </w:r>
    </w:p>
    <w:p w14:paraId="059D98BB" w14:textId="2BCF2A31" w:rsidR="009015B0" w:rsidRPr="0032528B" w:rsidRDefault="009015B0"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Hasanah, Hana Nurul, Qing Yang &amp; Yiya Chen. 2024. Carryover tonal variations for speech recognition in Standard Chinese. In </w:t>
      </w:r>
      <w:r>
        <w:rPr>
          <w:rFonts w:ascii="Times New Roman" w:eastAsia="STKaiti" w:hAnsi="Times New Roman" w:cs="Times New Roman"/>
          <w:i/>
          <w:iCs/>
          <w:color w:val="000000" w:themeColor="text1"/>
        </w:rPr>
        <w:t xml:space="preserve">Proceedings of Speech Prosody 2024</w:t>
      </w:r>
      <w:r>
        <w:rPr>
          <w:rFonts w:ascii="Times New Roman" w:eastAsia="STKaiti" w:hAnsi="Times New Roman" w:cs="Times New Roman"/>
          <w:color w:val="000000" w:themeColor="text1"/>
        </w:rPr>
        <w:t xml:space="preserve">, 398–402. ISCA.</w:t>
      </w:r>
      <w:r>
        <w:rPr>
          <w:rFonts w:ascii="Times New Roman" w:eastAsia="STKaiti" w:hAnsi="Times New Roman" w:cs="Times New Roman"/>
          <w:color w:val="000000" w:themeColor="text1"/>
        </w:rPr>
        <w:t xml:space="preserve"> doi: 10.21437/SpeechProsody.2024-81</w:t>
      </w:r>
    </w:p>
    <w:p w14:paraId="77C42751" w14:textId="33F27214" w:rsidR="00861600" w:rsidRPr="0032528B" w:rsidRDefault="00D36F97" w:rsidP="00861600">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Huang, Chu-Ren &amp; Keh-Jiann Chen. 1992. A Chinese corpus for linguistics research. In </w:t>
      </w:r>
      <w:r>
        <w:rPr>
          <w:rFonts w:ascii="Times New Roman" w:eastAsia="STKaiti" w:hAnsi="Times New Roman" w:cs="Times New Roman"/>
          <w:i/>
          <w:color w:val="000000" w:themeColor="text1"/>
        </w:rPr>
        <w:t>Proceedings of the 1992 International Conference on Computational Linguistics</w:t>
      </w:r>
      <w:r>
        <w:rPr>
          <w:rFonts w:ascii="Times New Roman" w:eastAsia="STKaiti" w:hAnsi="Times New Roman" w:cs="Times New Roman"/>
          <w:color w:val="000000" w:themeColor="text1"/>
        </w:rPr>
        <w:t xml:space="preserve">, August 23–28, Nantes, France, 1214–1217.</w:t>
      </w:r>
    </w:p>
    <w:p w14:paraId="0741F912" w14:textId="481BB2F4"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Huang, Hui-Ting. 2013.</w:t>
      </w:r>
      <w:r>
        <w:rPr>
          <w:rFonts w:ascii="Times New Roman" w:eastAsia="STKaiti" w:hAnsi="Times New Roman" w:cs="Times New Roman"/>
          <w:color w:val="000000" w:themeColor="text1"/>
          <w:lang w:eastAsia="zh-TW"/>
        </w:rPr>
        <w:t/>
      </w:r>
      <w:r>
        <w:rPr>
          <w:rFonts w:ascii="Times New Roman" w:eastAsia="STKaiti" w:hAnsi="Times New Roman" w:cs="Times New Roman"/>
          <w:color w:val="000000" w:themeColor="text1"/>
        </w:rPr>
        <w:t xml:space="preserve"> </w:t>
      </w:r>
      <w:r>
        <w:rPr>
          <w:rFonts w:ascii="Times New Roman" w:eastAsia="STKaiti" w:hAnsi="Times New Roman" w:cs="Times New Roman"/>
          <w:i/>
          <w:iCs/>
          <w:color w:val="000000" w:themeColor="text1"/>
        </w:rPr>
        <w:t xml:space="preserve">Revisiting Mandarin tonal coarticulation. </w:t>
      </w:r>
      <w:r>
        <w:rPr>
          <w:rFonts w:ascii="Times New Roman" w:eastAsia="STKaiti" w:hAnsi="Times New Roman" w:cs="Times New Roman"/>
          <w:color w:val="000000" w:themeColor="text1"/>
        </w:rPr>
        <w:t xml:space="preserve">Hsinchu, Taiwan: National Chiao Tong University MA thesis. doi: 10.6842/NCTU.2013.00626</w:t>
      </w:r>
    </w:p>
    <w:p w14:paraId="08FCCC2F" w14:textId="6DA3FCB7"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Huang, Jingyuan &amp; Lori L. Holt. 2009. General perceptual contributions to lexical tone perceptual compensation. </w:t>
      </w:r>
      <w:r>
        <w:rPr>
          <w:rFonts w:ascii="Times New Roman" w:eastAsia="STKaiti" w:hAnsi="Times New Roman" w:cs="Times New Roman"/>
          <w:i/>
          <w:iCs/>
          <w:color w:val="000000" w:themeColor="text1"/>
        </w:rPr>
        <w:t>Journal of the Acoustical Society of America</w:t>
      </w:r>
      <w:r>
        <w:rPr>
          <w:rFonts w:ascii="Times New Roman" w:eastAsia="STKaiti" w:hAnsi="Times New Roman" w:cs="Times New Roman"/>
          <w:color w:val="000000" w:themeColor="text1"/>
        </w:rPr>
        <w:t xml:space="preserve"> 125(6). 3983–3994. doi: 10.1121/1.3125342</w:t>
      </w:r>
    </w:p>
    <w:p w14:paraId="794E3C81" w14:textId="44933C57" w:rsidR="00506FFC" w:rsidRPr="0032528B" w:rsidRDefault="00506FF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Huang, Yaqian. 2025. F0 and voice quality of coarticulated Mandarin tones. </w:t>
      </w:r>
      <w:r>
        <w:rPr>
          <w:rFonts w:ascii="Times New Roman" w:eastAsia="STKaiti" w:hAnsi="Times New Roman" w:cs="Times New Roman"/>
          <w:i/>
          <w:iCs/>
          <w:color w:val="000000" w:themeColor="text1"/>
        </w:rPr>
        <w:t xml:space="preserve">Language and Speech</w:t>
      </w:r>
      <w:r>
        <w:rPr>
          <w:rFonts w:ascii="Times New Roman" w:eastAsia="STKaiti" w:hAnsi="Times New Roman" w:cs="Times New Roman"/>
          <w:color w:val="000000" w:themeColor="text1"/>
        </w:rPr>
        <w:t xml:space="preserve"> 68(3). 655–688.</w:t>
      </w:r>
      <w:r>
        <w:rPr>
          <w:rFonts w:ascii="Times New Roman" w:eastAsia="STKaiti" w:hAnsi="Times New Roman" w:cs="Times New Roman"/>
          <w:i/>
          <w:iCs/>
          <w:color w:val="000000" w:themeColor="text1"/>
        </w:rPr>
        <w:t/>
      </w:r>
      <w:r>
        <w:rPr>
          <w:rFonts w:ascii="Times New Roman" w:eastAsia="STKaiti" w:hAnsi="Times New Roman" w:cs="Times New Roman"/>
          <w:color w:val="000000" w:themeColor="text1"/>
        </w:rPr>
        <w:t/>
      </w:r>
    </w:p>
    <w:p w14:paraId="6DE2B42A" w14:textId="54FC66CB" w:rsidR="00E660CB"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Jeng, Jing-Yi. 2012. The effect of tonal coarticulation on the fundamental frequency of Mandarin disyllabic words. </w:t>
      </w:r>
      <w:r>
        <w:rPr>
          <w:rFonts w:ascii="Times New Roman" w:eastAsia="STKaiti" w:hAnsi="Times New Roman" w:cs="Times New Roman"/>
          <w:i/>
          <w:color w:val="000000" w:themeColor="text1"/>
        </w:rPr>
        <w:t>Journal of the Speech-Language-Hearing Association of Taiwan</w:t>
      </w:r>
      <w:r>
        <w:rPr>
          <w:rFonts w:ascii="Times New Roman" w:eastAsia="STKaiti" w:hAnsi="Times New Roman" w:cs="Times New Roman"/>
          <w:iCs/>
          <w:color w:val="000000" w:themeColor="text1"/>
        </w:rPr>
        <w:t xml:space="preserve"> 25. 22</w:t>
      </w:r>
      <w:r>
        <w:rPr>
          <w:rFonts w:ascii="Times New Roman" w:eastAsia="STKaiti" w:hAnsi="Times New Roman" w:cs="Times New Roman"/>
          <w:color w:val="000000" w:themeColor="text1"/>
        </w:rPr>
        <w:t>–48.</w:t>
      </w:r>
    </w:p>
    <w:p w14:paraId="6DF52B41" w14:textId="3312DA3F" w:rsidR="005B7F27" w:rsidRPr="0032528B" w:rsidRDefault="005B7F27" w:rsidP="005B7F27">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lang w:val="fr-TW"/>
        </w:rPr>
        <w:t xml:space="preserve">Jun, Sun-Ah. 2005. </w:t>
      </w:r>
      <w:r>
        <w:rPr>
          <w:rFonts w:ascii="Times New Roman" w:eastAsia="STKaiti" w:hAnsi="Times New Roman" w:cs="Times New Roman"/>
          <w:i/>
          <w:iCs/>
          <w:color w:val="000000" w:themeColor="text1"/>
          <w:lang w:val="fr-TW"/>
        </w:rPr>
        <w:t>Prosodic typology: An approach through intonational phonology and transcription.</w:t>
      </w:r>
      <w:r>
        <w:rPr>
          <w:rFonts w:ascii="Times New Roman" w:eastAsia="STKaiti" w:hAnsi="Times New Roman" w:cs="Times New Roman"/>
          <w:color w:val="000000" w:themeColor="text1"/>
          <w:lang w:val="fr-TW"/>
        </w:rPr>
        <w:t xml:space="preserve"/>
      </w:r>
      <w:r>
        <w:rPr>
          <w:rFonts w:ascii="Times New Roman" w:eastAsia="STKaiti" w:hAnsi="Times New Roman" w:cs="Times New Roman"/>
          <w:i/>
          <w:iCs/>
          <w:color w:val="000000" w:themeColor="text1"/>
          <w:lang w:val="fr-TW"/>
        </w:rPr>
        <w:t/>
      </w:r>
      <w:r>
        <w:rPr>
          <w:rFonts w:ascii="Times New Roman" w:eastAsia="STKaiti" w:hAnsi="Times New Roman" w:cs="Times New Roman"/>
          <w:color w:val="000000" w:themeColor="text1"/>
          <w:lang w:val="fr-TW"/>
        </w:rPr>
        <w:t xml:space="preserve"> Oxford: Oxford University Press.</w:t>
      </w:r>
    </w:p>
    <w:p w14:paraId="439490AA" w14:textId="0C396072"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Kuang, Jianjing. 2013. The tonal space of contrastive five level tones. </w:t>
      </w:r>
      <w:r>
        <w:rPr>
          <w:rFonts w:ascii="Times New Roman" w:eastAsia="STKaiti" w:hAnsi="Times New Roman" w:cs="Times New Roman"/>
          <w:i/>
          <w:iCs/>
          <w:color w:val="000000" w:themeColor="text1"/>
        </w:rPr>
        <w:t>Phonetica</w:t>
      </w:r>
      <w:r>
        <w:rPr>
          <w:rFonts w:ascii="Times New Roman" w:eastAsia="STKaiti" w:hAnsi="Times New Roman" w:cs="Times New Roman"/>
          <w:color w:val="000000" w:themeColor="text1"/>
        </w:rPr>
        <w:t xml:space="preserve"> 70(1–2). 1–23. doi: 10.1159/000353853</w:t>
      </w:r>
    </w:p>
    <w:p w14:paraId="6531D3BB" w14:textId="0E4D0BD3" w:rsidR="00727D3C" w:rsidRPr="0032528B" w:rsidRDefault="00490ED9" w:rsidP="00E660CB">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Kuznetsova, Alexandra, Per B. Brockhoff &amp; Rune H. B. Christensen. 2017. lmerTest package: Tests in linear mixed effects models. </w:t>
      </w:r>
      <w:r>
        <w:rPr>
          <w:rFonts w:ascii="Times New Roman" w:eastAsia="STKaiti" w:hAnsi="Times New Roman" w:cs="Times New Roman"/>
          <w:i/>
          <w:iCs/>
          <w:color w:val="000000" w:themeColor="text1"/>
        </w:rPr>
        <w:t>Journal of Statistical Software</w:t>
      </w:r>
      <w:r>
        <w:rPr>
          <w:rFonts w:ascii="Times New Roman" w:eastAsia="STKaiti" w:hAnsi="Times New Roman" w:cs="Times New Roman"/>
          <w:color w:val="000000" w:themeColor="text1"/>
        </w:rPr>
        <w:t xml:space="preserve"> 82(13). 1–26. doi: 10.18637/jss.v082.i13</w:t>
      </w:r>
    </w:p>
    <w:p w14:paraId="357E9A88" w14:textId="4B7C2E65" w:rsidR="00727D3C" w:rsidRPr="0032528B" w:rsidRDefault="00490ED9"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Lee, Kathy Yuet Sheung, Sung Nok Chiu &amp; Charles Andrew van Hasselt. 2002. Tone perception ability of Cantonese-speaking children. </w:t>
      </w:r>
      <w:r>
        <w:rPr>
          <w:rFonts w:ascii="Times New Roman" w:eastAsia="STKaiti" w:hAnsi="Times New Roman" w:cs="Times New Roman"/>
          <w:i/>
          <w:iCs/>
          <w:color w:val="000000" w:themeColor="text1"/>
        </w:rPr>
        <w:t>Language and Speech</w:t>
      </w:r>
      <w:r>
        <w:rPr>
          <w:rFonts w:ascii="Times New Roman" w:eastAsia="STKaiti" w:hAnsi="Times New Roman" w:cs="Times New Roman"/>
          <w:color w:val="000000" w:themeColor="text1"/>
        </w:rPr>
        <w:t xml:space="preserve"> 45(4). 387–406.</w:t>
      </w:r>
    </w:p>
    <w:p w14:paraId="3B0C9E8B" w14:textId="4E369229" w:rsidR="00861600" w:rsidRPr="0032528B" w:rsidRDefault="00861600" w:rsidP="00861600">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Lenth, Russell V. 2021. </w:t>
      </w:r>
      <w:r>
        <w:rPr>
          <w:rFonts w:ascii="Times New Roman" w:eastAsia="STKaiti" w:hAnsi="Times New Roman" w:cs="Times New Roman"/>
          <w:i/>
          <w:iCs/>
          <w:color w:val="000000" w:themeColor="text1"/>
        </w:rPr>
        <w:t xml:space="preserve">emmeans: Estimated marginal means, aka least-squares means</w:t>
      </w:r>
      <w:r>
        <w:rPr>
          <w:rFonts w:ascii="Times New Roman" w:eastAsia="STKaiti" w:hAnsi="Times New Roman" w:cs="Times New Roman"/>
          <w:color w:val="000000" w:themeColor="text1"/>
        </w:rPr>
        <w:t xml:space="preserve"> (version 1.11.1). R package. https://CRAN.R-project.org/package=emmeans (accessed 14 June 2024).</w:t>
      </w:r>
      <w:r>
        <w:rPr>
          <w:rFonts w:ascii="Times New Roman" w:eastAsia="STKaiti" w:hAnsi="Times New Roman" w:cs="Times New Roman"/>
          <w:color w:val="000000" w:themeColor="text1"/>
        </w:rPr>
        <w:t xml:space="preserve"/>
      </w:r>
      <w:hyperlink r:id="rId30">
        <w:r>
          <w:rPr>
            <w:rStyle w:val="Lienhypertexte"/>
            <w:rFonts w:ascii="Times New Roman" w:eastAsia="STKaiti" w:hAnsi="Times New Roman" w:cs="Times New Roman"/>
            <w:color w:val="000000" w:themeColor="text1"/>
            <w:u w:val="none"/>
          </w:rPr>
          <w:t/>
        </w:r>
      </w:hyperlink>
    </w:p>
    <w:p w14:paraId="3A2AC582" w14:textId="1ADBAE63" w:rsidR="00B24204" w:rsidRPr="0032528B" w:rsidRDefault="00B24204" w:rsidP="005732E2">
      <w:pPr>
        <w:pStyle w:val="JASAReferencesAlphabetical"/>
        <w:rPr>
          <w:rFonts w:ascii="Times New Roman" w:eastAsia="STKaiti" w:hAnsi="Times New Roman" w:cs="Times New Roman"/>
          <w:color w:val="000000" w:themeColor="text1"/>
          <w:lang w:val="fr-FR"/>
        </w:rPr>
      </w:pPr>
      <w:r>
        <w:rPr>
          <w:rFonts w:ascii="Times New Roman" w:eastAsia="STKaiti" w:hAnsi="Times New Roman" w:cs="Times New Roman"/>
          <w:color w:val="000000" w:themeColor="text1"/>
        </w:rPr>
        <w:t xml:space="preserve">Li, Qian. 2023. A preliminary study on the online processing of anticipatory tonal coarticulation: Evidence from eye movements. </w:t>
      </w:r>
      <w:r>
        <w:rPr>
          <w:rFonts w:ascii="Times New Roman" w:eastAsia="STKaiti" w:hAnsi="Times New Roman" w:cs="Times New Roman"/>
          <w:i/>
          <w:iCs/>
          <w:color w:val="000000" w:themeColor="text1"/>
        </w:rPr>
        <w:t xml:space="preserve">Frontiers in Psychology</w:t>
      </w:r>
      <w:r>
        <w:rPr>
          <w:rFonts w:ascii="Times New Roman" w:eastAsia="STKaiti" w:hAnsi="Times New Roman" w:cs="Times New Roman"/>
          <w:color w:val="000000" w:themeColor="text1"/>
        </w:rPr>
        <w:t xml:space="preserve"> 14. Article 1137095</w:t>
      </w:r>
      <w:r>
        <w:rPr>
          <w:rFonts w:ascii="Times New Roman" w:eastAsia="STKaiti" w:hAnsi="Times New Roman" w:cs="Times New Roman"/>
          <w:color w:val="000000" w:themeColor="text1"/>
          <w:lang w:val="fr-FR"/>
        </w:rPr>
        <w:t>. doi: 10.3389/fpsyg.2023.1137095</w:t>
      </w:r>
    </w:p>
    <w:p w14:paraId="54FB25E7" w14:textId="3302EAA0"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Li, Siok-Hong. 2010. 台、華語接觸所引起的台語語音的變化趨勢 (Sound change in Taiwanese: A tendency caused by its contact with Mandarin). 台語研究 (</w:t>
      </w:r>
      <w:r>
        <w:rPr>
          <w:rFonts w:ascii="Times New Roman" w:eastAsia="STKaiti" w:hAnsi="Times New Roman" w:cs="Times New Roman"/>
          <w:i/>
          <w:iCs/>
          <w:color w:val="000000" w:themeColor="text1"/>
        </w:rPr>
        <w:t>Journal of Taiwanese Vernacular</w:t>
      </w:r>
      <w:r>
        <w:rPr>
          <w:rFonts w:ascii="Times New Roman" w:eastAsia="STKaiti" w:hAnsi="Times New Roman" w:cs="Times New Roman"/>
          <w:color w:val="000000" w:themeColor="text1"/>
        </w:rPr>
        <w:t xml:space="preserve">) 2(1). 56–71. doi: 10.6621/JTV.2010.0201.03</w:t>
      </w:r>
    </w:p>
    <w:p w14:paraId="5B9E2C10" w14:textId="12953F4B" w:rsidR="00861600" w:rsidRPr="0032528B" w:rsidRDefault="00861600" w:rsidP="00861600">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Liao, Yuan-Fu. 2022. </w:t>
      </w:r>
      <w:r>
        <w:rPr>
          <w:rFonts w:ascii="Times New Roman" w:eastAsia="STKaiti" w:hAnsi="Times New Roman" w:cs="Times New Roman"/>
          <w:i/>
          <w:iCs/>
          <w:color w:val="000000" w:themeColor="text1"/>
        </w:rPr>
        <w:t xml:space="preserve">TAT MOE corpus</w:t>
      </w:r>
      <w:r>
        <w:rPr>
          <w:rFonts w:ascii="Times New Roman" w:eastAsia="STKaiti" w:hAnsi="Times New Roman" w:cs="Times New Roman"/>
          <w:color w:val="000000" w:themeColor="text1"/>
        </w:rPr>
        <w:t xml:space="preserve"> [2022]. </w:t>
      </w:r>
      <w:hyperlink r:id="rId31" w:history="1">
        <w:r>
          <w:rPr>
            <w:rStyle w:val="Lienhypertexte"/>
            <w:rFonts w:ascii="Times New Roman" w:eastAsia="STKaiti" w:hAnsi="Times New Roman" w:cs="Times New Roman"/>
            <w:color w:val="000000" w:themeColor="text1"/>
            <w:u w:val="none"/>
          </w:rPr>
          <w:t>Ministry of Education, R.O.C. https://tggl.naer.edu.tw (accessed 8 October 2024).</w:t>
        </w:r>
      </w:hyperlink>
      <w:hyperlink r:id="rId32">
        <w:r>
          <w:rPr>
            <w:rStyle w:val="Lienhypertexte"/>
            <w:rFonts w:ascii="Times New Roman" w:eastAsia="STKaiti" w:hAnsi="Times New Roman" w:cs="Times New Roman"/>
            <w:color w:val="000000" w:themeColor="text1"/>
            <w:u w:val="none"/>
          </w:rPr>
          <w:t/>
        </w:r>
      </w:hyperlink>
      <w:r>
        <w:rPr>
          <w:rFonts w:ascii="Times New Roman" w:eastAsia="STKaiti" w:hAnsi="Times New Roman" w:cs="Times New Roman"/>
          <w:color w:val="000000" w:themeColor="text1"/>
        </w:rPr>
        <w:t xml:space="preserve"/>
      </w:r>
    </w:p>
    <w:p w14:paraId="41E9E83C" w14:textId="3CE205D5"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Lin, Hwei-Bing. 1989. </w:t>
      </w:r>
      <w:r>
        <w:rPr>
          <w:rFonts w:ascii="Times New Roman" w:eastAsia="STKaiti" w:hAnsi="Times New Roman" w:cs="Times New Roman"/>
          <w:i/>
          <w:iCs/>
          <w:color w:val="000000" w:themeColor="text1"/>
        </w:rPr>
        <w:t xml:space="preserve">Contextual stability of Taiwanese tones</w:t>
      </w:r>
      <w:r>
        <w:rPr>
          <w:rFonts w:ascii="Times New Roman" w:eastAsia="STKaiti" w:hAnsi="Times New Roman" w:cs="Times New Roman"/>
          <w:color w:val="000000" w:themeColor="text1"/>
        </w:rPr>
        <w:t xml:space="preserve">.</w:t>
      </w:r>
      <w:r>
        <w:rPr>
          <w:rFonts w:ascii="Times New Roman" w:eastAsia="STKaiti" w:hAnsi="Times New Roman" w:cs="Times New Roman"/>
          <w:i/>
          <w:iCs/>
          <w:color w:val="000000" w:themeColor="text1"/>
        </w:rPr>
        <w:t xml:space="preserve"/>
      </w:r>
      <w:r>
        <w:rPr>
          <w:rFonts w:ascii="Times New Roman" w:eastAsia="STKaiti" w:hAnsi="Times New Roman" w:cs="Times New Roman"/>
          <w:color w:val="000000" w:themeColor="text1"/>
        </w:rPr>
        <w:t xml:space="preserve"> Mansfield, CT: University of Connecticut dissertation.</w:t>
      </w:r>
    </w:p>
    <w:p w14:paraId="2A2A8A30" w14:textId="0002505A" w:rsidR="00D85026" w:rsidRPr="0032528B" w:rsidRDefault="00D85026" w:rsidP="004A45E7">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Lindblom, Björn E. 1986. Phonetic universals in vowel systems. In John J. Ohala &amp; Jeri J. Jaeger (eds.), </w:t>
      </w:r>
      <w:r>
        <w:rPr>
          <w:rFonts w:ascii="Times New Roman" w:eastAsia="STKaiti" w:hAnsi="Times New Roman" w:cs="Times New Roman"/>
          <w:i/>
          <w:iCs/>
          <w:color w:val="000000" w:themeColor="text1"/>
        </w:rPr>
        <w:t>Experimental phonology,</w:t>
      </w:r>
      <w:r>
        <w:rPr>
          <w:rFonts w:ascii="Times New Roman" w:eastAsia="STKaiti" w:hAnsi="Times New Roman" w:cs="Times New Roman"/>
          <w:color w:val="000000" w:themeColor="text1"/>
        </w:rPr>
        <w:t xml:space="preserve"> 13–42. Orlando: Academic Press.</w:t>
      </w:r>
    </w:p>
    <w:p w14:paraId="46DE4472" w14:textId="5AAAB167" w:rsidR="009D150E"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Lindblom, Björn E. 1990. Explaining phonetic variation: A sketch of H&amp;H Theory. In William J. Hardcastle &amp; Alain Marchal (eds.), </w:t>
      </w:r>
      <w:r>
        <w:rPr>
          <w:rFonts w:ascii="Times New Roman" w:eastAsia="STKaiti" w:hAnsi="Times New Roman" w:cs="Times New Roman"/>
          <w:i/>
          <w:iCs/>
          <w:color w:val="000000" w:themeColor="text1"/>
        </w:rPr>
        <w:t xml:space="preserve">Speech production and speech modelling</w:t>
      </w:r>
      <w:r>
        <w:rPr>
          <w:rFonts w:ascii="Times New Roman" w:eastAsia="STKaiti" w:hAnsi="Times New Roman" w:cs="Times New Roman"/>
          <w:color w:val="000000" w:themeColor="text1"/>
        </w:rPr>
        <w:t xml:space="preserve">,</w:t>
      </w:r>
      <w:r>
        <w:rPr>
          <w:rFonts w:ascii="Times New Roman" w:eastAsia="STKaiti" w:hAnsi="Times New Roman" w:cs="Times New Roman"/>
          <w:i/>
          <w:iCs/>
          <w:color w:val="000000" w:themeColor="text1"/>
        </w:rPr>
        <w:t/>
      </w:r>
      <w:r>
        <w:rPr>
          <w:rFonts w:ascii="Times New Roman" w:eastAsia="STKaiti" w:hAnsi="Times New Roman" w:cs="Times New Roman"/>
          <w:color w:val="000000" w:themeColor="text1"/>
        </w:rPr>
        <w:t xml:space="preserve"> 403–439. Amsterdam: Kluwer Academic Publishers.</w:t>
      </w:r>
    </w:p>
    <w:p w14:paraId="3624A1F6" w14:textId="7824D902" w:rsidR="00727D3C"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Manuel, Sharon Y. 1990. The role of contrast in limiting vowel‐to‐vowel coarticulation in different languages. </w:t>
      </w:r>
      <w:r>
        <w:rPr>
          <w:rFonts w:ascii="Times New Roman" w:eastAsia="STKaiti" w:hAnsi="Times New Roman" w:cs="Times New Roman"/>
          <w:i/>
          <w:iCs/>
          <w:color w:val="000000" w:themeColor="text1"/>
        </w:rPr>
        <w:t>The Journal of the Acoustical Society of America</w:t>
      </w:r>
      <w:r>
        <w:rPr>
          <w:rFonts w:ascii="Times New Roman" w:eastAsia="STKaiti" w:hAnsi="Times New Roman" w:cs="Times New Roman"/>
          <w:color w:val="000000" w:themeColor="text1"/>
        </w:rPr>
        <w:t xml:space="preserve"> 88(3). 1286–1298.</w:t>
      </w:r>
    </w:p>
    <w:p w14:paraId="648A84E5" w14:textId="446409D5" w:rsidR="0039039F" w:rsidRPr="0032528B" w:rsidRDefault="0039039F"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highlight w:val="yellow"/>
        </w:rPr>
        <w:t xml:space="preserve">Peirce, </w:t>
      </w:r>
      <w:r>
        <w:rPr>
          <w:rFonts w:ascii="Times New Roman" w:eastAsia="STKaiti" w:hAnsi="Times New Roman" w:cs="Times New Roman"/>
          <w:highlight w:val="yellow"/>
        </w:rPr>
        <w:t>Jonathan W</w:t>
      </w:r>
      <w:r>
        <w:rPr>
          <w:rFonts w:ascii="Times New Roman" w:eastAsia="STKaiti" w:hAnsi="Times New Roman" w:cs="Times New Roman"/>
          <w:color w:val="000000" w:themeColor="text1"/>
        </w:rPr>
        <w:t xml:space="preserve">., Jeremy R. Gray, Sol Simpson, Michael MacAskill, Richard Höchenberger, Hiroyuki Sogo, Erik Kastman &amp; Jonas Kristoffer Lindeløv. 2019. PsychoPy2: Experiments in behavior made easy. </w:t>
      </w:r>
      <w:r>
        <w:rPr>
          <w:rFonts w:ascii="Times New Roman" w:eastAsia="STKaiti" w:hAnsi="Times New Roman" w:cs="Times New Roman"/>
          <w:i/>
          <w:iCs/>
          <w:color w:val="000000" w:themeColor="text1"/>
        </w:rPr>
        <w:t xml:space="preserve">Behavior Research Methods</w:t>
      </w:r>
      <w:r>
        <w:rPr>
          <w:rFonts w:ascii="Times New Roman" w:eastAsia="STKaiti" w:hAnsi="Times New Roman" w:cs="Times New Roman"/>
          <w:color w:val="000000" w:themeColor="text1"/>
        </w:rPr>
        <w:t xml:space="preserve"> 51(1). 195–203.</w:t>
      </w:r>
      <w:r>
        <w:rPr>
          <w:rFonts w:ascii="Times New Roman" w:eastAsia="STKaiti" w:hAnsi="Times New Roman" w:cs="Times New Roman"/>
          <w:i/>
          <w:iCs/>
          <w:color w:val="000000" w:themeColor="text1"/>
          <w:highlight w:val="yellow"/>
        </w:rPr>
        <w:t/>
      </w:r>
      <w:r>
        <w:rPr>
          <w:rFonts w:ascii="Times New Roman" w:eastAsia="STKaiti" w:hAnsi="Times New Roman" w:cs="Times New Roman"/>
          <w:color w:val="000000" w:themeColor="text1"/>
          <w:highlight w:val="yellow"/>
        </w:rPr>
        <w:t/>
      </w:r>
    </w:p>
    <w:p w14:paraId="366625F9" w14:textId="34A09579"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Peng, Shu-Hui. 1997. Production and perception of Taiwanese tones in different tonal and prosodic contexts. </w:t>
      </w:r>
      <w:r>
        <w:rPr>
          <w:rFonts w:ascii="Times New Roman" w:eastAsia="STKaiti" w:hAnsi="Times New Roman" w:cs="Times New Roman"/>
          <w:i/>
          <w:color w:val="000000" w:themeColor="text1"/>
        </w:rPr>
        <w:t>Journal of Phonetics</w:t>
      </w:r>
      <w:r>
        <w:rPr>
          <w:rFonts w:ascii="Times New Roman" w:eastAsia="STKaiti" w:hAnsi="Times New Roman" w:cs="Times New Roman"/>
          <w:iCs/>
          <w:color w:val="000000" w:themeColor="text1"/>
        </w:rPr>
        <w:t xml:space="preserve"> 25(3).</w:t>
      </w:r>
      <w:r>
        <w:rPr>
          <w:rFonts w:ascii="Times New Roman" w:eastAsia="STKaiti" w:hAnsi="Times New Roman" w:cs="Times New Roman"/>
          <w:color w:val="000000" w:themeColor="text1"/>
        </w:rPr>
        <w:t xml:space="preserve"> 371–400. doi: 10.1006/jpho.1997.0047 </w:t>
      </w:r>
    </w:p>
    <w:p w14:paraId="10302CA0" w14:textId="7CF4F49A" w:rsidR="00B24204" w:rsidRPr="0032528B" w:rsidRDefault="00B24204"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Qin, Zhen &amp; Jingwei Zhang. 2024. The role of coarticulatory tonal information in Cantonese spoken word recognition: An eye-tracking study. </w:t>
      </w:r>
      <w:r>
        <w:rPr>
          <w:rFonts w:ascii="Times New Roman" w:eastAsia="STKaiti" w:hAnsi="Times New Roman" w:cs="Times New Roman"/>
          <w:i/>
          <w:iCs/>
          <w:color w:val="000000" w:themeColor="text1"/>
        </w:rPr>
        <w:t xml:space="preserve">Linguistics Vanguard</w:t>
      </w:r>
      <w:r>
        <w:rPr>
          <w:rFonts w:ascii="Times New Roman" w:eastAsia="STKaiti" w:hAnsi="Times New Roman" w:cs="Times New Roman"/>
          <w:color w:val="000000" w:themeColor="text1"/>
        </w:rPr>
        <w:t xml:space="preserve"> 10(1). 81–91</w:t>
      </w:r>
      <w:r>
        <w:rPr>
          <w:rFonts w:ascii="Times New Roman" w:eastAsia="STKaiti" w:hAnsi="Times New Roman" w:cs="Times New Roman"/>
          <w:i/>
          <w:iCs/>
          <w:color w:val="000000" w:themeColor="text1"/>
        </w:rPr>
        <w:t/>
      </w:r>
      <w:r>
        <w:rPr>
          <w:rFonts w:ascii="Times New Roman" w:eastAsia="STKaiti" w:hAnsi="Times New Roman" w:cs="Times New Roman"/>
          <w:color w:val="000000" w:themeColor="text1"/>
        </w:rPr>
        <w:t/>
      </w:r>
      <w:r>
        <w:rPr>
          <w:rFonts w:ascii="Times New Roman" w:eastAsia="STKaiti" w:hAnsi="Times New Roman" w:cs="Times New Roman"/>
          <w:i/>
          <w:iCs/>
          <w:color w:val="000000" w:themeColor="text1"/>
        </w:rPr>
        <w:t/>
      </w:r>
      <w:r>
        <w:rPr>
          <w:rFonts w:ascii="Times New Roman" w:eastAsia="STKaiti" w:hAnsi="Times New Roman" w:cs="Times New Roman"/>
          <w:color w:val="000000" w:themeColor="text1"/>
        </w:rPr>
        <w:t>. </w:t>
      </w:r>
      <w:r>
        <w:rPr>
          <w:rStyle w:val="Lienhypertexte"/>
          <w:rFonts w:ascii="Times New Roman" w:eastAsia="STKaiti" w:hAnsi="Times New Roman" w:cs="Times New Roman"/>
        </w:rPr>
        <w:t>doi: 10.1515/lingvan-2022-0158</w:t>
      </w:r>
    </w:p>
    <w:p w14:paraId="07CB7F80" w14:textId="6475526F"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R Core Team. 2023. </w:t>
      </w:r>
      <w:r>
        <w:rPr>
          <w:rFonts w:ascii="Times New Roman" w:eastAsia="STKaiti" w:hAnsi="Times New Roman" w:cs="Times New Roman"/>
          <w:i/>
          <w:iCs/>
          <w:color w:val="000000" w:themeColor="text1"/>
        </w:rPr>
        <w:t xml:space="preserve">R (4.3.1): A language and environment for statistical computing</w:t>
      </w:r>
      <w:r>
        <w:rPr>
          <w:rFonts w:ascii="Times New Roman" w:eastAsia="STKaiti" w:hAnsi="Times New Roman" w:cs="Times New Roman"/>
          <w:color w:val="000000" w:themeColor="text1"/>
        </w:rPr>
        <w:t xml:space="preserve">. Vienna: R Foundation for Statistical Computing. https://www.R-project.org/ (accessed 14 June 2024).</w:t>
      </w:r>
    </w:p>
    <w:p w14:paraId="333F4877" w14:textId="2F918F8E" w:rsidR="00C47D72" w:rsidRPr="0032528B" w:rsidRDefault="00C47D72"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Ren, Xinran &amp; Peggy Mok. 2025. The effects of contextual tonal variation on Cantonese tone merging. </w:t>
      </w:r>
      <w:r>
        <w:rPr>
          <w:rFonts w:ascii="Times New Roman" w:eastAsia="STKaiti" w:hAnsi="Times New Roman" w:cs="Times New Roman"/>
          <w:i/>
          <w:iCs/>
          <w:color w:val="000000" w:themeColor="text1"/>
        </w:rPr>
        <w:t xml:space="preserve">Laboratory Phonology: Journal of the Association for Laboratory Phonology</w:t>
      </w:r>
      <w:r>
        <w:rPr>
          <w:rFonts w:ascii="Times New Roman" w:eastAsia="STKaiti" w:hAnsi="Times New Roman" w:cs="Times New Roman"/>
          <w:color w:val="000000" w:themeColor="text1"/>
        </w:rPr>
        <w:t xml:space="preserve"> 16(1). 1–44</w:t>
      </w:r>
      <w:r>
        <w:rPr>
          <w:rFonts w:ascii="Times New Roman" w:eastAsia="STKaiti" w:hAnsi="Times New Roman" w:cs="Times New Roman"/>
          <w:color w:val="000000" w:themeColor="text1"/>
        </w:rPr>
        <w:t>. </w:t>
      </w:r>
      <w:r>
        <w:rPr>
          <w:rStyle w:val="Lienhypertexte"/>
          <w:rFonts w:ascii="Times New Roman" w:eastAsia="STKaiti" w:hAnsi="Times New Roman" w:cs="Times New Roman"/>
        </w:rPr>
        <w:t>doi: 10.16995/labphon.17746</w:t>
      </w:r>
    </w:p>
    <w:p w14:paraId="24E71443" w14:textId="6C1A3EB5"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Shen, Xiaonan Susan. 1990. Tonal coarticulation in Mandarin. </w:t>
      </w:r>
      <w:r>
        <w:rPr>
          <w:rFonts w:ascii="Times New Roman" w:eastAsia="STKaiti" w:hAnsi="Times New Roman" w:cs="Times New Roman"/>
          <w:i/>
          <w:iCs/>
          <w:color w:val="000000" w:themeColor="text1"/>
        </w:rPr>
        <w:t>Journal of Phonetics</w:t>
      </w:r>
      <w:r>
        <w:rPr>
          <w:rFonts w:ascii="Times New Roman" w:eastAsia="STKaiti" w:hAnsi="Times New Roman" w:cs="Times New Roman"/>
          <w:color w:val="000000" w:themeColor="text1"/>
        </w:rPr>
        <w:t xml:space="preserve"> 18(2). 281–295. doi: 10.1016/S0095-4470(19)30394-8</w:t>
      </w:r>
    </w:p>
    <w:p w14:paraId="5001221C" w14:textId="171C7394"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Shen, Xiaonan Susan. 1992. On tone sandhi and tonal coarticulation. </w:t>
      </w:r>
      <w:r>
        <w:rPr>
          <w:rFonts w:ascii="Times New Roman" w:eastAsia="STKaiti" w:hAnsi="Times New Roman" w:cs="Times New Roman"/>
          <w:i/>
          <w:color w:val="000000" w:themeColor="text1"/>
        </w:rPr>
        <w:t>Acta Linguistica Hafniensia</w:t>
      </w:r>
      <w:r>
        <w:rPr>
          <w:rFonts w:ascii="Times New Roman" w:eastAsia="STKaiti" w:hAnsi="Times New Roman" w:cs="Times New Roman"/>
          <w:iCs/>
          <w:color w:val="000000" w:themeColor="text1"/>
        </w:rPr>
        <w:t xml:space="preserve"> 25(1</w:t>
      </w:r>
      <w:r>
        <w:rPr>
          <w:rFonts w:ascii="Times New Roman" w:eastAsia="STKaiti" w:hAnsi="Times New Roman" w:cs="Times New Roman"/>
          <w:color w:val="000000" w:themeColor="text1"/>
        </w:rPr>
        <w:t xml:space="preserve">). 83–94. doi: 10.1080/03740463.1992.10412279 </w:t>
      </w:r>
    </w:p>
    <w:p w14:paraId="6618CE91" w14:textId="466E7275" w:rsidR="00526A56" w:rsidRPr="0032528B" w:rsidRDefault="00526A56" w:rsidP="00C67A8B">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Sonderegger, Morgan. 2023. </w:t>
      </w:r>
      <w:r>
        <w:rPr>
          <w:rFonts w:ascii="Times New Roman" w:eastAsia="STKaiti" w:hAnsi="Times New Roman" w:cs="Times New Roman"/>
          <w:i/>
          <w:iCs/>
          <w:color w:val="000000" w:themeColor="text1"/>
        </w:rPr>
        <w:t xml:space="preserve">Regression modeling for linguistic data</w:t>
      </w:r>
      <w:r>
        <w:rPr>
          <w:rFonts w:ascii="Times New Roman" w:eastAsia="STKaiti" w:hAnsi="Times New Roman" w:cs="Times New Roman"/>
          <w:color w:val="000000" w:themeColor="text1"/>
        </w:rPr>
        <w:t xml:space="preserve">. Cambridge: MIT Press.</w:t>
      </w:r>
    </w:p>
    <w:p w14:paraId="35BDB4A3" w14:textId="0DF86C36" w:rsidR="00861600" w:rsidRPr="0032528B" w:rsidRDefault="00861600" w:rsidP="00861600">
      <w:pPr>
        <w:pStyle w:val="JASAReferencesAlphabetical"/>
      </w:pPr>
      <w:r>
        <w:rPr>
          <w:rFonts w:ascii="Times New Roman" w:eastAsia="STKaiti" w:hAnsi="Times New Roman" w:cs="Times New Roman"/>
          <w:color w:val="000000" w:themeColor="text1"/>
        </w:rPr>
        <w:t xml:space="preserve">Sun, Yan &amp; Chilin Shih. 2021. Boundary-conditioned anticipatory tonal coarticulation in Standard Mandarin. </w:t>
      </w:r>
      <w:r>
        <w:rPr>
          <w:rFonts w:ascii="Times New Roman" w:eastAsia="STKaiti" w:hAnsi="Times New Roman" w:cs="Times New Roman"/>
          <w:i/>
          <w:iCs/>
          <w:color w:val="000000" w:themeColor="text1"/>
        </w:rPr>
        <w:t>Journal of Phonetics</w:t>
      </w:r>
      <w:r>
        <w:rPr>
          <w:rFonts w:ascii="Times New Roman" w:eastAsia="STKaiti" w:hAnsi="Times New Roman" w:cs="Times New Roman"/>
          <w:color w:val="000000" w:themeColor="text1"/>
        </w:rPr>
        <w:t xml:space="preserve"> 84. 101018. doi: 10.1016/j.wocn.2020.101018 </w:t>
      </w:r>
      <w:hyperlink r:id="rId35"/>
    </w:p>
    <w:p w14:paraId="568668DB" w14:textId="35557524"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Tomar, Suramya. 2006. Converting video formats with FFmpeg. </w:t>
      </w:r>
      <w:r>
        <w:rPr>
          <w:rFonts w:ascii="Times New Roman" w:eastAsia="STKaiti" w:hAnsi="Times New Roman" w:cs="Times New Roman"/>
          <w:i/>
          <w:iCs/>
          <w:color w:val="000000" w:themeColor="text1"/>
        </w:rPr>
        <w:t>Linux Journal</w:t>
      </w:r>
      <w:r>
        <w:rPr>
          <w:rFonts w:ascii="Times New Roman" w:eastAsia="STKaiti" w:hAnsi="Times New Roman" w:cs="Times New Roman"/>
          <w:color w:val="000000" w:themeColor="text1"/>
        </w:rPr>
        <w:t xml:space="preserve"> 146(1). 10.</w:t>
      </w:r>
    </w:p>
    <w:p w14:paraId="7D718DD8" w14:textId="4CBF66D5"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Wang, Samuel. 2002. The prosodic effects on Taiwan Min tones. </w:t>
      </w:r>
      <w:r>
        <w:rPr>
          <w:rFonts w:ascii="Times New Roman" w:eastAsia="STKaiti" w:hAnsi="Times New Roman" w:cs="Times New Roman"/>
          <w:i/>
          <w:color w:val="000000" w:themeColor="text1"/>
        </w:rPr>
        <w:t xml:space="preserve">Language and Linguistics </w:t>
      </w:r>
      <w:r>
        <w:rPr>
          <w:rFonts w:ascii="Times New Roman" w:eastAsia="STKaiti" w:hAnsi="Times New Roman" w:cs="Times New Roman"/>
          <w:iCs/>
          <w:color w:val="000000" w:themeColor="text1"/>
        </w:rPr>
        <w:t>3</w:t>
      </w:r>
      <w:r>
        <w:rPr>
          <w:rFonts w:ascii="Times New Roman" w:eastAsia="STKaiti" w:hAnsi="Times New Roman" w:cs="Times New Roman"/>
          <w:color w:val="000000" w:themeColor="text1"/>
        </w:rPr>
        <w:t xml:space="preserve">(4). 839–852.</w:t>
      </w:r>
    </w:p>
    <w:p w14:paraId="26266E42" w14:textId="6670183E" w:rsidR="004D5716" w:rsidRPr="0032528B" w:rsidRDefault="004D5716"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Wee, Lian-Hee. 2019. Phonological tone. In Diane Brentari (ed), </w:t>
      </w:r>
      <w:r>
        <w:rPr>
          <w:rFonts w:ascii="Times New Roman" w:eastAsia="STKaiti" w:hAnsi="Times New Roman" w:cs="Times New Roman"/>
          <w:i/>
          <w:iCs/>
          <w:color w:val="000000" w:themeColor="text1"/>
        </w:rPr>
        <w:t>Key Topics in Phonology</w:t>
      </w:r>
      <w:r>
        <w:rPr>
          <w:rFonts w:ascii="Times New Roman" w:eastAsia="STKaiti" w:hAnsi="Times New Roman" w:cs="Times New Roman"/>
          <w:color w:val="000000" w:themeColor="text1"/>
        </w:rPr>
        <w:t>, 119–144. Cambridge: Cambridge University Press.</w:t>
      </w:r>
    </w:p>
    <w:p w14:paraId="085B9414" w14:textId="5151E290"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 xml:space="preserve">Xu, Yi. 1994. Production and perception of coarticulated tones. </w:t>
      </w:r>
      <w:r>
        <w:rPr>
          <w:rFonts w:ascii="Times New Roman" w:eastAsia="STKaiti" w:hAnsi="Times New Roman" w:cs="Times New Roman"/>
          <w:i/>
          <w:color w:val="000000" w:themeColor="text1"/>
        </w:rPr>
        <w:t>Journal of the Acoustical Society of America</w:t>
      </w:r>
      <w:r>
        <w:rPr>
          <w:rFonts w:ascii="Times New Roman" w:eastAsia="STKaiti" w:hAnsi="Times New Roman" w:cs="Times New Roman"/>
          <w:iCs/>
          <w:color w:val="000000" w:themeColor="text1"/>
        </w:rPr>
        <w:t xml:space="preserve"> 95(4</w:t>
      </w:r>
      <w:r>
        <w:rPr>
          <w:rFonts w:ascii="Times New Roman" w:eastAsia="STKaiti" w:hAnsi="Times New Roman" w:cs="Times New Roman"/>
          <w:color w:val="000000" w:themeColor="text1"/>
        </w:rPr>
        <w:t xml:space="preserve">). 2240–2253. doi: 10.1121/1.408684</w:t>
      </w:r>
    </w:p>
    <w:p w14:paraId="3C4C7970" w14:textId="6ABBD27B"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Xu, Yi. 1997. Contextual tonal variations in Mandarin. </w:t>
      </w:r>
      <w:r>
        <w:rPr>
          <w:rFonts w:ascii="Times New Roman" w:eastAsia="STKaiti" w:hAnsi="Times New Roman" w:cs="Times New Roman"/>
          <w:i/>
          <w:color w:val="000000" w:themeColor="text1"/>
        </w:rPr>
        <w:t>Journal of Phonetics</w:t>
      </w:r>
      <w:r>
        <w:rPr>
          <w:rFonts w:ascii="Times New Roman" w:eastAsia="STKaiti" w:hAnsi="Times New Roman" w:cs="Times New Roman"/>
          <w:iCs/>
          <w:color w:val="000000" w:themeColor="text1"/>
        </w:rPr>
        <w:t xml:space="preserve"> 25(1</w:t>
      </w:r>
      <w:r>
        <w:rPr>
          <w:rFonts w:ascii="Times New Roman" w:eastAsia="STKaiti" w:hAnsi="Times New Roman" w:cs="Times New Roman"/>
          <w:color w:val="000000" w:themeColor="text1"/>
        </w:rPr>
        <w:t xml:space="preserve">). 61–83. doi: 10.1006/jpho.1996.0034 </w:t>
      </w:r>
    </w:p>
    <w:p w14:paraId="5CDBA40A" w14:textId="289A7A56"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Xu, Yi. 2001. Fundamental frequency peak delay in Mandarin. </w:t>
      </w:r>
      <w:r>
        <w:rPr>
          <w:rFonts w:ascii="Times New Roman" w:eastAsia="STKaiti" w:hAnsi="Times New Roman" w:cs="Times New Roman"/>
          <w:i/>
          <w:iCs/>
          <w:color w:val="000000" w:themeColor="text1"/>
        </w:rPr>
        <w:t>Phonetica</w:t>
      </w:r>
      <w:r>
        <w:rPr>
          <w:rFonts w:ascii="Times New Roman" w:eastAsia="STKaiti" w:hAnsi="Times New Roman" w:cs="Times New Roman"/>
          <w:color w:val="000000" w:themeColor="text1"/>
        </w:rPr>
        <w:t xml:space="preserve"> 58(1–2). 26–52. doi: 10.1159/000028487</w:t>
      </w:r>
    </w:p>
    <w:p w14:paraId="7130F21D" w14:textId="6CE8AAF0" w:rsidR="00727D3C" w:rsidRPr="0032528B" w:rsidRDefault="00727D3C"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Xu, Yi. 2004. Understanding tone from the perspective of production and perception. </w:t>
      </w:r>
      <w:r>
        <w:rPr>
          <w:rFonts w:ascii="Times New Roman" w:eastAsia="STKaiti" w:hAnsi="Times New Roman" w:cs="Times New Roman"/>
          <w:i/>
          <w:iCs/>
          <w:color w:val="000000" w:themeColor="text1"/>
        </w:rPr>
        <w:t>Language and Linguistics</w:t>
      </w:r>
      <w:r>
        <w:rPr>
          <w:rFonts w:ascii="Times New Roman" w:eastAsia="STKaiti" w:hAnsi="Times New Roman" w:cs="Times New Roman"/>
          <w:color w:val="000000" w:themeColor="text1"/>
        </w:rPr>
        <w:t xml:space="preserve"> 5(4). 757–797.</w:t>
      </w:r>
    </w:p>
    <w:p w14:paraId="7434498D" w14:textId="5E5AC2DB" w:rsidR="004C4CB7" w:rsidRPr="0032528B" w:rsidRDefault="004C4CB7" w:rsidP="005732E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Yu, Alan C. 2010. Perceptual compensation is correlated with individuals’ “autistic” traits: Implications for models of sound change. </w:t>
      </w:r>
      <w:r>
        <w:rPr>
          <w:rFonts w:ascii="Times New Roman" w:eastAsia="STKaiti" w:hAnsi="Times New Roman" w:cs="Times New Roman"/>
          <w:i/>
          <w:iCs/>
          <w:color w:val="000000" w:themeColor="text1"/>
        </w:rPr>
        <w:t xml:space="preserve">PLoS ONE</w:t>
      </w:r>
      <w:r>
        <w:rPr>
          <w:rFonts w:ascii="Times New Roman" w:eastAsia="STKaiti" w:hAnsi="Times New Roman" w:cs="Times New Roman"/>
          <w:color w:val="000000" w:themeColor="text1"/>
        </w:rPr>
        <w:t xml:space="preserve"> 5(8). e11950. doi:</w:t>
      </w:r>
      <w:r>
        <w:rPr>
          <w:rFonts w:ascii="Times New Roman" w:eastAsia="STKaiti" w:hAnsi="Times New Roman" w:cs="Times New Roman"/>
          <w:color w:val="000000" w:themeColor="text1"/>
        </w:rPr>
        <w:t/>
      </w:r>
      <w:r>
        <w:rPr>
          <w:rFonts w:ascii="Times New Roman" w:eastAsia="STKaiti" w:hAnsi="Times New Roman" w:cs="Times New Roman"/>
          <w:i/>
          <w:iCs/>
          <w:color w:val="000000" w:themeColor="text1"/>
        </w:rPr>
        <w:t/>
      </w:r>
      <w:r>
        <w:rPr>
          <w:rFonts w:ascii="Times New Roman" w:eastAsia="STKaiti" w:hAnsi="Times New Roman" w:cs="Times New Roman"/>
          <w:color w:val="000000" w:themeColor="text1"/>
        </w:rPr>
        <w:t xml:space="preserve"> 10.1371/journal.pone.0011950</w:t>
      </w:r>
    </w:p>
    <w:p w14:paraId="1DBD401C" w14:textId="097BF4A3" w:rsidR="004D5716" w:rsidRPr="0032528B" w:rsidRDefault="004D5716" w:rsidP="00C62942">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Zhang, Hang, Huichao Ding &amp; Wai-Sum Lee. 2022. The influence of preceding speech and non-speech contexts on Mandarin tone identification. </w:t>
      </w:r>
      <w:r>
        <w:rPr>
          <w:rFonts w:ascii="Times New Roman" w:eastAsia="STKaiti" w:hAnsi="Times New Roman" w:cs="Times New Roman"/>
          <w:i/>
          <w:iCs/>
          <w:color w:val="000000" w:themeColor="text1"/>
        </w:rPr>
        <w:t>Journal of Phonetics</w:t>
      </w:r>
      <w:r>
        <w:rPr>
          <w:rFonts w:ascii="Times New Roman" w:eastAsia="STKaiti" w:hAnsi="Times New Roman" w:cs="Times New Roman"/>
          <w:color w:val="000000" w:themeColor="text1"/>
        </w:rPr>
        <w:t xml:space="preserve"> 93(1). 101154.</w:t>
      </w:r>
    </w:p>
    <w:p w14:paraId="6D71E721" w14:textId="3C6C3DE0" w:rsidR="00B24204" w:rsidRPr="0032528B" w:rsidRDefault="004D5716" w:rsidP="00B24204">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lang w:val="fr-TW"/>
        </w:rPr>
        <w:t>Zhang, Jie &amp; Jialing Liu. 2011. Tone sandhi and tonal coarticulation in Tianjin Chinese. </w:t>
      </w:r>
      <w:r>
        <w:rPr>
          <w:rFonts w:ascii="Times New Roman" w:eastAsia="STKaiti" w:hAnsi="Times New Roman" w:cs="Times New Roman"/>
          <w:i/>
          <w:iCs/>
          <w:color w:val="000000" w:themeColor="text1"/>
          <w:lang w:val="fr-TW"/>
        </w:rPr>
        <w:t>Phonetica</w:t>
      </w:r>
      <w:r>
        <w:rPr>
          <w:rFonts w:ascii="Times New Roman" w:eastAsia="STKaiti" w:hAnsi="Times New Roman" w:cs="Times New Roman"/>
          <w:color w:val="000000" w:themeColor="text1"/>
          <w:lang w:val="fr-TW"/>
        </w:rPr>
        <w:t xml:space="preserve"> 68(3). 161–191.</w:t>
      </w:r>
    </w:p>
    <w:p w14:paraId="7E297B59" w14:textId="77777777" w:rsidR="009A7FCC" w:rsidRPr="0032528B" w:rsidRDefault="009A7FCC" w:rsidP="004D5716">
      <w:pPr>
        <w:pStyle w:val="JASAReferencesAlphabetical"/>
        <w:rPr>
          <w:rFonts w:ascii="Times New Roman" w:eastAsia="STKaiti" w:hAnsi="Times New Roman" w:cs="Times New Roman"/>
          <w:color w:val="000000" w:themeColor="text1"/>
          <w:lang w:val="fr-TW"/>
        </w:rPr>
      </w:pPr>
    </w:p>
    <w:p w14:paraId="70128EC9" w14:textId="26EE37E4" w:rsidR="009A7FCC" w:rsidRPr="0032528B" w:rsidRDefault="009A7FCC" w:rsidP="009A7FCC">
      <w:pPr>
        <w:pStyle w:val="JASAReferencesAlphabetical"/>
        <w:ind w:left="0" w:firstLine="0"/>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lang w:val="fr-TW"/>
        </w:rPr>
        <w:t>List of figure captions:</w:t>
      </w:r>
    </w:p>
    <w:p w14:paraId="4BCA8778" w14:textId="0FDFAD00"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Figure 1. An illustration of narrower (left) and wider (right) tone acceptance ranges of a falling tone. The red areas indicate the acceptance ranges. The darkness indicates the probability of acceptance.</w:t>
      </w:r>
    </w:p>
    <w:p w14:paraId="5B5741AA" w14:textId="77777777" w:rsidR="003128B9" w:rsidRPr="0032528B" w:rsidRDefault="003128B9" w:rsidP="003128B9">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Figure 2. The GAMM results of the tonal coarticulation effects on the high tone in TM (monolingual) in the carryover position. The gray dashed lines roughly indicate the mid-point where the first/last three portions of the F0 contours were collected.</w:t>
      </w:r>
    </w:p>
    <w:p w14:paraId="3A93A20D" w14:textId="77777777" w:rsidR="003128B9" w:rsidRPr="0032528B" w:rsidRDefault="003128B9" w:rsidP="009A7FCC">
      <w:pPr>
        <w:pStyle w:val="JASAReferencesAlphabetical"/>
        <w:ind w:left="0" w:firstLine="0"/>
        <w:rPr>
          <w:rFonts w:ascii="Times New Roman" w:eastAsia="STKaiti" w:hAnsi="Times New Roman" w:cs="Times New Roman"/>
          <w:color w:val="000000" w:themeColor="text1"/>
        </w:rPr>
      </w:pPr>
    </w:p>
    <w:p w14:paraId="101F1526" w14:textId="04C85190"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3. Illustrations of synthesized pitch contours (top: TM; bottom: TSM). The preceding contexts are presented on the left (blue: high-level [55]; green: falling [51]; orange: rising [35]; red: mid-level [33]; purple: low [21]). The targets of 10 levels are presented on the right; ranging from a low tone (green) to a falling tone (blue).</w:t>
      </w:r>
    </w:p>
    <w:p w14:paraId="605BA8DF" w14:textId="13EDA342"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4. Logistic regression fits of falling tone response across different preceding tones (a: TM (monolingual); b: TM (bilingual); c: TSM). Dashed lines indicate confidence intervals.</w:t>
      </w:r>
    </w:p>
    <w:p w14:paraId="15208843" w14:textId="4387383E"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5. Representative examples of fitting simple logistic regre</w:t>
      </w:r>
      <w:r>
        <w:rPr>
          <w:rFonts w:ascii="Times New Roman" w:eastAsia="STKaiti" w:hAnsi="Times New Roman" w:cs="Times New Roman" w:hint="eastAsia"/>
          <w:color w:val="000000" w:themeColor="text1"/>
        </w:rPr>
        <w:t>s</w:t>
      </w:r>
      <w:r>
        <w:rPr>
          <w:rFonts w:ascii="Times New Roman" w:eastAsia="STKaiti" w:hAnsi="Times New Roman" w:cs="Times New Roman"/>
          <w:color w:val="000000" w:themeColor="text1"/>
        </w:rPr>
        <w:t>sions on the acceptance rate</w:t>
      </w:r>
      <w:r>
        <w:rPr>
          <w:rFonts w:ascii="Times New Roman" w:eastAsia="STKaiti" w:hAnsi="Times New Roman" w:cs="Times New Roman" w:hint="eastAsia"/>
          <w:color w:val="000000" w:themeColor="text1"/>
        </w:rPr>
        <w:t>s</w:t>
      </w:r>
      <w:r>
        <w:rPr>
          <w:rFonts w:ascii="Times New Roman" w:eastAsia="STKaiti" w:hAnsi="Times New Roman" w:cs="Times New Roman"/>
          <w:color w:val="000000" w:themeColor="text1"/>
        </w:rPr>
        <w:t xml:space="preserve"> of </w:t>
      </w:r>
      <w:r>
        <w:rPr>
          <w:rFonts w:ascii="Times New Roman" w:eastAsia="STKaiti" w:hAnsi="Times New Roman" w:cs="Times New Roman" w:hint="eastAsia"/>
          <w:color w:val="000000" w:themeColor="text1"/>
        </w:rPr>
        <w:t xml:space="preserve">the target tone as </w:t>
      </w:r>
      <w:r>
        <w:rPr>
          <w:rFonts w:ascii="Times New Roman" w:eastAsia="STKaiti" w:hAnsi="Times New Roman" w:cs="Times New Roman"/>
          <w:color w:val="000000" w:themeColor="text1"/>
        </w:rPr>
        <w:t>a falling tone from two participants (P3</w:t>
      </w:r>
      <w:r>
        <w:rPr>
          <w:rFonts w:ascii="Times New Roman" w:eastAsia="STKaiti" w:hAnsi="Times New Roman" w:cs="Times New Roman" w:hint="eastAsia"/>
          <w:color w:val="000000" w:themeColor="text1"/>
        </w:rPr>
        <w:t>;</w:t>
      </w:r>
      <w:r>
        <w:rPr>
          <w:rFonts w:ascii="Times New Roman" w:eastAsia="STKaiti" w:hAnsi="Times New Roman" w:cs="Times New Roman"/>
          <w:color w:val="000000" w:themeColor="text1"/>
        </w:rPr>
        <w:t xml:space="preserve"> a) and (P15</w:t>
      </w:r>
      <w:r>
        <w:rPr>
          <w:rFonts w:ascii="Times New Roman" w:eastAsia="STKaiti" w:hAnsi="Times New Roman" w:cs="Times New Roman" w:hint="eastAsia"/>
          <w:color w:val="000000" w:themeColor="text1"/>
        </w:rPr>
        <w:t>;</w:t>
      </w:r>
      <w:r>
        <w:rPr>
          <w:rFonts w:ascii="Times New Roman" w:eastAsia="STKaiti" w:hAnsi="Times New Roman" w:cs="Times New Roman"/>
          <w:color w:val="000000" w:themeColor="text1"/>
        </w:rPr>
        <w:t xml:space="preserve"> b) during the Taiwan Mandarin </w:t>
      </w:r>
      <w:r>
        <w:rPr>
          <w:rFonts w:ascii="Times New Roman" w:eastAsia="STKaiti" w:hAnsi="Times New Roman" w:cs="Times New Roman"/>
          <w:color w:val="000000" w:themeColor="text1"/>
          <w:highlight w:val="yellow"/>
        </w:rPr>
        <w:t>block</w:t>
      </w:r>
      <w:r>
        <w:rPr>
          <w:rFonts w:ascii="Times New Roman" w:eastAsia="STKaiti" w:hAnsi="Times New Roman" w:cs="Times New Roman"/>
          <w:color w:val="000000" w:themeColor="text1"/>
        </w:rPr>
        <w:t>.</w:t>
      </w:r>
    </w:p>
    <w:p w14:paraId="49407886" w14:textId="0249D710"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6. Steepness of acceptance rate for the falling tone and the low tone among the three language groups (all participants: a; advanced speakers only: b).</w:t>
      </w:r>
    </w:p>
    <w:p w14:paraId="50D9B864" w14:textId="65CC4419"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7. Thresholds of acceptance for the falling tone and the low tone among the three language groups (all participants: a; advanced speakers only: b).</w:t>
      </w:r>
    </w:p>
    <w:p w14:paraId="51E64248" w14:textId="685D5144"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8. Three types of languages about the production and perception under tonal coarticulation.</w:t>
      </w:r>
    </w:p>
    <w:p w14:paraId="4DA2D966" w14:textId="5F039AE8"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9. Taiwan Mandarin tone contours (produced by monolingual speakers) under carryover effects. The dashed line indicates the syllable boundary.</w:t>
      </w:r>
    </w:p>
    <w:p w14:paraId="5F613862" w14:textId="285AA421"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Figure 10. Taiwan Mandarin tone contours (produced by monolingual speakers) under anticipatory effects. The dashed line indicates the syllable boundary.</w:t>
      </w:r>
    </w:p>
    <w:p w14:paraId="12D941C3" w14:textId="38574468"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Figure 11. Taiwan Southern Min tone contours under carryover effects. The dashed line indicates the syllable boundary.</w:t>
      </w:r>
    </w:p>
    <w:p w14:paraId="1BF07333" w14:textId="06E80906"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lastRenderedPageBreak/>
        <w:t>Figure 12. Taiwan Southern Min tone contours under anticipatory effects. The dashed line indicates the syllable boundary.</w:t>
      </w:r>
    </w:p>
    <w:p w14:paraId="176AFDA4" w14:textId="0EAEEA59"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Figure 13. Linear mixed-effects model visualization.</w:t>
      </w:r>
    </w:p>
    <w:p w14:paraId="176C591E" w14:textId="0E84220B"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List of table captions:</w:t>
      </w:r>
    </w:p>
    <w:p w14:paraId="508DD4B4" w14:textId="26349BDF"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1: Distributions of tonal coarticulation in Beijing Mandarin (BM), Taiwan Mandarin (TM), and Taiwan Southern Min (TSM).</w:t>
      </w:r>
    </w:p>
    <w:p w14:paraId="07526F1D" w14:textId="7AA5FC11"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Table 2: Regression table of the maximal model examining the tonal coarticulation effects (only terms of interest, i.e., context tone onset/offset, language, and position, and their interactions are listed).</w:t>
      </w:r>
    </w:p>
    <w:p w14:paraId="461E5F14" w14:textId="1F1DA02E" w:rsidR="009A7FCC" w:rsidRPr="0032528B" w:rsidRDefault="009A7FCC" w:rsidP="00FB6593">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Table 3: </w:t>
      </w:r>
      <w:r>
        <w:rPr>
          <w:rFonts w:ascii="Times New Roman" w:eastAsia="STKaiti" w:hAnsi="Times New Roman" w:cs="Times New Roman"/>
          <w:color w:val="000000" w:themeColor="text1"/>
          <w:lang w:val="fr-TW"/>
        </w:rPr>
        <w:t>Summary of the tonal coarticulation results in Experiment 1.</w:t>
      </w:r>
    </w:p>
    <w:p w14:paraId="401D6989" w14:textId="77777777" w:rsidR="009A7FCC" w:rsidRPr="0032528B" w:rsidRDefault="009A7FCC" w:rsidP="009A7FCC">
      <w:pPr>
        <w:pStyle w:val="JASAReferencesAlphabetical"/>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4: Regression table of the logistic mixed-effects model.</w:t>
      </w:r>
    </w:p>
    <w:p w14:paraId="0A30318D" w14:textId="077640C6" w:rsidR="00FB6593" w:rsidRPr="0032528B" w:rsidRDefault="009A7FCC" w:rsidP="00FB6593">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Table 5: </w:t>
      </w:r>
      <w:r>
        <w:rPr>
          <w:rFonts w:ascii="Times New Roman" w:eastAsia="STKaiti" w:hAnsi="Times New Roman" w:cs="Times New Roman"/>
          <w:color w:val="000000" w:themeColor="text1"/>
          <w:lang w:val="fr-TW"/>
        </w:rPr>
        <w:t>Regression table for the maximal model examining the steepness of acceptance.</w:t>
      </w:r>
    </w:p>
    <w:p w14:paraId="2493C927" w14:textId="11C3EDBA" w:rsidR="009A7FCC" w:rsidRPr="0032528B" w:rsidRDefault="009A7FCC" w:rsidP="003D64B7">
      <w:pPr>
        <w:pStyle w:val="JASAReferencesAlphabetical"/>
        <w:ind w:left="0" w:firstLine="0"/>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Table 6: </w:t>
      </w:r>
      <w:r>
        <w:rPr>
          <w:rFonts w:ascii="Times New Roman" w:eastAsia="STKaiti" w:hAnsi="Times New Roman" w:cs="Times New Roman"/>
          <w:color w:val="000000" w:themeColor="text1"/>
          <w:lang w:val="fr-TW"/>
        </w:rPr>
        <w:t>Regression table for the maximal model examining the steepness of acceptance (advanced speakers only).</w:t>
      </w:r>
    </w:p>
    <w:p w14:paraId="0AB5179E" w14:textId="2483B484" w:rsidR="009A7FCC" w:rsidRPr="0032528B" w:rsidRDefault="009A7FCC" w:rsidP="003D64B7">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Table 7: </w:t>
      </w:r>
      <w:r>
        <w:rPr>
          <w:rFonts w:ascii="Times New Roman" w:eastAsia="STKaiti" w:hAnsi="Times New Roman" w:cs="Times New Roman"/>
          <w:color w:val="000000" w:themeColor="text1"/>
          <w:lang w:val="fr-TW"/>
        </w:rPr>
        <w:t>Regression table for the maximal model examining the thresholds of acceptance.</w:t>
      </w:r>
    </w:p>
    <w:p w14:paraId="270B0FB1" w14:textId="3447BA96" w:rsidR="00FB6593" w:rsidRPr="0032528B" w:rsidRDefault="009A7FCC" w:rsidP="00FB6593">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rPr>
        <w:t xml:space="preserve">Table 8: </w:t>
      </w:r>
      <w:r>
        <w:rPr>
          <w:rFonts w:ascii="Times New Roman" w:eastAsia="STKaiti" w:hAnsi="Times New Roman" w:cs="Times New Roman"/>
          <w:color w:val="000000" w:themeColor="text1"/>
          <w:lang w:val="fr-TW"/>
        </w:rPr>
        <w:t>Regression table for the maximal model examining the thresholds of acceptance</w:t>
      </w:r>
    </w:p>
    <w:p w14:paraId="0DAA49D4" w14:textId="6BB0EB6A" w:rsidR="009A7FCC" w:rsidRPr="0032528B" w:rsidRDefault="00FB6593" w:rsidP="003D64B7">
      <w:pPr>
        <w:pStyle w:val="JASAReferencesAlphabetical"/>
        <w:rPr>
          <w:rFonts w:ascii="Times New Roman" w:eastAsia="STKaiti" w:hAnsi="Times New Roman" w:cs="Times New Roman"/>
          <w:color w:val="000000" w:themeColor="text1"/>
          <w:lang w:val="fr-TW"/>
        </w:rPr>
      </w:pPr>
      <w:r>
        <w:rPr>
          <w:rFonts w:ascii="Times New Roman" w:eastAsia="STKaiti" w:hAnsi="Times New Roman" w:cs="Times New Roman"/>
          <w:color w:val="000000" w:themeColor="text1"/>
          <w:lang w:val="fr-TW"/>
        </w:rPr>
        <w:t>(advanced speakers only).</w:t>
      </w:r>
    </w:p>
    <w:p w14:paraId="47A6BFA8" w14:textId="064C511C"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9: Summary of the results in Experiment 3.</w:t>
      </w:r>
    </w:p>
    <w:p w14:paraId="150C995A" w14:textId="4FB36114" w:rsidR="009A7FCC" w:rsidRPr="0032528B" w:rsidRDefault="009A7FCC"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 xml:space="preserve">Table 10: Taiwan Mandarin version.</w:t>
      </w:r>
    </w:p>
    <w:p w14:paraId="694DFE80" w14:textId="4DD5D8CE" w:rsidR="0068380B" w:rsidRPr="0032528B" w:rsidRDefault="0068380B"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11 : Taiwan Southern Min version.</w:t>
      </w:r>
    </w:p>
    <w:p w14:paraId="5A49DD2A" w14:textId="542F732C" w:rsidR="0068380B" w:rsidRPr="0032528B" w:rsidRDefault="0068380B" w:rsidP="009A7FCC">
      <w:pPr>
        <w:pStyle w:val="JASAReferencesAlphabetical"/>
        <w:ind w:left="0" w:firstLine="0"/>
        <w:rPr>
          <w:rFonts w:ascii="Times New Roman" w:eastAsia="STKaiti" w:hAnsi="Times New Roman" w:cs="Times New Roman"/>
          <w:color w:val="000000" w:themeColor="text1"/>
        </w:rPr>
      </w:pPr>
      <w:r>
        <w:rPr>
          <w:rFonts w:ascii="Times New Roman" w:eastAsia="STKaiti" w:hAnsi="Times New Roman" w:cs="Times New Roman"/>
          <w:color w:val="000000" w:themeColor="text1"/>
        </w:rPr>
        <w:t>Table 12: Post-hoc pairwise comparisons of the effects of context tone values on target tone values between different target tones.</w:t>
      </w:r>
    </w:p>
    <w:p w14:paraId="50D8CFF8" w14:textId="0DDD3097" w:rsidR="0068380B" w:rsidRPr="0032528B" w:rsidRDefault="0068380B" w:rsidP="009A7FCC">
      <w:pPr>
        <w:pStyle w:val="JASAReferencesAlphabetical"/>
        <w:ind w:left="0" w:firstLine="0"/>
        <w:rPr>
          <w:rFonts w:ascii="Times New Roman" w:eastAsia="STKaiti" w:hAnsi="Times New Roman" w:cs="Times New Roman"/>
          <w:bCs/>
          <w:color w:val="000000" w:themeColor="text1"/>
          <w:lang w:val="fr-FR"/>
        </w:rPr>
      </w:pPr>
      <w:r>
        <w:rPr>
          <w:rFonts w:ascii="Times New Roman" w:eastAsia="STKaiti" w:hAnsi="Times New Roman" w:cs="Times New Roman"/>
          <w:color w:val="000000" w:themeColor="text1"/>
        </w:rPr>
        <w:t xml:space="preserve">Table 13: </w:t>
      </w:r>
      <w:r>
        <w:rPr>
          <w:rFonts w:ascii="Times New Roman" w:eastAsia="STKaiti" w:hAnsi="Times New Roman" w:cs="Times New Roman"/>
          <w:bCs/>
          <w:color w:val="000000" w:themeColor="text1"/>
          <w:lang w:val="fr-FR"/>
        </w:rPr>
        <w:t>Taiwan Mandarin version.</w:t>
      </w:r>
    </w:p>
    <w:p w14:paraId="3EE4B5C5" w14:textId="3422D672" w:rsidR="0068380B" w:rsidRPr="0032528B" w:rsidRDefault="0068380B" w:rsidP="009A7FCC">
      <w:pPr>
        <w:pStyle w:val="JASAReferencesAlphabetical"/>
        <w:ind w:left="0" w:firstLine="0"/>
        <w:rPr>
          <w:rFonts w:ascii="Times New Roman" w:eastAsia="STKaiti" w:hAnsi="Times New Roman" w:cs="Times New Roman"/>
          <w:bCs/>
          <w:color w:val="000000" w:themeColor="text1"/>
        </w:rPr>
      </w:pPr>
      <w:r>
        <w:rPr>
          <w:rFonts w:ascii="Times New Roman" w:eastAsia="STKaiti" w:hAnsi="Times New Roman" w:cs="Times New Roman"/>
          <w:bCs/>
          <w:color w:val="000000" w:themeColor="text1"/>
        </w:rPr>
        <w:lastRenderedPageBreak/>
        <w:t>Table 14: Taiwan Southern Min version.</w:t>
      </w:r>
    </w:p>
    <w:p w14:paraId="0ECA6177" w14:textId="395CFC9C" w:rsidR="0068380B" w:rsidRPr="0032528B" w:rsidRDefault="0068380B" w:rsidP="009A7FCC">
      <w:pPr>
        <w:pStyle w:val="JASAReferencesAlphabetical"/>
        <w:ind w:left="0" w:firstLine="0"/>
        <w:rPr>
          <w:rFonts w:ascii="Times New Roman" w:eastAsia="STKaiti" w:hAnsi="Times New Roman" w:cs="Times New Roman"/>
          <w:bCs/>
          <w:color w:val="000000" w:themeColor="text1"/>
          <w:lang w:val="fr-FR"/>
        </w:rPr>
      </w:pPr>
      <w:r>
        <w:rPr>
          <w:rFonts w:ascii="Times New Roman" w:eastAsia="STKaiti" w:hAnsi="Times New Roman" w:cs="Times New Roman"/>
          <w:bCs/>
          <w:color w:val="000000" w:themeColor="text1"/>
          <w:lang w:val="fr-FR"/>
        </w:rPr>
        <w:t>Table 15: Taiwan Mandarin version.</w:t>
      </w:r>
    </w:p>
    <w:p w14:paraId="4C723DE8" w14:textId="6A7E257E" w:rsidR="009A7FCC" w:rsidRPr="005F69E1" w:rsidRDefault="0068380B" w:rsidP="009A7FCC">
      <w:pPr>
        <w:pStyle w:val="JASAReferencesAlphabetical"/>
        <w:ind w:left="0" w:firstLine="0"/>
        <w:rPr>
          <w:rFonts w:ascii="Times New Roman" w:eastAsia="STKaiti" w:hAnsi="Times New Roman" w:cs="Times New Roman"/>
          <w:bCs/>
          <w:color w:val="000000" w:themeColor="text1"/>
          <w:lang w:eastAsia="zh-TW"/>
        </w:rPr>
      </w:pPr>
      <w:r>
        <w:rPr>
          <w:rFonts w:ascii="Times New Roman" w:eastAsia="STKaiti" w:hAnsi="Times New Roman" w:cs="Times New Roman"/>
          <w:bCs/>
          <w:color w:val="000000" w:themeColor="text1"/>
        </w:rPr>
        <w:t>Table 16: Taiwan Southern Min version.</w:t>
      </w:r>
    </w:p>
    <w:sectPr w:rsidR="009A7FCC" w:rsidRPr="005F69E1" w:rsidSect="00F74F9F">
      <w:footnotePr>
        <w:numRestart w:val="eachSect"/>
      </w:footnotePr>
      <w:pgSz w:w="12240" w:h="15840"/>
      <w:pgMar w:top="1440" w:right="1440" w:bottom="1440" w:left="1440" w:header="720" w:footer="720" w:gutter="0"/>
      <w:lnNumType w:countBy="1" w:restart="continuous"/>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D1F986" w14:textId="77777777" w:rsidR="00AB2839" w:rsidRDefault="00AB2839" w:rsidP="003730CF">
      <w:r>
        <w:separator/>
      </w:r>
    </w:p>
  </w:endnote>
  <w:endnote w:type="continuationSeparator" w:id="0">
    <w:p w14:paraId="77A75ED1" w14:textId="77777777" w:rsidR="00AB2839" w:rsidRDefault="00AB2839" w:rsidP="00373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Headings CS)">
    <w:altName w:val="Times New Roman"/>
    <w:panose1 w:val="020B0604020202020204"/>
    <w:charset w:val="00"/>
    <w:family w:val="roman"/>
    <w:notTrueType/>
    <w:pitch w:val="default"/>
  </w:font>
  <w:font w:name="Times New Roman (Body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TKaiti">
    <w:panose1 w:val="02010600040101010101"/>
    <w:charset w:val="86"/>
    <w:family w:val="auto"/>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4176390"/>
      <w:docPartObj>
        <w:docPartGallery w:val="Page Numbers (Bottom of Page)"/>
        <w:docPartUnique/>
      </w:docPartObj>
    </w:sdtPr>
    <w:sdtContent>
      <w:p w14:paraId="2E25785B" w14:textId="42CAF60B" w:rsidR="00BD1368" w:rsidRDefault="00BD1368" w:rsidP="009B52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336D0E">
          <w:rPr>
            <w:rStyle w:val="Numrodepage"/>
            <w:noProof/>
          </w:rPr>
          <w:t>66</w:t>
        </w:r>
        <w:r>
          <w:rPr>
            <w:rStyle w:val="Numrodepage"/>
          </w:rPr>
          <w:fldChar w:fldCharType="end"/>
        </w:r>
      </w:p>
    </w:sdtContent>
  </w:sdt>
  <w:p w14:paraId="6E87077C" w14:textId="77777777" w:rsidR="00BD1368" w:rsidRDefault="00BD1368" w:rsidP="003730C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522521122"/>
      <w:docPartObj>
        <w:docPartGallery w:val="Page Numbers (Bottom of Page)"/>
        <w:docPartUnique/>
      </w:docPartObj>
    </w:sdtPr>
    <w:sdtContent>
      <w:p w14:paraId="52AFB91B" w14:textId="77777777" w:rsidR="00BD1368" w:rsidRDefault="00BD1368" w:rsidP="009B52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A5D1FAB" w14:textId="77777777" w:rsidR="00BD1368" w:rsidRDefault="00BD1368" w:rsidP="003730C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4A7B9" w14:textId="77777777" w:rsidR="00AB2839" w:rsidRDefault="00AB2839" w:rsidP="003730CF">
      <w:r>
        <w:separator/>
      </w:r>
    </w:p>
  </w:footnote>
  <w:footnote w:type="continuationSeparator" w:id="0">
    <w:p w14:paraId="39EA4956" w14:textId="77777777" w:rsidR="00AB2839" w:rsidRDefault="00AB2839" w:rsidP="003730CF">
      <w:r>
        <w:continuationSeparator/>
      </w:r>
    </w:p>
  </w:footnote>
  <w:footnote w:id="1">
    <w:p w14:paraId="44980B50" w14:textId="4F3F56E5" w:rsidR="009373E8" w:rsidRPr="00881004" w:rsidRDefault="009373E8"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We note that five-level tone values can be used to denote both tonemes/tonal categories and phonetic characterization, much like how the /f/ sound is by itself a phoneme, but can still be used to represent a surface realization as in [f]</w:t>
      </w:r>
      <w:r w:rsidRPr="00881004">
        <w:rPr>
          <w:rFonts w:ascii="Times New Roman" w:hAnsi="Times New Roman" w:cs="Times New Roman"/>
          <w:i/>
          <w:color w:val="000000" w:themeColor="text1"/>
          <w:sz w:val="18"/>
          <w:szCs w:val="18"/>
        </w:rPr>
        <w:t>onetics</w:t>
      </w:r>
      <w:r w:rsidRPr="00881004">
        <w:rPr>
          <w:rFonts w:ascii="Times New Roman" w:hAnsi="Times New Roman" w:cs="Times New Roman"/>
          <w:color w:val="000000" w:themeColor="text1"/>
          <w:sz w:val="18"/>
          <w:szCs w:val="18"/>
        </w:rPr>
        <w:t>. In this study, however, to avoid confusion, five-level tone values are only used to denote the underlying tonemes.</w:t>
      </w:r>
    </w:p>
  </w:footnote>
  <w:footnote w:id="2">
    <w:p w14:paraId="2D6CB529" w14:textId="460BD8A1" w:rsidR="009373E8" w:rsidRPr="00881004" w:rsidRDefault="009373E8"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Note that tonal coarticulation is not to be confused with (phonological) tone sandhi. Tonal coarticulation is a largely pre-lexical phenomenon conditioned by the tonal context, while tone sandhi is post-lexical (Xu</w:t>
      </w:r>
      <w:r w:rsidR="00B55FF6" w:rsidRPr="00881004">
        <w:rPr>
          <w:rFonts w:ascii="Times New Roman" w:hAnsi="Times New Roman" w:cs="Times New Roman"/>
          <w:color w:val="000000" w:themeColor="text1"/>
          <w:sz w:val="18"/>
          <w:szCs w:val="18"/>
        </w:rPr>
        <w:t xml:space="preserve"> 20</w:t>
      </w:r>
      <w:r w:rsidRPr="00881004">
        <w:rPr>
          <w:rFonts w:ascii="Times New Roman" w:hAnsi="Times New Roman" w:cs="Times New Roman"/>
          <w:color w:val="000000" w:themeColor="text1"/>
          <w:sz w:val="18"/>
          <w:szCs w:val="18"/>
        </w:rPr>
        <w:t xml:space="preserve">04). We also note that in the literature, </w:t>
      </w:r>
      <w:r w:rsidRPr="00881004">
        <w:rPr>
          <w:rFonts w:ascii="Times New Roman" w:hAnsi="Times New Roman" w:cs="Times New Roman"/>
          <w:i/>
          <w:color w:val="000000" w:themeColor="text1"/>
          <w:sz w:val="18"/>
          <w:szCs w:val="18"/>
        </w:rPr>
        <w:t xml:space="preserve">tone sandhi </w:t>
      </w:r>
      <w:r w:rsidRPr="00881004">
        <w:rPr>
          <w:rFonts w:ascii="Times New Roman" w:hAnsi="Times New Roman" w:cs="Times New Roman"/>
          <w:color w:val="000000" w:themeColor="text1"/>
          <w:sz w:val="18"/>
          <w:szCs w:val="18"/>
        </w:rPr>
        <w:t>has a broader and narrower definition. The broader definition of tone sandhi is “a theory-neutral term that covers all kinds of tone alternation patterns (Wee</w:t>
      </w:r>
      <w:r w:rsidR="00B55FF6" w:rsidRPr="00881004">
        <w:rPr>
          <w:rFonts w:ascii="Times New Roman" w:hAnsi="Times New Roman" w:cs="Times New Roman"/>
          <w:color w:val="000000" w:themeColor="text1"/>
          <w:sz w:val="18"/>
          <w:szCs w:val="18"/>
        </w:rPr>
        <w:t xml:space="preserve"> 20</w:t>
      </w:r>
      <w:r w:rsidRPr="00881004">
        <w:rPr>
          <w:rFonts w:ascii="Times New Roman" w:hAnsi="Times New Roman" w:cs="Times New Roman"/>
          <w:color w:val="000000" w:themeColor="text1"/>
          <w:sz w:val="18"/>
          <w:szCs w:val="18"/>
        </w:rPr>
        <w:t>19</w:t>
      </w:r>
      <w:r w:rsidR="00F61A28" w:rsidRPr="00881004">
        <w:rPr>
          <w:rFonts w:ascii="Times New Roman" w:hAnsi="Times New Roman" w:cs="Times New Roman"/>
          <w:color w:val="000000" w:themeColor="text1"/>
          <w:sz w:val="18"/>
          <w:szCs w:val="18"/>
        </w:rPr>
        <w:t>: 110</w:t>
      </w:r>
      <w:r w:rsidRPr="00881004">
        <w:rPr>
          <w:rFonts w:ascii="Times New Roman" w:hAnsi="Times New Roman" w:cs="Times New Roman"/>
          <w:color w:val="000000" w:themeColor="text1"/>
          <w:sz w:val="18"/>
          <w:szCs w:val="18"/>
        </w:rPr>
        <w:t>).”</w:t>
      </w:r>
    </w:p>
  </w:footnote>
  <w:footnote w:id="3">
    <w:p w14:paraId="4C020FEE" w14:textId="730C35EE" w:rsidR="009373E8" w:rsidRPr="00881004" w:rsidRDefault="009373E8"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Most varieties of TSM have lost the sixth tone, T6. In this study, therefore, we do not consider T6. All TSM-speaking participants were also not speakers of a dialect where T6 was used.</w:t>
      </w:r>
    </w:p>
  </w:footnote>
  <w:footnote w:id="4">
    <w:p w14:paraId="13296242" w14:textId="15D15CF4" w:rsidR="00431AB8" w:rsidRPr="00881004" w:rsidRDefault="00431AB8">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It should be noted, however, that we do not posit that the two hypotheses are mutually exclusive.</w:t>
      </w:r>
    </w:p>
  </w:footnote>
  <w:footnote w:id="5">
    <w:p w14:paraId="3C9A6D3B" w14:textId="6A8A2ECE" w:rsidR="009373E8" w:rsidRPr="00881004" w:rsidRDefault="009373E8" w:rsidP="00971249">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Participant P20 did not participate in Experiment 1. This led to a total of 14 monolingual speakers in Experiment 1.</w:t>
      </w:r>
    </w:p>
  </w:footnote>
  <w:footnote w:id="6">
    <w:p w14:paraId="3312CA44" w14:textId="5A747393" w:rsidR="00DD5637" w:rsidRPr="00881004" w:rsidRDefault="00DD5637"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 xml:space="preserve">We note that by </w:t>
      </w:r>
      <w:r w:rsidRPr="00881004">
        <w:rPr>
          <w:rFonts w:ascii="Times New Roman" w:hAnsi="Times New Roman" w:cs="Times New Roman"/>
          <w:i/>
          <w:color w:val="000000" w:themeColor="text1"/>
          <w:sz w:val="18"/>
          <w:szCs w:val="18"/>
        </w:rPr>
        <w:t xml:space="preserve">monolingal/bilingual </w:t>
      </w:r>
      <w:r w:rsidRPr="00881004">
        <w:rPr>
          <w:rFonts w:ascii="Times New Roman" w:hAnsi="Times New Roman" w:cs="Times New Roman"/>
          <w:color w:val="000000" w:themeColor="text1"/>
          <w:sz w:val="18"/>
          <w:szCs w:val="18"/>
        </w:rPr>
        <w:t>we refer to the languages the participants spoke natively. It should be noted that while the participants did not have experience with any other tone languages, most had experience with other non-tonal languages, especially American Standard English.</w:t>
      </w:r>
    </w:p>
  </w:footnote>
  <w:footnote w:id="7">
    <w:p w14:paraId="0D7A9AF1" w14:textId="4762916A" w:rsidR="00DD5637" w:rsidRPr="00881004" w:rsidRDefault="00DD5637"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Southerners tend to continue to have more exposure to Taiwan Southern Min after starting to go to school, as Taiwan Southern Min is relatively more dominant in these regions. The fluency difference among the participants is therefore not to be taken as a difference between L1 vs. L2 speakers, but is more akin to the difference between native vs. heritage speakers. Interested readers may refer to the participant information file on OSF (</w:t>
      </w:r>
      <w:hyperlink r:id="rId1" w:history="1">
        <w:r w:rsidRPr="00881004">
          <w:rPr>
            <w:rStyle w:val="Lienhypertexte"/>
            <w:rFonts w:ascii="Times New Roman" w:hAnsi="Times New Roman" w:cs="Times New Roman"/>
            <w:color w:val="000000" w:themeColor="text1"/>
            <w:sz w:val="18"/>
            <w:szCs w:val="18"/>
            <w:u w:val="none"/>
          </w:rPr>
          <w:t>https://osf.io/cv2fb</w:t>
        </w:r>
      </w:hyperlink>
      <w:hyperlink r:id="rId2">
        <w:r w:rsidRPr="00881004">
          <w:rPr>
            <w:rStyle w:val="Lienhypertexte"/>
            <w:rFonts w:ascii="Times New Roman" w:hAnsi="Times New Roman" w:cs="Times New Roman"/>
            <w:color w:val="000000" w:themeColor="text1"/>
            <w:sz w:val="18"/>
            <w:szCs w:val="18"/>
            <w:u w:val="none"/>
          </w:rPr>
          <w:t>)</w:t>
        </w:r>
      </w:hyperlink>
      <w:r w:rsidRPr="00881004">
        <w:rPr>
          <w:rFonts w:ascii="Times New Roman" w:hAnsi="Times New Roman" w:cs="Times New Roman"/>
          <w:color w:val="000000" w:themeColor="text1"/>
          <w:sz w:val="18"/>
          <w:szCs w:val="18"/>
        </w:rPr>
        <w:t xml:space="preserve"> for the participants’ hometowns.</w:t>
      </w:r>
    </w:p>
  </w:footnote>
  <w:footnote w:id="8">
    <w:p w14:paraId="429538C5" w14:textId="56B4ABD6" w:rsidR="00DD5637" w:rsidRPr="00881004" w:rsidRDefault="00DD5637" w:rsidP="009C0DB5">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The relatively smaller number of advanced TSM participants was constrained by the overall largely reducing TSM proficiency among the younger Taiwanese generations.</w:t>
      </w:r>
    </w:p>
  </w:footnote>
  <w:footnote w:id="9">
    <w:p w14:paraId="46F6FF50" w14:textId="36CC220B" w:rsidR="007203F6" w:rsidRDefault="007203F6">
      <w:pPr>
        <w:pStyle w:val="Notedebasdepage"/>
      </w:pPr>
      <w:r w:rsidRPr="00EB73AF">
        <w:rPr>
          <w:rStyle w:val="Appelnotedebasdep"/>
          <w:highlight w:val="yellow"/>
        </w:rPr>
        <w:footnoteRef/>
      </w:r>
      <w:r w:rsidRPr="00EB73AF">
        <w:rPr>
          <w:highlight w:val="yellow"/>
        </w:rPr>
        <w:t xml:space="preserve"> The apostrophe (’) denotes that the tone has undergone tone sandhi.</w:t>
      </w:r>
    </w:p>
  </w:footnote>
  <w:footnote w:id="10">
    <w:p w14:paraId="3E78DF0A" w14:textId="513A00FC" w:rsidR="00DD5637" w:rsidRPr="00881004" w:rsidRDefault="00DD5637"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In the TM stimuli, the T3-T3 pair was not included since its surface representation is the same as the rising (35)-low (21) tone pair. In the TSM stimuli, the checked tones (T4 and T8) were excluded due to the intrinsically shorter durations and more complex tone sandhi rules.</w:t>
      </w:r>
    </w:p>
  </w:footnote>
  <w:footnote w:id="11">
    <w:p w14:paraId="1D3E9D91" w14:textId="6BB71189" w:rsidR="00DD5637" w:rsidRPr="00881004" w:rsidRDefault="00DD5637" w:rsidP="00971249">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Among the extracted onsets, 4181 (73.52%) were extracted from the first portions, 989 (17.39%) from the second, and 517 (9.09%) from the third. Among the extracted o</w:t>
      </w:r>
      <w:r w:rsidR="004741A1" w:rsidRPr="00881004">
        <w:rPr>
          <w:rFonts w:ascii="Times New Roman" w:hAnsi="Times New Roman" w:cs="Times New Roman"/>
          <w:color w:val="000000" w:themeColor="text1"/>
          <w:sz w:val="18"/>
          <w:szCs w:val="18"/>
        </w:rPr>
        <w:t>ff</w:t>
      </w:r>
      <w:r w:rsidRPr="00881004">
        <w:rPr>
          <w:rFonts w:ascii="Times New Roman" w:hAnsi="Times New Roman" w:cs="Times New Roman"/>
          <w:color w:val="000000" w:themeColor="text1"/>
          <w:sz w:val="18"/>
          <w:szCs w:val="18"/>
        </w:rPr>
        <w:t xml:space="preserve">sets, 4570 (80.36%) were extracted from the </w:t>
      </w:r>
      <w:r w:rsidR="004741A1" w:rsidRPr="00881004">
        <w:rPr>
          <w:rFonts w:ascii="Times New Roman" w:hAnsi="Times New Roman" w:cs="Times New Roman"/>
          <w:color w:val="000000" w:themeColor="text1"/>
          <w:sz w:val="18"/>
          <w:szCs w:val="18"/>
        </w:rPr>
        <w:t>last</w:t>
      </w:r>
      <w:r w:rsidRPr="00881004">
        <w:rPr>
          <w:rFonts w:ascii="Times New Roman" w:hAnsi="Times New Roman" w:cs="Times New Roman"/>
          <w:color w:val="000000" w:themeColor="text1"/>
          <w:sz w:val="18"/>
          <w:szCs w:val="18"/>
        </w:rPr>
        <w:t xml:space="preserve"> portions, 831 (14.61%) from the second</w:t>
      </w:r>
      <w:r w:rsidR="004741A1" w:rsidRPr="00881004">
        <w:rPr>
          <w:rFonts w:ascii="Times New Roman" w:hAnsi="Times New Roman" w:cs="Times New Roman"/>
          <w:color w:val="000000" w:themeColor="text1"/>
          <w:sz w:val="18"/>
          <w:szCs w:val="18"/>
        </w:rPr>
        <w:t xml:space="preserve"> to the last</w:t>
      </w:r>
      <w:r w:rsidRPr="00881004">
        <w:rPr>
          <w:rFonts w:ascii="Times New Roman" w:hAnsi="Times New Roman" w:cs="Times New Roman"/>
          <w:color w:val="000000" w:themeColor="text1"/>
          <w:sz w:val="18"/>
          <w:szCs w:val="18"/>
        </w:rPr>
        <w:t>, and 286 (5.03%) from the third</w:t>
      </w:r>
      <w:r w:rsidR="004741A1" w:rsidRPr="00881004">
        <w:rPr>
          <w:rFonts w:ascii="Times New Roman" w:hAnsi="Times New Roman" w:cs="Times New Roman"/>
          <w:color w:val="000000" w:themeColor="text1"/>
          <w:sz w:val="18"/>
          <w:szCs w:val="18"/>
        </w:rPr>
        <w:t xml:space="preserve"> to the last</w:t>
      </w:r>
      <w:r w:rsidRPr="00881004">
        <w:rPr>
          <w:rFonts w:ascii="Times New Roman" w:hAnsi="Times New Roman" w:cs="Times New Roman"/>
          <w:color w:val="000000" w:themeColor="text1"/>
          <w:sz w:val="18"/>
          <w:szCs w:val="18"/>
        </w:rPr>
        <w:t>.</w:t>
      </w:r>
    </w:p>
  </w:footnote>
  <w:footnote w:id="12">
    <w:p w14:paraId="4510696F" w14:textId="6A99CB51" w:rsidR="005D6DDD" w:rsidRPr="00EB73AF" w:rsidRDefault="005D6DDD">
      <w:pPr>
        <w:pStyle w:val="Notedebasdepage"/>
        <w:rPr>
          <w:rFonts w:ascii="Times New Roman" w:hAnsi="Times New Roman" w:cs="Times New Roman"/>
        </w:rPr>
      </w:pPr>
      <w:r w:rsidRPr="00EB73AF">
        <w:rPr>
          <w:rStyle w:val="Appelnotedebasdep"/>
          <w:rFonts w:ascii="Times New Roman" w:hAnsi="Times New Roman" w:cs="Times New Roman"/>
          <w:highlight w:val="yellow"/>
        </w:rPr>
        <w:footnoteRef/>
      </w:r>
      <w:r w:rsidRPr="00EB73AF">
        <w:rPr>
          <w:rFonts w:ascii="Times New Roman" w:hAnsi="Times New Roman" w:cs="Times New Roman"/>
          <w:highlight w:val="yellow"/>
        </w:rPr>
        <w:t xml:space="preserve"> The analysis with all speakers are provided in the OSF repository.</w:t>
      </w:r>
    </w:p>
  </w:footnote>
  <w:footnote w:id="13">
    <w:p w14:paraId="252D67F9" w14:textId="5C681724" w:rsidR="00DD5637" w:rsidRPr="00881004" w:rsidRDefault="00DD5637"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TM (monolingual): TM responses produced by TM (monolingual) speakers; TM (bilingual): TM responses produced by advanced bilingual speakers; TSM (advanced): TSM responses produced by advanced bilingual speakers.</w:t>
      </w:r>
    </w:p>
  </w:footnote>
  <w:footnote w:id="14">
    <w:p w14:paraId="0BF48A16" w14:textId="698B83CF" w:rsidR="00DD5637" w:rsidRPr="00881004" w:rsidRDefault="00DD5637"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To compare TM against TSM, tones from the two languages were converted into five-level surface tones, including tone realization after tone sandhi.</w:t>
      </w:r>
    </w:p>
  </w:footnote>
  <w:footnote w:id="15">
    <w:p w14:paraId="2F08AE16" w14:textId="77777777" w:rsidR="00653E85" w:rsidRPr="00881004" w:rsidRDefault="00653E85" w:rsidP="00653E85">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We note that target tone identity was also included as a control variable in this model. It is, however, not immediately relevant to the discussion in this section. Individual tone comparisons shall be discussed in the next section.</w:t>
      </w:r>
    </w:p>
  </w:footnote>
  <w:footnote w:id="16">
    <w:p w14:paraId="654CC7B9" w14:textId="0108B260" w:rsidR="00F149FC" w:rsidRPr="00881004" w:rsidRDefault="00F149FC">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00287D23" w:rsidRPr="00881004">
        <w:rPr>
          <w:rFonts w:ascii="Times New Roman" w:hAnsi="Times New Roman" w:cs="Times New Roman"/>
          <w:sz w:val="18"/>
          <w:szCs w:val="18"/>
        </w:rPr>
        <w:t xml:space="preserve">Formula: target tone onset/offset </w:t>
      </w:r>
      <w:r w:rsidR="00287D23" w:rsidRPr="00881004">
        <w:rPr>
          <w:rFonts w:ascii="Cambria Math" w:hAnsi="Cambria Math" w:cs="Cambria Math"/>
          <w:sz w:val="18"/>
          <w:szCs w:val="18"/>
        </w:rPr>
        <w:t>∼</w:t>
      </w:r>
      <w:r w:rsidR="00287D23" w:rsidRPr="00881004">
        <w:rPr>
          <w:rFonts w:ascii="Times New Roman" w:hAnsi="Times New Roman" w:cs="Times New Roman"/>
          <w:sz w:val="18"/>
          <w:szCs w:val="18"/>
        </w:rPr>
        <w:t xml:space="preserve"> context tone onset/offset * target tone identity * position </w:t>
      </w:r>
      <w:r w:rsidR="001C0F06" w:rsidRPr="00EB73AF">
        <w:rPr>
          <w:rFonts w:ascii="Times New Roman" w:hAnsi="Times New Roman" w:cs="Times New Roman"/>
          <w:sz w:val="18"/>
          <w:szCs w:val="18"/>
          <w:highlight w:val="yellow"/>
        </w:rPr>
        <w:t>* target tone onset/offset portion index * context tone onset/offset portion index</w:t>
      </w:r>
      <w:r w:rsidR="001C0F06" w:rsidRPr="001C0F06">
        <w:rPr>
          <w:rFonts w:ascii="Times New Roman" w:hAnsi="Times New Roman" w:cs="Times New Roman"/>
          <w:sz w:val="18"/>
          <w:szCs w:val="18"/>
        </w:rPr>
        <w:t xml:space="preserve"> </w:t>
      </w:r>
      <w:r w:rsidR="00287D23" w:rsidRPr="00881004">
        <w:rPr>
          <w:rFonts w:ascii="Times New Roman" w:hAnsi="Times New Roman" w:cs="Times New Roman"/>
          <w:sz w:val="18"/>
          <w:szCs w:val="18"/>
        </w:rPr>
        <w:t>+ (1 + context tone onset/offset | onset segment type) + (1 + context tone onset/offset |offset segment type) + (1 + context tone onset/offset | participant)</w:t>
      </w:r>
    </w:p>
    <w:p w14:paraId="396DB88A" w14:textId="621CFE36" w:rsidR="00E52945" w:rsidRPr="00881004" w:rsidRDefault="00E52945">
      <w:pPr>
        <w:pStyle w:val="Notedebasdepage"/>
        <w:rPr>
          <w:rFonts w:ascii="Times New Roman" w:hAnsi="Times New Roman" w:cs="Times New Roman"/>
          <w:sz w:val="18"/>
          <w:szCs w:val="18"/>
        </w:rPr>
      </w:pPr>
      <w:r w:rsidRPr="00EB73AF">
        <w:rPr>
          <w:rFonts w:ascii="Times New Roman" w:hAnsi="Times New Roman" w:cs="Times New Roman"/>
          <w:sz w:val="18"/>
          <w:szCs w:val="18"/>
          <w:highlight w:val="yellow"/>
        </w:rPr>
        <w:t>Data subsets: a subset for each language group</w:t>
      </w:r>
    </w:p>
    <w:p w14:paraId="0DFFD499" w14:textId="0CAAFBF6" w:rsidR="00A0393D" w:rsidRPr="00EB73AF" w:rsidRDefault="00A0393D">
      <w:pPr>
        <w:pStyle w:val="Notedebasdepage"/>
        <w:rPr>
          <w:rFonts w:ascii="Times New Roman" w:hAnsi="Times New Roman" w:cs="Times New Roman"/>
        </w:rPr>
      </w:pPr>
      <w:r w:rsidRPr="00881004">
        <w:rPr>
          <w:rFonts w:ascii="Times New Roman" w:hAnsi="Times New Roman" w:cs="Times New Roman"/>
          <w:sz w:val="18"/>
          <w:szCs w:val="18"/>
        </w:rPr>
        <w:t xml:space="preserve">The complete results for this follow-up model and the rest of the follow-up models can also be found in </w:t>
      </w:r>
      <w:hyperlink r:id="rId3" w:history="1">
        <w:r w:rsidR="004B28CC" w:rsidRPr="00881004">
          <w:rPr>
            <w:rStyle w:val="Lienhypertexte"/>
            <w:rFonts w:ascii="Times New Roman" w:hAnsi="Times New Roman" w:cs="Times New Roman"/>
            <w:sz w:val="18"/>
            <w:szCs w:val="18"/>
          </w:rPr>
          <w:t>https://osf.io/zcu5m/?view_only=db0d37ea2cc74bf7b9a4de5532238e70</w:t>
        </w:r>
      </w:hyperlink>
    </w:p>
    <w:p w14:paraId="0B016754" w14:textId="55B25AE2" w:rsidR="008A45D3" w:rsidRPr="00EB73AF" w:rsidRDefault="008A45D3">
      <w:pPr>
        <w:pStyle w:val="Notedebasdepage"/>
        <w:rPr>
          <w:rFonts w:ascii="Times New Roman" w:hAnsi="Times New Roman" w:cs="Times New Roman"/>
          <w:sz w:val="18"/>
          <w:szCs w:val="18"/>
          <w:lang w:val="fr-TW"/>
        </w:rPr>
      </w:pPr>
      <w:r w:rsidRPr="00EB73AF">
        <w:rPr>
          <w:rFonts w:ascii="Times New Roman" w:hAnsi="Times New Roman" w:cs="Times New Roman"/>
          <w:sz w:val="18"/>
          <w:szCs w:val="18"/>
          <w:highlight w:val="yellow"/>
          <w:lang w:val="fr-TW"/>
        </w:rPr>
        <w:t>The use of follow-up models allows the effect of the predictor of interest to be estimated directly within each relevant subset, without requiring additional decisions about how to marginalize over the remaining factors. Since different marginalization schemes can lead to different interpretations depending on the estimand, we considered follow-up models to be the clearer and more transparent approach for the questions at hand. Marginalized effects of interest are also provided in the OSF repository.</w:t>
      </w:r>
    </w:p>
  </w:footnote>
  <w:footnote w:id="17">
    <w:p w14:paraId="5D0887D1" w14:textId="157C6AD3" w:rsidR="00CC57B8" w:rsidRPr="00881004" w:rsidRDefault="00CC57B8" w:rsidP="00CC57B8">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Formula</w:t>
      </w:r>
      <w:r w:rsidR="00414536" w:rsidRPr="00881004">
        <w:rPr>
          <w:rFonts w:ascii="Times New Roman" w:hAnsi="Times New Roman" w:cs="Times New Roman"/>
          <w:sz w:val="18"/>
          <w:szCs w:val="18"/>
        </w:rPr>
        <w:t>e</w:t>
      </w:r>
      <w:r w:rsidRPr="00881004">
        <w:rPr>
          <w:rFonts w:ascii="Times New Roman" w:hAnsi="Times New Roman" w:cs="Times New Roman"/>
          <w:sz w:val="18"/>
          <w:szCs w:val="18"/>
        </w:rPr>
        <w:t xml:space="preserve">: target tone onset/offset </w:t>
      </w:r>
      <w:r w:rsidRPr="00881004">
        <w:rPr>
          <w:rFonts w:ascii="Cambria Math" w:hAnsi="Cambria Math" w:cs="Cambria Math"/>
          <w:sz w:val="18"/>
          <w:szCs w:val="18"/>
        </w:rPr>
        <w:t>∼</w:t>
      </w:r>
      <w:r w:rsidRPr="00881004">
        <w:rPr>
          <w:rFonts w:ascii="Times New Roman" w:hAnsi="Times New Roman" w:cs="Times New Roman"/>
          <w:sz w:val="18"/>
          <w:szCs w:val="18"/>
        </w:rPr>
        <w:t xml:space="preserve"> context tone onset/offset * target tone identity + (1 + context tone onset/offset | onset segment type) + (1 + context tone onset/offset |offset segment type) + (1 + context tone onset/offset | participant)</w:t>
      </w:r>
    </w:p>
    <w:p w14:paraId="62F3C068" w14:textId="3BE80DAB" w:rsidR="00E52945" w:rsidRPr="00881004" w:rsidRDefault="00E52945" w:rsidP="00CC57B8">
      <w:pPr>
        <w:pStyle w:val="Notedebasdepage"/>
        <w:rPr>
          <w:rFonts w:ascii="Times New Roman" w:hAnsi="Times New Roman" w:cs="Times New Roman"/>
          <w:sz w:val="18"/>
          <w:szCs w:val="18"/>
        </w:rPr>
      </w:pPr>
      <w:r w:rsidRPr="00EB73AF">
        <w:rPr>
          <w:rFonts w:ascii="Times New Roman" w:hAnsi="Times New Roman" w:cs="Times New Roman"/>
          <w:sz w:val="18"/>
          <w:szCs w:val="18"/>
          <w:highlight w:val="yellow"/>
        </w:rPr>
        <w:t>Data subsets: TM (monolingual)</w:t>
      </w:r>
      <w:r w:rsidR="00414536" w:rsidRPr="00EB73AF">
        <w:rPr>
          <w:rFonts w:ascii="Times New Roman" w:hAnsi="Times New Roman" w:cs="Times New Roman"/>
          <w:sz w:val="18"/>
          <w:szCs w:val="18"/>
          <w:highlight w:val="yellow"/>
        </w:rPr>
        <w:t xml:space="preserve"> in carryover/anticipatory positions</w:t>
      </w:r>
    </w:p>
    <w:p w14:paraId="4C80D29A" w14:textId="2B4F4647" w:rsidR="00CC57B8" w:rsidRPr="00881004" w:rsidRDefault="00CC57B8">
      <w:pPr>
        <w:pStyle w:val="Notedebasdepage"/>
        <w:rPr>
          <w:rFonts w:ascii="Times New Roman" w:hAnsi="Times New Roman" w:cs="Times New Roman"/>
          <w:sz w:val="18"/>
          <w:szCs w:val="18"/>
        </w:rPr>
      </w:pPr>
    </w:p>
  </w:footnote>
  <w:footnote w:id="18">
    <w:p w14:paraId="76D15FC5" w14:textId="108EB06A" w:rsidR="00083EED" w:rsidRPr="00881004" w:rsidRDefault="00083EED">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Formula: target tone onset/offset </w:t>
      </w:r>
      <w:r w:rsidRPr="00881004">
        <w:rPr>
          <w:rFonts w:ascii="Cambria Math" w:hAnsi="Cambria Math" w:cs="Cambria Math"/>
          <w:sz w:val="18"/>
          <w:szCs w:val="18"/>
        </w:rPr>
        <w:t>∼</w:t>
      </w:r>
      <w:r w:rsidRPr="00881004">
        <w:rPr>
          <w:rFonts w:ascii="Times New Roman" w:hAnsi="Times New Roman" w:cs="Times New Roman"/>
          <w:sz w:val="18"/>
          <w:szCs w:val="18"/>
        </w:rPr>
        <w:t xml:space="preserve"> context tone onset/offset * target tone identity + (1 + context tone onset/offset | onset segment type) + (1 + context tone onset/offset |offset segment type) + (1 + context tone onset/offset | participant)</w:t>
      </w:r>
    </w:p>
    <w:p w14:paraId="77599BBA" w14:textId="380A72D6" w:rsidR="00414536" w:rsidRPr="00881004" w:rsidRDefault="00414536">
      <w:pPr>
        <w:pStyle w:val="Notedebasdepage"/>
        <w:rPr>
          <w:rFonts w:ascii="Times New Roman" w:hAnsi="Times New Roman" w:cs="Times New Roman"/>
          <w:sz w:val="18"/>
          <w:szCs w:val="18"/>
        </w:rPr>
      </w:pPr>
      <w:r w:rsidRPr="00EB73AF">
        <w:rPr>
          <w:rFonts w:ascii="Times New Roman" w:hAnsi="Times New Roman" w:cs="Times New Roman"/>
          <w:sz w:val="18"/>
          <w:szCs w:val="18"/>
          <w:highlight w:val="yellow"/>
        </w:rPr>
        <w:t>Data subsets: a subset for each language in carryover/anticipatory positions</w:t>
      </w:r>
    </w:p>
  </w:footnote>
  <w:footnote w:id="19">
    <w:p w14:paraId="1C53BD14" w14:textId="69B5D9C1" w:rsidR="0052674A" w:rsidRPr="00881004" w:rsidRDefault="0052674A">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We thank an anonymous reviewer for this insight.</w:t>
      </w:r>
    </w:p>
  </w:footnote>
  <w:footnote w:id="20">
    <w:p w14:paraId="42B5EA0E" w14:textId="6F781B1B" w:rsidR="004370B6" w:rsidRPr="00881004" w:rsidRDefault="004370B6">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Using the same participants across the two perception experiments has the advantage of reducing between-subject variability and allowing the results of the two tasks to be compared without introducing additional differences in participant background, language experience, or task-related response tendencies. This is particularly useful for Experiments 2 and 3 because the two experiments were designed to examine related aspects of tone perception. In order to minimize the potential fatigue effects, each experiment was relatively brief, and participants were required to take a minimum one-minute break between experiments. We do recognize that since all participants completed Experiment 2 before Experiment 3, we cannot completely rule out the possibility that prior exposure influenced performance in the latter task. However, </w:t>
      </w:r>
      <w:r w:rsidR="00D6663D" w:rsidRPr="00881004">
        <w:rPr>
          <w:rFonts w:ascii="Times New Roman" w:hAnsi="Times New Roman" w:cs="Times New Roman"/>
          <w:sz w:val="18"/>
          <w:szCs w:val="18"/>
        </w:rPr>
        <w:t xml:space="preserve">we note that </w:t>
      </w:r>
      <w:r w:rsidRPr="00881004">
        <w:rPr>
          <w:rFonts w:ascii="Times New Roman" w:hAnsi="Times New Roman" w:cs="Times New Roman"/>
          <w:sz w:val="18"/>
          <w:szCs w:val="18"/>
        </w:rPr>
        <w:t xml:space="preserve">since </w:t>
      </w:r>
      <w:r w:rsidR="002230C1" w:rsidRPr="00EB73AF">
        <w:rPr>
          <w:rFonts w:ascii="Times New Roman" w:hAnsi="Times New Roman" w:cs="Times New Roman"/>
          <w:sz w:val="18"/>
          <w:szCs w:val="18"/>
          <w:highlight w:val="yellow"/>
        </w:rPr>
        <w:t>the</w:t>
      </w:r>
      <w:r w:rsidR="002230C1" w:rsidRPr="00881004">
        <w:rPr>
          <w:rFonts w:ascii="Times New Roman" w:hAnsi="Times New Roman" w:cs="Times New Roman"/>
          <w:sz w:val="18"/>
          <w:szCs w:val="18"/>
        </w:rPr>
        <w:t xml:space="preserve"> </w:t>
      </w:r>
      <w:r w:rsidRPr="00881004">
        <w:rPr>
          <w:rFonts w:ascii="Times New Roman" w:hAnsi="Times New Roman" w:cs="Times New Roman"/>
          <w:sz w:val="18"/>
          <w:szCs w:val="18"/>
        </w:rPr>
        <w:t>prior exposure</w:t>
      </w:r>
      <w:r w:rsidR="002230C1">
        <w:rPr>
          <w:rFonts w:ascii="Times New Roman" w:hAnsi="Times New Roman" w:cs="Times New Roman"/>
          <w:sz w:val="18"/>
          <w:szCs w:val="18"/>
        </w:rPr>
        <w:t xml:space="preserve"> </w:t>
      </w:r>
      <w:r w:rsidR="002230C1" w:rsidRPr="00EB73AF">
        <w:rPr>
          <w:rFonts w:ascii="Times New Roman" w:hAnsi="Times New Roman" w:cs="Times New Roman"/>
          <w:sz w:val="18"/>
          <w:szCs w:val="18"/>
          <w:highlight w:val="yellow"/>
        </w:rPr>
        <w:t>of</w:t>
      </w:r>
      <w:r w:rsidR="002230C1">
        <w:rPr>
          <w:rFonts w:ascii="Times New Roman" w:hAnsi="Times New Roman" w:cs="Times New Roman"/>
          <w:sz w:val="18"/>
          <w:szCs w:val="18"/>
        </w:rPr>
        <w:t xml:space="preserve"> </w:t>
      </w:r>
      <w:r w:rsidR="002230C1" w:rsidRPr="00EB73AF">
        <w:rPr>
          <w:rFonts w:ascii="Times New Roman" w:hAnsi="Times New Roman" w:cs="Times New Roman"/>
          <w:sz w:val="18"/>
          <w:szCs w:val="18"/>
          <w:highlight w:val="yellow"/>
        </w:rPr>
        <w:t>Experiment 2 before Experiment 3</w:t>
      </w:r>
      <w:r w:rsidRPr="00881004">
        <w:rPr>
          <w:rFonts w:ascii="Times New Roman" w:hAnsi="Times New Roman" w:cs="Times New Roman"/>
          <w:sz w:val="18"/>
          <w:szCs w:val="18"/>
        </w:rPr>
        <w:t xml:space="preserve"> was applicable to all participants,</w:t>
      </w:r>
      <w:r w:rsidR="002230C1">
        <w:rPr>
          <w:rFonts w:ascii="Times New Roman" w:hAnsi="Times New Roman" w:cs="Times New Roman"/>
          <w:sz w:val="18"/>
          <w:szCs w:val="18"/>
        </w:rPr>
        <w:t xml:space="preserve"> </w:t>
      </w:r>
      <w:r w:rsidR="002230C1" w:rsidRPr="00EB73AF">
        <w:rPr>
          <w:rFonts w:ascii="Times New Roman" w:hAnsi="Times New Roman" w:cs="Times New Roman"/>
          <w:sz w:val="18"/>
          <w:szCs w:val="18"/>
          <w:highlight w:val="yellow"/>
        </w:rPr>
        <w:t>the exposure effects, if any, should apply to all participants across the board within each of the two experiments</w:t>
      </w:r>
      <w:r w:rsidRPr="00881004">
        <w:rPr>
          <w:rFonts w:ascii="Times New Roman" w:hAnsi="Times New Roman" w:cs="Times New Roman"/>
          <w:sz w:val="18"/>
          <w:szCs w:val="18"/>
        </w:rPr>
        <w:t xml:space="preserve">. </w:t>
      </w:r>
    </w:p>
  </w:footnote>
  <w:footnote w:id="21">
    <w:p w14:paraId="1ECB484D" w14:textId="026988F7" w:rsidR="00DB5052" w:rsidRPr="00881004" w:rsidRDefault="00DB5052"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We did not randomize the order of the two versions since all the participants used TM on a daily basis, while TSM was not their mainly-used language, leading to a significant gap between the two languages in terms of proficiency and frequency of usage. Although the experiments began with practice trials, we considered the possibility that participants might not fully understand the tasks if they had started with TSM first, hence this fixed order.</w:t>
      </w:r>
      <w:r w:rsidR="00C26596">
        <w:rPr>
          <w:rFonts w:ascii="Times New Roman" w:hAnsi="Times New Roman" w:cs="Times New Roman"/>
          <w:color w:val="000000" w:themeColor="text1"/>
          <w:sz w:val="18"/>
          <w:szCs w:val="18"/>
        </w:rPr>
        <w:t xml:space="preserve"> </w:t>
      </w:r>
      <w:r w:rsidR="00C26596" w:rsidRPr="00EB73AF">
        <w:rPr>
          <w:rFonts w:ascii="Times New Roman" w:hAnsi="Times New Roman" w:cs="Times New Roman"/>
          <w:color w:val="000000" w:themeColor="text1"/>
          <w:sz w:val="18"/>
          <w:szCs w:val="18"/>
          <w:highlight w:val="yellow"/>
        </w:rPr>
        <w:t>See Section 5.4.4 for discussion on this limitation.</w:t>
      </w:r>
    </w:p>
  </w:footnote>
  <w:footnote w:id="22">
    <w:p w14:paraId="1F5160BB" w14:textId="4A7A41A7" w:rsidR="00DB5052" w:rsidRPr="00881004" w:rsidRDefault="00DB5052"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Some previous studies of the perception of tonal coarticulation would use nonwords instead of real words (e.g., Xu</w:t>
      </w:r>
      <w:r w:rsidR="00814124" w:rsidRPr="00881004">
        <w:rPr>
          <w:rFonts w:ascii="Times New Roman" w:hAnsi="Times New Roman" w:cs="Times New Roman"/>
          <w:color w:val="000000" w:themeColor="text1"/>
          <w:sz w:val="18"/>
          <w:szCs w:val="18"/>
        </w:rPr>
        <w:t xml:space="preserve"> </w:t>
      </w:r>
      <w:r w:rsidR="00B55FF6" w:rsidRPr="00881004">
        <w:rPr>
          <w:rFonts w:ascii="Times New Roman" w:hAnsi="Times New Roman" w:cs="Times New Roman"/>
          <w:color w:val="000000" w:themeColor="text1"/>
          <w:sz w:val="18"/>
          <w:szCs w:val="18"/>
        </w:rPr>
        <w:t>19</w:t>
      </w:r>
      <w:r w:rsidRPr="00881004">
        <w:rPr>
          <w:rFonts w:ascii="Times New Roman" w:hAnsi="Times New Roman" w:cs="Times New Roman"/>
          <w:color w:val="000000" w:themeColor="text1"/>
          <w:sz w:val="18"/>
          <w:szCs w:val="18"/>
        </w:rPr>
        <w:t>9</w:t>
      </w:r>
      <w:r w:rsidR="003446CE" w:rsidRPr="00881004">
        <w:rPr>
          <w:rFonts w:ascii="Times New Roman" w:hAnsi="Times New Roman" w:cs="Times New Roman"/>
          <w:color w:val="000000" w:themeColor="text1"/>
          <w:sz w:val="18"/>
          <w:szCs w:val="18"/>
        </w:rPr>
        <w:t>7</w:t>
      </w:r>
      <w:r w:rsidR="00814124" w:rsidRPr="00881004">
        <w:rPr>
          <w:rFonts w:ascii="Times New Roman" w:hAnsi="Times New Roman" w:cs="Times New Roman"/>
          <w:color w:val="000000" w:themeColor="text1"/>
          <w:sz w:val="18"/>
          <w:szCs w:val="18"/>
        </w:rPr>
        <w:t xml:space="preserve"> and Wang 2002</w:t>
      </w:r>
      <w:r w:rsidRPr="00881004">
        <w:rPr>
          <w:rFonts w:ascii="Times New Roman" w:hAnsi="Times New Roman" w:cs="Times New Roman"/>
          <w:color w:val="000000" w:themeColor="text1"/>
          <w:sz w:val="18"/>
          <w:szCs w:val="18"/>
        </w:rPr>
        <w:t xml:space="preserve">). We use real words instead of non-words in Experiments 2 and 3, following the design of Zhang </w:t>
      </w:r>
      <w:r w:rsidRPr="00881004">
        <w:rPr>
          <w:rFonts w:ascii="Times New Roman" w:hAnsi="Times New Roman" w:cs="Times New Roman"/>
          <w:iCs/>
          <w:color w:val="000000" w:themeColor="text1"/>
          <w:sz w:val="18"/>
          <w:szCs w:val="18"/>
        </w:rPr>
        <w:t>et al.</w:t>
      </w:r>
      <w:r w:rsidRPr="00881004">
        <w:rPr>
          <w:rFonts w:ascii="Times New Roman" w:hAnsi="Times New Roman" w:cs="Times New Roman"/>
          <w:i/>
          <w:color w:val="000000" w:themeColor="text1"/>
          <w:sz w:val="18"/>
          <w:szCs w:val="18"/>
        </w:rPr>
        <w:t xml:space="preserve"> </w:t>
      </w:r>
      <w:r w:rsidRPr="00881004">
        <w:rPr>
          <w:rFonts w:ascii="Times New Roman" w:hAnsi="Times New Roman" w:cs="Times New Roman"/>
          <w:color w:val="000000" w:themeColor="text1"/>
          <w:sz w:val="18"/>
          <w:szCs w:val="18"/>
        </w:rPr>
        <w:t>(2022).</w:t>
      </w:r>
    </w:p>
  </w:footnote>
  <w:footnote w:id="23">
    <w:p w14:paraId="6AAB3132" w14:textId="0E4F3300" w:rsidR="00DB5052" w:rsidRPr="00881004" w:rsidRDefault="00DB5052"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In TM, T3 (21) becomes T3’ (35) before anther T3.</w:t>
      </w:r>
    </w:p>
  </w:footnote>
  <w:footnote w:id="24">
    <w:p w14:paraId="7E1891F6" w14:textId="4FC68B15" w:rsidR="00DB5052" w:rsidRPr="00881004" w:rsidRDefault="00DB5052" w:rsidP="00971249">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In TSM, T2 (51) may become T2’ (35) under tone sandhi in some dialects.</w:t>
      </w:r>
    </w:p>
  </w:footnote>
  <w:footnote w:id="25">
    <w:p w14:paraId="0E385AF3" w14:textId="14F5BBA1" w:rsidR="009D5902" w:rsidRPr="00881004" w:rsidRDefault="009D5902">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Once again, it should be remembered that tone identity was able to be compared across the language groups due to the overlap in lexical tone distributions between TM and TSM.</w:t>
      </w:r>
    </w:p>
  </w:footnote>
  <w:footnote w:id="26">
    <w:p w14:paraId="07045B0D" w14:textId="51764A67" w:rsidR="004C1004" w:rsidRPr="00EB73AF" w:rsidRDefault="004C1004">
      <w:pPr>
        <w:pStyle w:val="Notedebasdepage"/>
        <w:rPr>
          <w:rFonts w:ascii="Times New Roman" w:hAnsi="Times New Roman" w:cs="Times New Roman"/>
        </w:rPr>
      </w:pPr>
      <w:r w:rsidRPr="00EB73AF">
        <w:rPr>
          <w:rStyle w:val="Appelnotedebasdep"/>
          <w:rFonts w:ascii="Times New Roman" w:hAnsi="Times New Roman" w:cs="Times New Roman"/>
          <w:highlight w:val="yellow"/>
        </w:rPr>
        <w:footnoteRef/>
      </w:r>
      <w:r w:rsidRPr="00EB73AF">
        <w:rPr>
          <w:rFonts w:ascii="Times New Roman" w:hAnsi="Times New Roman" w:cs="Times New Roman"/>
          <w:highlight w:val="yellow"/>
        </w:rPr>
        <w:t xml:space="preserve"> Since the two levels of tone identity (falling vs. high-level) in the concise model map directly to their tone offsets (1 and 5), tone identity was not included in the </w:t>
      </w:r>
      <w:r w:rsidR="009F7535" w:rsidRPr="00EB73AF">
        <w:rPr>
          <w:rFonts w:ascii="Times New Roman" w:hAnsi="Times New Roman" w:cs="Times New Roman"/>
          <w:highlight w:val="yellow"/>
        </w:rPr>
        <w:t xml:space="preserve">concise </w:t>
      </w:r>
      <w:r w:rsidRPr="00EB73AF">
        <w:rPr>
          <w:rFonts w:ascii="Times New Roman" w:hAnsi="Times New Roman" w:cs="Times New Roman"/>
          <w:highlight w:val="yellow"/>
        </w:rPr>
        <w:t>model.</w:t>
      </w:r>
    </w:p>
  </w:footnote>
  <w:footnote w:id="27">
    <w:p w14:paraId="21572F0C" w14:textId="06B08A5A" w:rsidR="00CF7421" w:rsidRPr="00881004" w:rsidRDefault="00CF7421">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The frequencies of the stimuli in Experiments 2 and 3 are included in </w:t>
      </w:r>
      <w:r w:rsidR="008E1C78" w:rsidRPr="00881004">
        <w:rPr>
          <w:rFonts w:ascii="Times New Roman" w:hAnsi="Times New Roman" w:cs="Times New Roman"/>
          <w:sz w:val="18"/>
          <w:szCs w:val="18"/>
        </w:rPr>
        <w:t>Appendix B.1 and C.1</w:t>
      </w:r>
      <w:r w:rsidRPr="00881004">
        <w:rPr>
          <w:rFonts w:ascii="Times New Roman" w:hAnsi="Times New Roman" w:cs="Times New Roman"/>
          <w:sz w:val="18"/>
          <w:szCs w:val="18"/>
        </w:rPr>
        <w:t>.</w:t>
      </w:r>
    </w:p>
  </w:footnote>
  <w:footnote w:id="28">
    <w:p w14:paraId="3D65D928" w14:textId="79F02B4D" w:rsidR="00881004" w:rsidRPr="00EB73AF" w:rsidRDefault="00881004" w:rsidP="00881004">
      <w:pPr>
        <w:pStyle w:val="Notedebasdepage"/>
        <w:rPr>
          <w:rFonts w:ascii="Times New Roman" w:hAnsi="Times New Roman" w:cs="Times New Roman"/>
          <w:lang w:val="fr-TW"/>
        </w:rPr>
      </w:pPr>
      <w:r w:rsidRPr="00EB73AF">
        <w:rPr>
          <w:rStyle w:val="Appelnotedebasdep"/>
          <w:rFonts w:ascii="Times New Roman" w:hAnsi="Times New Roman" w:cs="Times New Roman"/>
          <w:highlight w:val="yellow"/>
        </w:rPr>
        <w:footnoteRef/>
      </w:r>
      <w:r w:rsidRPr="00EB73AF">
        <w:rPr>
          <w:rFonts w:ascii="Times New Roman" w:hAnsi="Times New Roman" w:cs="Times New Roman"/>
          <w:highlight w:val="yellow"/>
        </w:rPr>
        <w:t xml:space="preserve"> Formula: </w:t>
      </w:r>
      <w:r w:rsidRPr="00EB73AF">
        <w:rPr>
          <w:rFonts w:ascii="Times New Roman" w:hAnsi="Times New Roman" w:cs="Times New Roman"/>
          <w:highlight w:val="yellow"/>
          <w:lang w:val="fr-TW"/>
        </w:rPr>
        <w:t>falling tone chosen ~ level + preceding tone offset + (1 + level|participant) (Note that this model is for visualization purpose only.)</w:t>
      </w:r>
    </w:p>
    <w:p w14:paraId="3C110632" w14:textId="0748A86E" w:rsidR="00881004" w:rsidRPr="00EB73AF" w:rsidRDefault="00881004">
      <w:pPr>
        <w:pStyle w:val="Notedebasdepage"/>
        <w:rPr>
          <w:rFonts w:ascii="Times New Roman" w:hAnsi="Times New Roman" w:cs="Times New Roman"/>
        </w:rPr>
      </w:pPr>
    </w:p>
  </w:footnote>
  <w:footnote w:id="29">
    <w:p w14:paraId="72258E50" w14:textId="77777777" w:rsidR="00521093" w:rsidRPr="00881004" w:rsidRDefault="00521093" w:rsidP="00521093">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Several terms were dropped due to rank deficiency. This was expected since not all preceding tones exist in all three language groups. The dropped terms were: preceding tone (contrast 4), language (TSM):preceding tone (contrast 1), language (TM [bilingual]):preceding tone (contrast 2), language (TM [bilingual]):preceding tone (contrast 3), language (TSM):preceding tone (contrast 2), language (TSM):preceding tone (contrast 3), language (TM [bilingual]):preceding tone (contrast 4), language (TSM): preceding tone (contrast 4)</w:t>
      </w:r>
    </w:p>
  </w:footnote>
  <w:footnote w:id="30">
    <w:p w14:paraId="2776C63A" w14:textId="77777777" w:rsidR="00B0501F" w:rsidRPr="00881004" w:rsidRDefault="00B0501F" w:rsidP="00B0501F">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Formula: falling tone chosen </w:t>
      </w:r>
      <w:r w:rsidRPr="00881004">
        <w:rPr>
          <w:rFonts w:ascii="Cambria Math" w:hAnsi="Cambria Math" w:cs="Cambria Math"/>
          <w:sz w:val="18"/>
          <w:szCs w:val="18"/>
        </w:rPr>
        <w:t>∼</w:t>
      </w:r>
      <w:r w:rsidRPr="00881004">
        <w:rPr>
          <w:rFonts w:ascii="Times New Roman" w:hAnsi="Times New Roman" w:cs="Times New Roman"/>
          <w:sz w:val="18"/>
          <w:szCs w:val="18"/>
        </w:rPr>
        <w:t xml:space="preserve"> level * language + preceding tone offset * language + preceding tone identity * language + (1 + level | participant)</w:t>
      </w:r>
    </w:p>
    <w:p w14:paraId="7768182E" w14:textId="208661DB" w:rsidR="00414536" w:rsidRPr="00881004" w:rsidRDefault="00414536" w:rsidP="00B0501F">
      <w:pPr>
        <w:pStyle w:val="Notedebasdepage"/>
        <w:rPr>
          <w:rFonts w:ascii="Times New Roman" w:hAnsi="Times New Roman" w:cs="Times New Roman"/>
          <w:sz w:val="18"/>
          <w:szCs w:val="18"/>
        </w:rPr>
      </w:pPr>
      <w:r w:rsidRPr="00EB73AF">
        <w:rPr>
          <w:rFonts w:ascii="Times New Roman" w:hAnsi="Times New Roman" w:cs="Times New Roman"/>
          <w:sz w:val="18"/>
          <w:szCs w:val="18"/>
          <w:highlight w:val="yellow"/>
        </w:rPr>
        <w:t>Data subsets: data from TSM and TM (bilingual)</w:t>
      </w:r>
    </w:p>
    <w:p w14:paraId="1C37F7B9" w14:textId="129F58FE" w:rsidR="00B0501F" w:rsidRPr="00881004" w:rsidRDefault="00B0501F">
      <w:pPr>
        <w:pStyle w:val="Notedebasdepage"/>
        <w:rPr>
          <w:rFonts w:ascii="Times New Roman" w:hAnsi="Times New Roman" w:cs="Times New Roman"/>
          <w:sz w:val="18"/>
          <w:szCs w:val="18"/>
        </w:rPr>
      </w:pPr>
    </w:p>
  </w:footnote>
  <w:footnote w:id="31">
    <w:p w14:paraId="3339F04B" w14:textId="0120811E" w:rsidR="00B55F15" w:rsidRPr="00881004" w:rsidRDefault="00B55F15">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We thank Canaan Breiss for suggesting this interpretation.</w:t>
      </w:r>
    </w:p>
  </w:footnote>
  <w:footnote w:id="32">
    <w:p w14:paraId="0B2863B5" w14:textId="2A9417EA" w:rsidR="008D31CD" w:rsidRPr="00881004" w:rsidRDefault="008D31CD" w:rsidP="008D31CD">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00273A6B" w:rsidRPr="00881004">
        <w:rPr>
          <w:rFonts w:ascii="Times New Roman" w:hAnsi="Times New Roman" w:cs="Times New Roman"/>
          <w:sz w:val="18"/>
          <w:szCs w:val="18"/>
        </w:rPr>
        <w:t>In TSM, for the high-level+low tone (55+21) group, we originally selected five candidate words, but only four were eventually included as stimuli. One originally selected item,</w:t>
      </w:r>
      <w:r w:rsidRPr="00881004">
        <w:rPr>
          <w:rFonts w:ascii="Times New Roman" w:hAnsi="Times New Roman" w:cs="Times New Roman"/>
          <w:sz w:val="18"/>
          <w:szCs w:val="18"/>
        </w:rPr>
        <w:t xml:space="preserve"> </w:t>
      </w:r>
      <w:r w:rsidRPr="00881004">
        <w:rPr>
          <w:rFonts w:ascii="Times New Roman" w:hAnsi="Times New Roman" w:cs="Times New Roman" w:hint="eastAsia"/>
          <w:sz w:val="18"/>
          <w:szCs w:val="18"/>
        </w:rPr>
        <w:t>你看</w:t>
      </w:r>
      <w:r w:rsidRPr="00881004">
        <w:rPr>
          <w:rFonts w:ascii="Times New Roman" w:hAnsi="Times New Roman" w:cs="Times New Roman"/>
          <w:sz w:val="18"/>
          <w:szCs w:val="18"/>
        </w:rPr>
        <w:t xml:space="preserve"> /li.k</w:t>
      </w:r>
      <w:r w:rsidRPr="00881004">
        <w:rPr>
          <w:rFonts w:ascii="Times New Roman" w:hAnsi="Times New Roman" w:cs="Times New Roman"/>
          <w:sz w:val="18"/>
          <w:szCs w:val="18"/>
          <w:vertAlign w:val="superscript"/>
        </w:rPr>
        <w:t>h</w:t>
      </w:r>
      <w:r w:rsidRPr="00881004">
        <w:rPr>
          <w:rFonts w:ascii="Times New Roman" w:hAnsi="Times New Roman" w:cs="Times New Roman"/>
          <w:sz w:val="18"/>
          <w:szCs w:val="18"/>
        </w:rPr>
        <w:t xml:space="preserve">wā/ ‘you see,’ </w:t>
      </w:r>
      <w:r w:rsidR="00273A6B" w:rsidRPr="00881004">
        <w:rPr>
          <w:rFonts w:ascii="Times New Roman" w:hAnsi="Times New Roman" w:cs="Times New Roman"/>
          <w:sz w:val="18"/>
          <w:szCs w:val="18"/>
        </w:rPr>
        <w:t>was excluded because it could potentially be interpreted as a full sentence rather than as a lexical item.</w:t>
      </w:r>
    </w:p>
  </w:footnote>
  <w:footnote w:id="33">
    <w:p w14:paraId="56DAB66A" w14:textId="6E5B18F2" w:rsidR="00DB5052" w:rsidRPr="00881004" w:rsidRDefault="00DB5052" w:rsidP="00971249">
      <w:pPr>
        <w:pStyle w:val="JASABodyText"/>
        <w:spacing w:line="240" w:lineRule="auto"/>
        <w:ind w:firstLine="0"/>
        <w:rPr>
          <w:rFonts w:ascii="Times New Roman" w:hAnsi="Times New Roman" w:cs="Times New Roman"/>
          <w:color w:val="000000" w:themeColor="text1"/>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color w:val="000000" w:themeColor="text1"/>
          <w:sz w:val="18"/>
          <w:szCs w:val="18"/>
        </w:rPr>
        <w:t xml:space="preserve">The probit analysis models the relationship between the independent and binary dependent variables. This analysis has been used to determine the threshold for binomial responses (e.g., Zhang </w:t>
      </w:r>
      <w:r w:rsidRPr="00881004">
        <w:rPr>
          <w:rFonts w:ascii="Times New Roman" w:hAnsi="Times New Roman" w:cs="Times New Roman"/>
          <w:iCs/>
          <w:color w:val="000000" w:themeColor="text1"/>
          <w:sz w:val="18"/>
          <w:szCs w:val="18"/>
        </w:rPr>
        <w:t>et al.</w:t>
      </w:r>
      <w:r w:rsidRPr="00881004">
        <w:rPr>
          <w:rFonts w:ascii="Times New Roman" w:hAnsi="Times New Roman" w:cs="Times New Roman"/>
          <w:color w:val="000000" w:themeColor="text1"/>
          <w:sz w:val="18"/>
          <w:szCs w:val="18"/>
        </w:rPr>
        <w:t xml:space="preserve"> 2022).</w:t>
      </w:r>
    </w:p>
  </w:footnote>
  <w:footnote w:id="34">
    <w:p w14:paraId="35155616" w14:textId="77777777" w:rsidR="00732DA8" w:rsidRPr="00881004" w:rsidRDefault="00732DA8" w:rsidP="00732DA8">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Formula: acceptance slope </w:t>
      </w:r>
      <w:r w:rsidRPr="00881004">
        <w:rPr>
          <w:rFonts w:ascii="Cambria Math" w:hAnsi="Cambria Math" w:cs="Cambria Math"/>
          <w:sz w:val="18"/>
          <w:szCs w:val="18"/>
        </w:rPr>
        <w:t>∼</w:t>
      </w:r>
      <w:r w:rsidRPr="00881004">
        <w:rPr>
          <w:rFonts w:ascii="Times New Roman" w:hAnsi="Times New Roman" w:cs="Times New Roman"/>
          <w:sz w:val="18"/>
          <w:szCs w:val="18"/>
        </w:rPr>
        <w:t xml:space="preserve"> language + (1 | participant)</w:t>
      </w:r>
    </w:p>
    <w:p w14:paraId="1B70A377" w14:textId="03F45DB6" w:rsidR="001801D6" w:rsidRPr="00881004" w:rsidRDefault="001801D6" w:rsidP="00732DA8">
      <w:pPr>
        <w:pStyle w:val="Notedebasdepage"/>
        <w:rPr>
          <w:rFonts w:ascii="Times New Roman" w:hAnsi="Times New Roman" w:cs="Times New Roman"/>
          <w:sz w:val="18"/>
          <w:szCs w:val="18"/>
        </w:rPr>
      </w:pPr>
      <w:r w:rsidRPr="00EB73AF">
        <w:rPr>
          <w:rFonts w:ascii="Times New Roman" w:hAnsi="Times New Roman" w:cs="Times New Roman"/>
          <w:sz w:val="18"/>
          <w:szCs w:val="18"/>
          <w:highlight w:val="yellow"/>
        </w:rPr>
        <w:t>Data subsets: a subset for each of the two target tones</w:t>
      </w:r>
    </w:p>
  </w:footnote>
  <w:footnote w:id="35">
    <w:p w14:paraId="6D418361" w14:textId="0D212B66" w:rsidR="00732DA8" w:rsidRPr="00881004" w:rsidRDefault="00732DA8" w:rsidP="00732DA8">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Formula: acceptance threshold </w:t>
      </w:r>
      <w:r w:rsidRPr="00881004">
        <w:rPr>
          <w:rFonts w:ascii="Cambria Math" w:hAnsi="Cambria Math" w:cs="Cambria Math"/>
          <w:sz w:val="18"/>
          <w:szCs w:val="18"/>
        </w:rPr>
        <w:t>∼</w:t>
      </w:r>
      <w:r w:rsidRPr="00881004">
        <w:rPr>
          <w:rFonts w:ascii="Times New Roman" w:hAnsi="Times New Roman" w:cs="Times New Roman"/>
          <w:sz w:val="18"/>
          <w:szCs w:val="18"/>
        </w:rPr>
        <w:t xml:space="preserve"> language + (1 | participant)</w:t>
      </w:r>
    </w:p>
    <w:p w14:paraId="23DEEA96" w14:textId="7B5931EB" w:rsidR="001801D6" w:rsidRPr="00881004" w:rsidRDefault="001801D6" w:rsidP="00732DA8">
      <w:pPr>
        <w:pStyle w:val="Notedebasdepage"/>
        <w:rPr>
          <w:rFonts w:ascii="Times New Roman" w:hAnsi="Times New Roman" w:cs="Times New Roman"/>
          <w:sz w:val="18"/>
          <w:szCs w:val="18"/>
        </w:rPr>
      </w:pPr>
      <w:r w:rsidRPr="00EB73AF">
        <w:rPr>
          <w:rFonts w:ascii="Times New Roman" w:hAnsi="Times New Roman" w:cs="Times New Roman"/>
          <w:sz w:val="18"/>
          <w:szCs w:val="18"/>
          <w:highlight w:val="yellow"/>
        </w:rPr>
        <w:t>Data subsets: a subset for each of the two target tones</w:t>
      </w:r>
    </w:p>
  </w:footnote>
  <w:footnote w:id="36">
    <w:p w14:paraId="11263BA6" w14:textId="77777777" w:rsidR="00CA065F" w:rsidRPr="00881004" w:rsidRDefault="00CA065F" w:rsidP="00971249">
      <w:pPr>
        <w:pStyle w:val="Notedebasdepage"/>
        <w:rPr>
          <w:rFonts w:ascii="Times New Roman" w:hAnsi="Times New Roman" w:cs="Times New Roman"/>
          <w:sz w:val="18"/>
          <w:szCs w:val="18"/>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In Taiwan, “Taiwanese” is a more common term for Taiwan Southern Min. To avoid confusion, we chose to use the term “Taiwanese” when talking to the participants.</w:t>
      </w:r>
    </w:p>
  </w:footnote>
  <w:footnote w:id="37">
    <w:p w14:paraId="0DEB29CA" w14:textId="780332BC" w:rsidR="005976AB" w:rsidRPr="00881004" w:rsidRDefault="005976AB" w:rsidP="005976AB">
      <w:pPr>
        <w:pStyle w:val="Notedebasdepage"/>
        <w:rPr>
          <w:rFonts w:ascii="Times New Roman" w:hAnsi="Times New Roman" w:cs="Times New Roman"/>
          <w:sz w:val="18"/>
          <w:szCs w:val="18"/>
          <w:lang w:val="fr-TW"/>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w:t>
      </w:r>
      <w:r w:rsidRPr="00881004">
        <w:rPr>
          <w:rFonts w:ascii="Times New Roman" w:hAnsi="Times New Roman" w:cs="Times New Roman"/>
          <w:sz w:val="18"/>
          <w:szCs w:val="18"/>
          <w:lang w:val="fr-TW"/>
        </w:rPr>
        <w:t xml:space="preserve">Two different sets of tone sandhi rules were applied for TSM T5 due to dialectal differences. P25, P32, P36, and P39 applied the sandhi rule of T5 (35) </w:t>
      </w:r>
      <w:r w:rsidRPr="00881004">
        <w:rPr>
          <w:rFonts w:ascii="Times New Roman" w:hAnsi="Times New Roman" w:cs="Times New Roman" w:hint="eastAsia"/>
          <w:sz w:val="18"/>
          <w:szCs w:val="18"/>
          <w:lang w:val="fr-TW"/>
        </w:rPr>
        <w:t>→</w:t>
      </w:r>
      <w:r w:rsidRPr="00881004">
        <w:rPr>
          <w:rFonts w:ascii="Times New Roman" w:hAnsi="Times New Roman" w:cs="Times New Roman"/>
          <w:sz w:val="18"/>
          <w:szCs w:val="18"/>
          <w:lang w:val="fr-TW"/>
        </w:rPr>
        <w:t xml:space="preserve"> T3 (21); others applied the rule of T5 (35) </w:t>
      </w:r>
      <w:r w:rsidRPr="00881004">
        <w:rPr>
          <w:rFonts w:ascii="Times New Roman" w:hAnsi="Times New Roman" w:cs="Times New Roman" w:hint="eastAsia"/>
          <w:sz w:val="18"/>
          <w:szCs w:val="18"/>
          <w:lang w:val="fr-TW"/>
        </w:rPr>
        <w:t>→</w:t>
      </w:r>
      <w:r w:rsidRPr="00881004">
        <w:rPr>
          <w:rFonts w:ascii="Times New Roman" w:hAnsi="Times New Roman" w:cs="Times New Roman"/>
          <w:sz w:val="18"/>
          <w:szCs w:val="18"/>
          <w:lang w:val="fr-TW"/>
        </w:rPr>
        <w:t xml:space="preserve"> T7 (33). See Appendix D for the sandhi rules in TSM.</w:t>
      </w:r>
      <w:r w:rsidR="00166FDF">
        <w:rPr>
          <w:rFonts w:ascii="Times New Roman" w:hAnsi="Times New Roman" w:cs="Times New Roman"/>
          <w:sz w:val="18"/>
          <w:szCs w:val="18"/>
          <w:lang w:val="fr-TW"/>
        </w:rPr>
        <w:t xml:space="preserve"> </w:t>
      </w:r>
      <w:r w:rsidR="00765291" w:rsidRPr="00EB73AF">
        <w:rPr>
          <w:rFonts w:ascii="Times New Roman" w:hAnsi="Times New Roman" w:cs="Times New Roman"/>
          <w:sz w:val="18"/>
          <w:szCs w:val="18"/>
          <w:highlight w:val="yellow"/>
        </w:rPr>
        <w:t>The apostrophe (’) denotes that the tone has undergone tone sandhi.</w:t>
      </w:r>
    </w:p>
    <w:p w14:paraId="1EA07A0A" w14:textId="11AED180" w:rsidR="005976AB" w:rsidRPr="00881004" w:rsidRDefault="005976AB">
      <w:pPr>
        <w:pStyle w:val="Notedebasdepage"/>
        <w:rPr>
          <w:rFonts w:ascii="Times New Roman" w:hAnsi="Times New Roman" w:cs="Times New Roman"/>
          <w:sz w:val="18"/>
          <w:szCs w:val="18"/>
        </w:rPr>
      </w:pPr>
    </w:p>
  </w:footnote>
  <w:footnote w:id="38">
    <w:p w14:paraId="1CC59929" w14:textId="79B5FD08" w:rsidR="00317DFF" w:rsidRPr="00881004" w:rsidRDefault="00317DFF">
      <w:pPr>
        <w:pStyle w:val="Notedebasdepage"/>
        <w:rPr>
          <w:rFonts w:ascii="Times New Roman" w:hAnsi="Times New Roman" w:cs="Times New Roman"/>
          <w:sz w:val="18"/>
          <w:szCs w:val="18"/>
          <w:lang w:val="fr-TW"/>
        </w:rPr>
      </w:pPr>
      <w:r w:rsidRPr="00881004">
        <w:rPr>
          <w:rStyle w:val="Appelnotedebasdep"/>
          <w:rFonts w:ascii="Times New Roman" w:hAnsi="Times New Roman" w:cs="Times New Roman"/>
          <w:sz w:val="18"/>
          <w:szCs w:val="18"/>
        </w:rPr>
        <w:footnoteRef/>
      </w:r>
      <w:r w:rsidRPr="00881004">
        <w:rPr>
          <w:rFonts w:ascii="Times New Roman" w:hAnsi="Times New Roman" w:cs="Times New Roman"/>
          <w:sz w:val="18"/>
          <w:szCs w:val="18"/>
        </w:rPr>
        <w:t xml:space="preserve"> Formula: </w:t>
      </w:r>
      <w:r w:rsidRPr="00881004">
        <w:rPr>
          <w:rFonts w:ascii="Times New Roman" w:hAnsi="Times New Roman" w:cs="Times New Roman"/>
          <w:sz w:val="18"/>
          <w:szCs w:val="18"/>
          <w:lang w:val="fr-TW"/>
        </w:rPr>
        <w:t>F0 value ~ s(portion index) + s(participant, bs=</w:t>
      </w:r>
      <w:r w:rsidR="00795055" w:rsidRPr="00881004">
        <w:rPr>
          <w:rFonts w:ascii="Times New Roman" w:hAnsi="Times New Roman" w:cs="Times New Roman"/>
          <w:sz w:val="18"/>
          <w:szCs w:val="18"/>
          <w:lang w:val="fr-TW"/>
        </w:rPr>
        <w:t>“</w:t>
      </w:r>
      <w:r w:rsidRPr="00881004">
        <w:rPr>
          <w:rFonts w:ascii="Times New Roman" w:hAnsi="Times New Roman" w:cs="Times New Roman"/>
          <w:sz w:val="18"/>
          <w:szCs w:val="18"/>
          <w:lang w:val="fr-TW"/>
        </w:rPr>
        <w:t>re</w:t>
      </w:r>
      <w:r w:rsidR="00795055" w:rsidRPr="00881004">
        <w:rPr>
          <w:rFonts w:ascii="Times New Roman" w:hAnsi="Times New Roman" w:cs="Times New Roman"/>
          <w:sz w:val="18"/>
          <w:szCs w:val="18"/>
          <w:lang w:val="fr-TW"/>
        </w:rPr>
        <w:t>”</w:t>
      </w:r>
      <w:r w:rsidRPr="00881004">
        <w:rPr>
          <w:rFonts w:ascii="Times New Roman" w:hAnsi="Times New Roman" w:cs="Times New Roman"/>
          <w:sz w:val="18"/>
          <w:szCs w:val="18"/>
          <w:lang w:val="fr-T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1C097" w14:textId="3E65574F" w:rsidR="002A4A4D" w:rsidRPr="002A4A4D" w:rsidRDefault="002A4A4D" w:rsidP="002A4A4D">
    <w:pPr>
      <w:pStyle w:val="En-tte"/>
      <w:jc w:val="right"/>
      <w:rPr>
        <w:rFonts w:ascii="Times New Roman" w:hAnsi="Times New Roman" w:cs="Times New Roman"/>
      </w:rPr>
    </w:pPr>
    <w:r w:rsidRPr="002A4A4D">
      <w:rPr>
        <w:rFonts w:ascii="Times New Roman" w:hAnsi="Times New Roman" w:cs="Times New Roman"/>
        <w:b/>
        <w:bCs/>
      </w:rPr>
      <w:t>Production and perception of coarticulated tones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B4AEF"/>
    <w:multiLevelType w:val="hybridMultilevel"/>
    <w:tmpl w:val="412A57C4"/>
    <w:lvl w:ilvl="0" w:tplc="08980CD2">
      <w:start w:val="1"/>
      <w:numFmt w:val="lowerLetter"/>
      <w:lvlText w:val="(%1)"/>
      <w:lvlJc w:val="left"/>
      <w:pPr>
        <w:ind w:left="692" w:hanging="360"/>
      </w:pPr>
      <w:rPr>
        <w:rFonts w:hint="default"/>
        <w:sz w:val="20"/>
      </w:rPr>
    </w:lvl>
    <w:lvl w:ilvl="1" w:tplc="040C0019" w:tentative="1">
      <w:start w:val="1"/>
      <w:numFmt w:val="lowerLetter"/>
      <w:lvlText w:val="%2."/>
      <w:lvlJc w:val="left"/>
      <w:pPr>
        <w:ind w:left="1412" w:hanging="360"/>
      </w:pPr>
    </w:lvl>
    <w:lvl w:ilvl="2" w:tplc="040C001B" w:tentative="1">
      <w:start w:val="1"/>
      <w:numFmt w:val="lowerRoman"/>
      <w:lvlText w:val="%3."/>
      <w:lvlJc w:val="right"/>
      <w:pPr>
        <w:ind w:left="2132" w:hanging="180"/>
      </w:pPr>
    </w:lvl>
    <w:lvl w:ilvl="3" w:tplc="040C000F" w:tentative="1">
      <w:start w:val="1"/>
      <w:numFmt w:val="decimal"/>
      <w:lvlText w:val="%4."/>
      <w:lvlJc w:val="left"/>
      <w:pPr>
        <w:ind w:left="2852" w:hanging="360"/>
      </w:pPr>
    </w:lvl>
    <w:lvl w:ilvl="4" w:tplc="040C0019" w:tentative="1">
      <w:start w:val="1"/>
      <w:numFmt w:val="lowerLetter"/>
      <w:lvlText w:val="%5."/>
      <w:lvlJc w:val="left"/>
      <w:pPr>
        <w:ind w:left="3572" w:hanging="360"/>
      </w:pPr>
    </w:lvl>
    <w:lvl w:ilvl="5" w:tplc="040C001B" w:tentative="1">
      <w:start w:val="1"/>
      <w:numFmt w:val="lowerRoman"/>
      <w:lvlText w:val="%6."/>
      <w:lvlJc w:val="right"/>
      <w:pPr>
        <w:ind w:left="4292" w:hanging="180"/>
      </w:pPr>
    </w:lvl>
    <w:lvl w:ilvl="6" w:tplc="040C000F" w:tentative="1">
      <w:start w:val="1"/>
      <w:numFmt w:val="decimal"/>
      <w:lvlText w:val="%7."/>
      <w:lvlJc w:val="left"/>
      <w:pPr>
        <w:ind w:left="5012" w:hanging="360"/>
      </w:pPr>
    </w:lvl>
    <w:lvl w:ilvl="7" w:tplc="040C0019" w:tentative="1">
      <w:start w:val="1"/>
      <w:numFmt w:val="lowerLetter"/>
      <w:lvlText w:val="%8."/>
      <w:lvlJc w:val="left"/>
      <w:pPr>
        <w:ind w:left="5732" w:hanging="360"/>
      </w:pPr>
    </w:lvl>
    <w:lvl w:ilvl="8" w:tplc="040C001B" w:tentative="1">
      <w:start w:val="1"/>
      <w:numFmt w:val="lowerRoman"/>
      <w:lvlText w:val="%9."/>
      <w:lvlJc w:val="right"/>
      <w:pPr>
        <w:ind w:left="6452" w:hanging="180"/>
      </w:pPr>
    </w:lvl>
  </w:abstractNum>
  <w:abstractNum w:abstractNumId="1" w15:restartNumberingAfterBreak="0">
    <w:nsid w:val="030F04C4"/>
    <w:multiLevelType w:val="hybridMultilevel"/>
    <w:tmpl w:val="092419B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 w15:restartNumberingAfterBreak="0">
    <w:nsid w:val="045607D2"/>
    <w:multiLevelType w:val="hybridMultilevel"/>
    <w:tmpl w:val="D952B0B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4A25E3"/>
    <w:multiLevelType w:val="hybridMultilevel"/>
    <w:tmpl w:val="B85C1C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942893"/>
    <w:multiLevelType w:val="hybridMultilevel"/>
    <w:tmpl w:val="6AD022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C96A3B"/>
    <w:multiLevelType w:val="hybridMultilevel"/>
    <w:tmpl w:val="0A164C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B86591"/>
    <w:multiLevelType w:val="multilevel"/>
    <w:tmpl w:val="745C79E0"/>
    <w:lvl w:ilvl="0">
      <w:start w:val="1"/>
      <w:numFmt w:val="decimal"/>
      <w:lvlText w:val="%1."/>
      <w:lvlJc w:val="left"/>
      <w:pPr>
        <w:ind w:left="720" w:hanging="360"/>
      </w:pPr>
      <w:rPr>
        <w:rFonts w:hint="default"/>
        <w:b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C8464D1"/>
    <w:multiLevelType w:val="multilevel"/>
    <w:tmpl w:val="BFAA5CE2"/>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EF7480A"/>
    <w:multiLevelType w:val="multilevel"/>
    <w:tmpl w:val="BBF2ED96"/>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B117B1"/>
    <w:multiLevelType w:val="multilevel"/>
    <w:tmpl w:val="47B0795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6043E99"/>
    <w:multiLevelType w:val="multilevel"/>
    <w:tmpl w:val="5B3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951220"/>
    <w:multiLevelType w:val="hybridMultilevel"/>
    <w:tmpl w:val="2D28A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E44D96"/>
    <w:multiLevelType w:val="hybridMultilevel"/>
    <w:tmpl w:val="A3383B1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5247E5"/>
    <w:multiLevelType w:val="hybridMultilevel"/>
    <w:tmpl w:val="33C8E364"/>
    <w:lvl w:ilvl="0" w:tplc="EF841ED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EB82501"/>
    <w:multiLevelType w:val="hybridMultilevel"/>
    <w:tmpl w:val="AD3C55EE"/>
    <w:lvl w:ilvl="0" w:tplc="F3B05A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05D4545"/>
    <w:multiLevelType w:val="hybridMultilevel"/>
    <w:tmpl w:val="71928E9C"/>
    <w:lvl w:ilvl="0" w:tplc="97A4F8A6">
      <w:start w:val="1"/>
      <w:numFmt w:val="lowerLetter"/>
      <w:lvlText w:val="(%1)"/>
      <w:lvlJc w:val="left"/>
      <w:pPr>
        <w:ind w:left="3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B26B5D4">
      <w:start w:val="1"/>
      <w:numFmt w:val="lowerLetter"/>
      <w:lvlText w:val="%2"/>
      <w:lvlJc w:val="left"/>
      <w:pPr>
        <w:ind w:left="449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3C62FC52">
      <w:start w:val="1"/>
      <w:numFmt w:val="lowerRoman"/>
      <w:lvlText w:val="%3"/>
      <w:lvlJc w:val="left"/>
      <w:pPr>
        <w:ind w:left="521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8AE3C2A">
      <w:start w:val="1"/>
      <w:numFmt w:val="decimal"/>
      <w:lvlText w:val="%4"/>
      <w:lvlJc w:val="left"/>
      <w:pPr>
        <w:ind w:left="593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3C6A264">
      <w:start w:val="1"/>
      <w:numFmt w:val="lowerLetter"/>
      <w:lvlText w:val="%5"/>
      <w:lvlJc w:val="left"/>
      <w:pPr>
        <w:ind w:left="665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F80DC5E">
      <w:start w:val="1"/>
      <w:numFmt w:val="lowerRoman"/>
      <w:lvlText w:val="%6"/>
      <w:lvlJc w:val="left"/>
      <w:pPr>
        <w:ind w:left="737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68466B6">
      <w:start w:val="1"/>
      <w:numFmt w:val="decimal"/>
      <w:lvlText w:val="%7"/>
      <w:lvlJc w:val="left"/>
      <w:pPr>
        <w:ind w:left="809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BCCB1CA">
      <w:start w:val="1"/>
      <w:numFmt w:val="lowerLetter"/>
      <w:lvlText w:val="%8"/>
      <w:lvlJc w:val="left"/>
      <w:pPr>
        <w:ind w:left="881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6DE72E4">
      <w:start w:val="1"/>
      <w:numFmt w:val="lowerRoman"/>
      <w:lvlText w:val="%9"/>
      <w:lvlJc w:val="left"/>
      <w:pPr>
        <w:ind w:left="953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35F38E0"/>
    <w:multiLevelType w:val="hybridMultilevel"/>
    <w:tmpl w:val="5F26CBE6"/>
    <w:lvl w:ilvl="0" w:tplc="47D6411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0613F"/>
    <w:multiLevelType w:val="hybridMultilevel"/>
    <w:tmpl w:val="D7B8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5050FE"/>
    <w:multiLevelType w:val="hybridMultilevel"/>
    <w:tmpl w:val="039E006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936439D"/>
    <w:multiLevelType w:val="hybridMultilevel"/>
    <w:tmpl w:val="6F4E9FE4"/>
    <w:lvl w:ilvl="0" w:tplc="1EA87AB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2D11C1"/>
    <w:multiLevelType w:val="hybridMultilevel"/>
    <w:tmpl w:val="5D526AB2"/>
    <w:lvl w:ilvl="0" w:tplc="4704F2A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BB62865"/>
    <w:multiLevelType w:val="hybridMultilevel"/>
    <w:tmpl w:val="D7BAA9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04744F9"/>
    <w:multiLevelType w:val="hybridMultilevel"/>
    <w:tmpl w:val="758876CC"/>
    <w:lvl w:ilvl="0" w:tplc="D438EE40">
      <w:start w:val="1"/>
      <w:numFmt w:val="decimal"/>
      <w:pStyle w:val="JASAthird-levelhead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pStyle w:val="JASAthird-levelheading"/>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D13F0B"/>
    <w:multiLevelType w:val="hybridMultilevel"/>
    <w:tmpl w:val="7486A56E"/>
    <w:lvl w:ilvl="0" w:tplc="11B0E2A4">
      <w:start w:val="1"/>
      <w:numFmt w:val="lowerLetter"/>
      <w:pStyle w:val="JASAfourth-levelhead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FC1936"/>
    <w:multiLevelType w:val="hybridMultilevel"/>
    <w:tmpl w:val="6148A6C2"/>
    <w:lvl w:ilvl="0" w:tplc="068A1FB8">
      <w:start w:val="1"/>
      <w:numFmt w:val="lowerLetter"/>
      <w:lvlText w:val="(%1)"/>
      <w:lvlJc w:val="left"/>
      <w:pPr>
        <w:ind w:left="770" w:hanging="360"/>
      </w:pPr>
      <w:rPr>
        <w:rFonts w:hint="default"/>
      </w:rPr>
    </w:lvl>
    <w:lvl w:ilvl="1" w:tplc="040C0019" w:tentative="1">
      <w:start w:val="1"/>
      <w:numFmt w:val="lowerLetter"/>
      <w:lvlText w:val="%2."/>
      <w:lvlJc w:val="left"/>
      <w:pPr>
        <w:ind w:left="1490" w:hanging="360"/>
      </w:pPr>
    </w:lvl>
    <w:lvl w:ilvl="2" w:tplc="040C001B" w:tentative="1">
      <w:start w:val="1"/>
      <w:numFmt w:val="lowerRoman"/>
      <w:lvlText w:val="%3."/>
      <w:lvlJc w:val="right"/>
      <w:pPr>
        <w:ind w:left="2210" w:hanging="180"/>
      </w:pPr>
    </w:lvl>
    <w:lvl w:ilvl="3" w:tplc="040C000F" w:tentative="1">
      <w:start w:val="1"/>
      <w:numFmt w:val="decimal"/>
      <w:lvlText w:val="%4."/>
      <w:lvlJc w:val="left"/>
      <w:pPr>
        <w:ind w:left="2930" w:hanging="360"/>
      </w:pPr>
    </w:lvl>
    <w:lvl w:ilvl="4" w:tplc="040C0019" w:tentative="1">
      <w:start w:val="1"/>
      <w:numFmt w:val="lowerLetter"/>
      <w:lvlText w:val="%5."/>
      <w:lvlJc w:val="left"/>
      <w:pPr>
        <w:ind w:left="3650" w:hanging="360"/>
      </w:pPr>
    </w:lvl>
    <w:lvl w:ilvl="5" w:tplc="040C001B" w:tentative="1">
      <w:start w:val="1"/>
      <w:numFmt w:val="lowerRoman"/>
      <w:lvlText w:val="%6."/>
      <w:lvlJc w:val="right"/>
      <w:pPr>
        <w:ind w:left="4370" w:hanging="180"/>
      </w:pPr>
    </w:lvl>
    <w:lvl w:ilvl="6" w:tplc="040C000F" w:tentative="1">
      <w:start w:val="1"/>
      <w:numFmt w:val="decimal"/>
      <w:lvlText w:val="%7."/>
      <w:lvlJc w:val="left"/>
      <w:pPr>
        <w:ind w:left="5090" w:hanging="360"/>
      </w:pPr>
    </w:lvl>
    <w:lvl w:ilvl="7" w:tplc="040C0019" w:tentative="1">
      <w:start w:val="1"/>
      <w:numFmt w:val="lowerLetter"/>
      <w:lvlText w:val="%8."/>
      <w:lvlJc w:val="left"/>
      <w:pPr>
        <w:ind w:left="5810" w:hanging="360"/>
      </w:pPr>
    </w:lvl>
    <w:lvl w:ilvl="8" w:tplc="040C001B" w:tentative="1">
      <w:start w:val="1"/>
      <w:numFmt w:val="lowerRoman"/>
      <w:lvlText w:val="%9."/>
      <w:lvlJc w:val="right"/>
      <w:pPr>
        <w:ind w:left="6530" w:hanging="180"/>
      </w:pPr>
    </w:lvl>
  </w:abstractNum>
  <w:abstractNum w:abstractNumId="25" w15:restartNumberingAfterBreak="0">
    <w:nsid w:val="34D933DC"/>
    <w:multiLevelType w:val="multilevel"/>
    <w:tmpl w:val="63F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57AAC"/>
    <w:multiLevelType w:val="hybridMultilevel"/>
    <w:tmpl w:val="06AAFF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9827A2C"/>
    <w:multiLevelType w:val="hybridMultilevel"/>
    <w:tmpl w:val="73D664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A004F37"/>
    <w:multiLevelType w:val="multilevel"/>
    <w:tmpl w:val="92507B2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4D364A13"/>
    <w:multiLevelType w:val="hybridMultilevel"/>
    <w:tmpl w:val="73C4BB08"/>
    <w:lvl w:ilvl="0" w:tplc="8D742D2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0A76CDD"/>
    <w:multiLevelType w:val="hybridMultilevel"/>
    <w:tmpl w:val="E718166C"/>
    <w:lvl w:ilvl="0" w:tplc="040C000F">
      <w:start w:val="1"/>
      <w:numFmt w:val="decimal"/>
      <w:lvlText w:val="%1."/>
      <w:lvlJc w:val="left"/>
      <w:pPr>
        <w:ind w:left="720" w:hanging="360"/>
      </w:pPr>
      <w:rPr>
        <w:rFonts w:hint="default"/>
      </w:rPr>
    </w:lvl>
    <w:lvl w:ilvl="1" w:tplc="9A40218C">
      <w:start w:val="1"/>
      <w:numFmt w:val="upperRoman"/>
      <w:lvlText w:val="%2."/>
      <w:lvlJc w:val="left"/>
      <w:pPr>
        <w:ind w:left="1800" w:hanging="72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141684C"/>
    <w:multiLevelType w:val="hybridMultilevel"/>
    <w:tmpl w:val="337C760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35B09A0"/>
    <w:multiLevelType w:val="hybridMultilevel"/>
    <w:tmpl w:val="35F43F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4481C53"/>
    <w:multiLevelType w:val="hybridMultilevel"/>
    <w:tmpl w:val="81F61A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99D29E5"/>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35" w15:restartNumberingAfterBreak="0">
    <w:nsid w:val="5B18736B"/>
    <w:multiLevelType w:val="hybridMultilevel"/>
    <w:tmpl w:val="0A164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C934373"/>
    <w:multiLevelType w:val="multilevel"/>
    <w:tmpl w:val="9FD8ADE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DF83265"/>
    <w:multiLevelType w:val="hybridMultilevel"/>
    <w:tmpl w:val="78302E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F366349"/>
    <w:multiLevelType w:val="hybridMultilevel"/>
    <w:tmpl w:val="A3383B1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F626F30"/>
    <w:multiLevelType w:val="hybridMultilevel"/>
    <w:tmpl w:val="96D4ED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F7967FB"/>
    <w:multiLevelType w:val="hybridMultilevel"/>
    <w:tmpl w:val="6AD022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3A32138"/>
    <w:multiLevelType w:val="hybridMultilevel"/>
    <w:tmpl w:val="A280858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6604923"/>
    <w:multiLevelType w:val="hybridMultilevel"/>
    <w:tmpl w:val="F4FE6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6F75A35"/>
    <w:multiLevelType w:val="hybridMultilevel"/>
    <w:tmpl w:val="78302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747524E"/>
    <w:multiLevelType w:val="hybridMultilevel"/>
    <w:tmpl w:val="6AD022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DAA6D07"/>
    <w:multiLevelType w:val="hybridMultilevel"/>
    <w:tmpl w:val="B85C1C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3DF7F30"/>
    <w:multiLevelType w:val="hybridMultilevel"/>
    <w:tmpl w:val="78302E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429077D"/>
    <w:multiLevelType w:val="hybridMultilevel"/>
    <w:tmpl w:val="DEBC8F94"/>
    <w:lvl w:ilvl="0" w:tplc="619AC4E4">
      <w:start w:val="1"/>
      <w:numFmt w:val="decimal"/>
      <w:lvlText w:val="%1."/>
      <w:lvlJc w:val="left"/>
      <w:pPr>
        <w:ind w:left="360" w:firstLine="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6351C4E"/>
    <w:multiLevelType w:val="hybridMultilevel"/>
    <w:tmpl w:val="0FE06AB0"/>
    <w:lvl w:ilvl="0" w:tplc="3D5657F4">
      <w:start w:val="1"/>
      <w:numFmt w:val="lowerLetter"/>
      <w:lvlText w:val="(%1)"/>
      <w:lvlJc w:val="left"/>
      <w:pPr>
        <w:ind w:left="4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C8ABC74">
      <w:start w:val="1"/>
      <w:numFmt w:val="lowerLetter"/>
      <w:lvlText w:val="%2"/>
      <w:lvlJc w:val="left"/>
      <w:pPr>
        <w:ind w:left="11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C82865E">
      <w:start w:val="1"/>
      <w:numFmt w:val="lowerRoman"/>
      <w:lvlText w:val="%3"/>
      <w:lvlJc w:val="left"/>
      <w:pPr>
        <w:ind w:left="18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932FFA2">
      <w:start w:val="1"/>
      <w:numFmt w:val="decimal"/>
      <w:lvlText w:val="%4"/>
      <w:lvlJc w:val="left"/>
      <w:pPr>
        <w:ind w:left="25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0F4327A">
      <w:start w:val="1"/>
      <w:numFmt w:val="lowerLetter"/>
      <w:lvlText w:val="%5"/>
      <w:lvlJc w:val="left"/>
      <w:pPr>
        <w:ind w:left="3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D4E4D36">
      <w:start w:val="1"/>
      <w:numFmt w:val="lowerRoman"/>
      <w:lvlText w:val="%6"/>
      <w:lvlJc w:val="left"/>
      <w:pPr>
        <w:ind w:left="39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DE88F58">
      <w:start w:val="1"/>
      <w:numFmt w:val="decimal"/>
      <w:lvlText w:val="%7"/>
      <w:lvlJc w:val="left"/>
      <w:pPr>
        <w:ind w:left="47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E3AE5FC">
      <w:start w:val="1"/>
      <w:numFmt w:val="lowerLetter"/>
      <w:lvlText w:val="%8"/>
      <w:lvlJc w:val="left"/>
      <w:pPr>
        <w:ind w:left="54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740B194">
      <w:start w:val="1"/>
      <w:numFmt w:val="lowerRoman"/>
      <w:lvlText w:val="%9"/>
      <w:lvlJc w:val="left"/>
      <w:pPr>
        <w:ind w:left="61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91C76E7"/>
    <w:multiLevelType w:val="multilevel"/>
    <w:tmpl w:val="180E3518"/>
    <w:lvl w:ilvl="0">
      <w:start w:val="1"/>
      <w:numFmt w:val="decimal"/>
      <w:pStyle w:val="JASAFIRST-LEVELHEADING"/>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7EE4325C"/>
    <w:multiLevelType w:val="hybridMultilevel"/>
    <w:tmpl w:val="A11898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82216561">
    <w:abstractNumId w:val="49"/>
  </w:num>
  <w:num w:numId="2" w16cid:durableId="1120606487">
    <w:abstractNumId w:val="19"/>
  </w:num>
  <w:num w:numId="3" w16cid:durableId="708191563">
    <w:abstractNumId w:val="22"/>
  </w:num>
  <w:num w:numId="4" w16cid:durableId="345637268">
    <w:abstractNumId w:val="11"/>
  </w:num>
  <w:num w:numId="5" w16cid:durableId="913397729">
    <w:abstractNumId w:val="23"/>
  </w:num>
  <w:num w:numId="6" w16cid:durableId="793522108">
    <w:abstractNumId w:val="49"/>
    <w:lvlOverride w:ilvl="0">
      <w:startOverride w:val="1"/>
    </w:lvlOverride>
  </w:num>
  <w:num w:numId="7" w16cid:durableId="88045482">
    <w:abstractNumId w:val="49"/>
    <w:lvlOverride w:ilvl="0">
      <w:startOverride w:val="1"/>
    </w:lvlOverride>
  </w:num>
  <w:num w:numId="8" w16cid:durableId="268855296">
    <w:abstractNumId w:val="19"/>
  </w:num>
  <w:num w:numId="9" w16cid:durableId="1231380292">
    <w:abstractNumId w:val="42"/>
  </w:num>
  <w:num w:numId="10" w16cid:durableId="1635335107">
    <w:abstractNumId w:val="16"/>
  </w:num>
  <w:num w:numId="11" w16cid:durableId="525144988">
    <w:abstractNumId w:val="1"/>
  </w:num>
  <w:num w:numId="12" w16cid:durableId="143088720">
    <w:abstractNumId w:val="17"/>
  </w:num>
  <w:num w:numId="13" w16cid:durableId="941303983">
    <w:abstractNumId w:val="19"/>
  </w:num>
  <w:num w:numId="14" w16cid:durableId="472262389">
    <w:abstractNumId w:val="19"/>
  </w:num>
  <w:num w:numId="15" w16cid:durableId="2106221790">
    <w:abstractNumId w:val="28"/>
  </w:num>
  <w:num w:numId="16" w16cid:durableId="561605059">
    <w:abstractNumId w:val="22"/>
    <w:lvlOverride w:ilvl="0">
      <w:startOverride w:val="1"/>
    </w:lvlOverride>
  </w:num>
  <w:num w:numId="17" w16cid:durableId="996301664">
    <w:abstractNumId w:val="22"/>
    <w:lvlOverride w:ilvl="0">
      <w:startOverride w:val="1"/>
    </w:lvlOverride>
  </w:num>
  <w:num w:numId="18" w16cid:durableId="205066840">
    <w:abstractNumId w:val="22"/>
  </w:num>
  <w:num w:numId="19" w16cid:durableId="671109518">
    <w:abstractNumId w:val="22"/>
  </w:num>
  <w:num w:numId="20" w16cid:durableId="878977268">
    <w:abstractNumId w:val="19"/>
    <w:lvlOverride w:ilvl="0">
      <w:startOverride w:val="2"/>
    </w:lvlOverride>
  </w:num>
  <w:num w:numId="21" w16cid:durableId="1580094969">
    <w:abstractNumId w:val="19"/>
    <w:lvlOverride w:ilvl="0">
      <w:startOverride w:val="1"/>
    </w:lvlOverride>
  </w:num>
  <w:num w:numId="22" w16cid:durableId="788544611">
    <w:abstractNumId w:val="41"/>
  </w:num>
  <w:num w:numId="23" w16cid:durableId="1011175951">
    <w:abstractNumId w:val="38"/>
  </w:num>
  <w:num w:numId="24" w16cid:durableId="1188837990">
    <w:abstractNumId w:val="32"/>
  </w:num>
  <w:num w:numId="25" w16cid:durableId="1957907219">
    <w:abstractNumId w:val="39"/>
  </w:num>
  <w:num w:numId="26" w16cid:durableId="2011179649">
    <w:abstractNumId w:val="19"/>
  </w:num>
  <w:num w:numId="27" w16cid:durableId="1881822485">
    <w:abstractNumId w:val="19"/>
  </w:num>
  <w:num w:numId="28" w16cid:durableId="1450197750">
    <w:abstractNumId w:val="19"/>
  </w:num>
  <w:num w:numId="29" w16cid:durableId="1577132258">
    <w:abstractNumId w:val="30"/>
  </w:num>
  <w:num w:numId="30" w16cid:durableId="108202793">
    <w:abstractNumId w:val="34"/>
  </w:num>
  <w:num w:numId="31" w16cid:durableId="1189297136">
    <w:abstractNumId w:val="19"/>
    <w:lvlOverride w:ilvl="0">
      <w:startOverride w:val="1"/>
    </w:lvlOverride>
  </w:num>
  <w:num w:numId="32" w16cid:durableId="1233003236">
    <w:abstractNumId w:val="19"/>
  </w:num>
  <w:num w:numId="33" w16cid:durableId="2097284873">
    <w:abstractNumId w:val="5"/>
  </w:num>
  <w:num w:numId="34" w16cid:durableId="378013716">
    <w:abstractNumId w:val="35"/>
  </w:num>
  <w:num w:numId="35" w16cid:durableId="1895845995">
    <w:abstractNumId w:val="19"/>
  </w:num>
  <w:num w:numId="36" w16cid:durableId="1325279353">
    <w:abstractNumId w:val="3"/>
  </w:num>
  <w:num w:numId="37" w16cid:durableId="1923179278">
    <w:abstractNumId w:val="45"/>
  </w:num>
  <w:num w:numId="38" w16cid:durableId="1495342292">
    <w:abstractNumId w:val="19"/>
  </w:num>
  <w:num w:numId="39" w16cid:durableId="1024936987">
    <w:abstractNumId w:val="19"/>
  </w:num>
  <w:num w:numId="40" w16cid:durableId="1225290871">
    <w:abstractNumId w:val="43"/>
  </w:num>
  <w:num w:numId="41" w16cid:durableId="712312487">
    <w:abstractNumId w:val="46"/>
  </w:num>
  <w:num w:numId="42" w16cid:durableId="843323719">
    <w:abstractNumId w:val="25"/>
  </w:num>
  <w:num w:numId="43" w16cid:durableId="987824721">
    <w:abstractNumId w:val="12"/>
  </w:num>
  <w:num w:numId="44" w16cid:durableId="656613960">
    <w:abstractNumId w:val="2"/>
  </w:num>
  <w:num w:numId="45" w16cid:durableId="1912159337">
    <w:abstractNumId w:val="33"/>
  </w:num>
  <w:num w:numId="46" w16cid:durableId="2031372224">
    <w:abstractNumId w:val="37"/>
  </w:num>
  <w:num w:numId="47" w16cid:durableId="713383867">
    <w:abstractNumId w:val="50"/>
  </w:num>
  <w:num w:numId="48" w16cid:durableId="642079290">
    <w:abstractNumId w:val="44"/>
  </w:num>
  <w:num w:numId="49" w16cid:durableId="1364600546">
    <w:abstractNumId w:val="40"/>
  </w:num>
  <w:num w:numId="50" w16cid:durableId="1217930492">
    <w:abstractNumId w:val="4"/>
  </w:num>
  <w:num w:numId="51" w16cid:durableId="2075001814">
    <w:abstractNumId w:val="48"/>
  </w:num>
  <w:num w:numId="52" w16cid:durableId="594677266">
    <w:abstractNumId w:val="24"/>
  </w:num>
  <w:num w:numId="53" w16cid:durableId="953170340">
    <w:abstractNumId w:val="15"/>
  </w:num>
  <w:num w:numId="54" w16cid:durableId="1736277470">
    <w:abstractNumId w:val="0"/>
  </w:num>
  <w:num w:numId="55" w16cid:durableId="1692872578">
    <w:abstractNumId w:val="27"/>
  </w:num>
  <w:num w:numId="56" w16cid:durableId="43792200">
    <w:abstractNumId w:val="47"/>
  </w:num>
  <w:num w:numId="57" w16cid:durableId="803885021">
    <w:abstractNumId w:val="20"/>
  </w:num>
  <w:num w:numId="58" w16cid:durableId="1752043847">
    <w:abstractNumId w:val="13"/>
  </w:num>
  <w:num w:numId="59" w16cid:durableId="1290087396">
    <w:abstractNumId w:val="14"/>
  </w:num>
  <w:num w:numId="60" w16cid:durableId="1122528783">
    <w:abstractNumId w:val="26"/>
  </w:num>
  <w:num w:numId="61" w16cid:durableId="925920486">
    <w:abstractNumId w:val="18"/>
  </w:num>
  <w:num w:numId="62" w16cid:durableId="1001466710">
    <w:abstractNumId w:val="29"/>
  </w:num>
  <w:num w:numId="63" w16cid:durableId="2141068992">
    <w:abstractNumId w:val="21"/>
  </w:num>
  <w:num w:numId="64" w16cid:durableId="226497022">
    <w:abstractNumId w:val="36"/>
  </w:num>
  <w:num w:numId="65" w16cid:durableId="227498206">
    <w:abstractNumId w:val="9"/>
  </w:num>
  <w:num w:numId="66" w16cid:durableId="156462867">
    <w:abstractNumId w:val="8"/>
  </w:num>
  <w:num w:numId="67" w16cid:durableId="1597059243">
    <w:abstractNumId w:val="7"/>
  </w:num>
  <w:num w:numId="68" w16cid:durableId="224417431">
    <w:abstractNumId w:val="6"/>
  </w:num>
  <w:num w:numId="69" w16cid:durableId="200674801">
    <w:abstractNumId w:val="31"/>
  </w:num>
  <w:num w:numId="70" w16cid:durableId="150021509">
    <w:abstractNumId w:val="10"/>
  </w:num>
  <w:numIdMacAtCleanup w:val="6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147"/>
    <w:rsid w:val="000008EF"/>
    <w:rsid w:val="0000168C"/>
    <w:rsid w:val="00005645"/>
    <w:rsid w:val="00007B1F"/>
    <w:rsid w:val="00007C95"/>
    <w:rsid w:val="000117C4"/>
    <w:rsid w:val="00013216"/>
    <w:rsid w:val="0001480D"/>
    <w:rsid w:val="000150A4"/>
    <w:rsid w:val="00016630"/>
    <w:rsid w:val="00020283"/>
    <w:rsid w:val="000211DE"/>
    <w:rsid w:val="00022492"/>
    <w:rsid w:val="00024C5C"/>
    <w:rsid w:val="00030C6B"/>
    <w:rsid w:val="00031BE4"/>
    <w:rsid w:val="00032B9A"/>
    <w:rsid w:val="00037139"/>
    <w:rsid w:val="00037154"/>
    <w:rsid w:val="00037BB8"/>
    <w:rsid w:val="00040FC6"/>
    <w:rsid w:val="00043565"/>
    <w:rsid w:val="000436AB"/>
    <w:rsid w:val="00043E58"/>
    <w:rsid w:val="00043FE4"/>
    <w:rsid w:val="0004419B"/>
    <w:rsid w:val="000444EB"/>
    <w:rsid w:val="00045922"/>
    <w:rsid w:val="00046F3E"/>
    <w:rsid w:val="0005072E"/>
    <w:rsid w:val="00050AC5"/>
    <w:rsid w:val="00051870"/>
    <w:rsid w:val="00051FC3"/>
    <w:rsid w:val="0005263A"/>
    <w:rsid w:val="000544C3"/>
    <w:rsid w:val="00055A0E"/>
    <w:rsid w:val="00056050"/>
    <w:rsid w:val="000626B7"/>
    <w:rsid w:val="0006295E"/>
    <w:rsid w:val="000629A2"/>
    <w:rsid w:val="000672E7"/>
    <w:rsid w:val="000721F1"/>
    <w:rsid w:val="00072D9D"/>
    <w:rsid w:val="00074946"/>
    <w:rsid w:val="0007662F"/>
    <w:rsid w:val="000772A2"/>
    <w:rsid w:val="00082DE5"/>
    <w:rsid w:val="00082F33"/>
    <w:rsid w:val="0008336E"/>
    <w:rsid w:val="00083EED"/>
    <w:rsid w:val="00084ED0"/>
    <w:rsid w:val="0008569C"/>
    <w:rsid w:val="0008740B"/>
    <w:rsid w:val="000874B7"/>
    <w:rsid w:val="0009374A"/>
    <w:rsid w:val="00093A9D"/>
    <w:rsid w:val="000948F7"/>
    <w:rsid w:val="0009705E"/>
    <w:rsid w:val="000A1A43"/>
    <w:rsid w:val="000A29DE"/>
    <w:rsid w:val="000A376F"/>
    <w:rsid w:val="000A48E4"/>
    <w:rsid w:val="000A6D0C"/>
    <w:rsid w:val="000A7363"/>
    <w:rsid w:val="000A73FB"/>
    <w:rsid w:val="000B0ACC"/>
    <w:rsid w:val="000B34FD"/>
    <w:rsid w:val="000B3590"/>
    <w:rsid w:val="000B3938"/>
    <w:rsid w:val="000B60DD"/>
    <w:rsid w:val="000C0225"/>
    <w:rsid w:val="000C1695"/>
    <w:rsid w:val="000C1A63"/>
    <w:rsid w:val="000C1D2E"/>
    <w:rsid w:val="000C2FBB"/>
    <w:rsid w:val="000C35D7"/>
    <w:rsid w:val="000C5487"/>
    <w:rsid w:val="000C5978"/>
    <w:rsid w:val="000C5B50"/>
    <w:rsid w:val="000C6DF2"/>
    <w:rsid w:val="000C6ECD"/>
    <w:rsid w:val="000D4066"/>
    <w:rsid w:val="000D67D5"/>
    <w:rsid w:val="000D7A0C"/>
    <w:rsid w:val="000D7FD9"/>
    <w:rsid w:val="000E16BB"/>
    <w:rsid w:val="000E1E2A"/>
    <w:rsid w:val="000E25CE"/>
    <w:rsid w:val="000E3649"/>
    <w:rsid w:val="000E3ECD"/>
    <w:rsid w:val="000E5D29"/>
    <w:rsid w:val="000E7936"/>
    <w:rsid w:val="000E7B41"/>
    <w:rsid w:val="000E7F5D"/>
    <w:rsid w:val="000F0618"/>
    <w:rsid w:val="000F16EB"/>
    <w:rsid w:val="000F1841"/>
    <w:rsid w:val="000F28F6"/>
    <w:rsid w:val="000F406D"/>
    <w:rsid w:val="000F4511"/>
    <w:rsid w:val="000F6A1E"/>
    <w:rsid w:val="0010083F"/>
    <w:rsid w:val="00100970"/>
    <w:rsid w:val="0010609D"/>
    <w:rsid w:val="00107DEA"/>
    <w:rsid w:val="00113065"/>
    <w:rsid w:val="00114322"/>
    <w:rsid w:val="00115CD1"/>
    <w:rsid w:val="00117449"/>
    <w:rsid w:val="00122605"/>
    <w:rsid w:val="00127387"/>
    <w:rsid w:val="00132CB0"/>
    <w:rsid w:val="001355A5"/>
    <w:rsid w:val="00137E08"/>
    <w:rsid w:val="00141795"/>
    <w:rsid w:val="00141C01"/>
    <w:rsid w:val="00142024"/>
    <w:rsid w:val="00142246"/>
    <w:rsid w:val="00142AAA"/>
    <w:rsid w:val="00143A21"/>
    <w:rsid w:val="00146AE1"/>
    <w:rsid w:val="001475B8"/>
    <w:rsid w:val="0015276D"/>
    <w:rsid w:val="00153926"/>
    <w:rsid w:val="00153D93"/>
    <w:rsid w:val="00153DBC"/>
    <w:rsid w:val="001550F8"/>
    <w:rsid w:val="00157A72"/>
    <w:rsid w:val="00157D83"/>
    <w:rsid w:val="00160375"/>
    <w:rsid w:val="00160B60"/>
    <w:rsid w:val="00160CF2"/>
    <w:rsid w:val="00162AF0"/>
    <w:rsid w:val="00163CDA"/>
    <w:rsid w:val="00166FDF"/>
    <w:rsid w:val="001727C4"/>
    <w:rsid w:val="0018008D"/>
    <w:rsid w:val="001801D6"/>
    <w:rsid w:val="00180FC3"/>
    <w:rsid w:val="0018202F"/>
    <w:rsid w:val="00190935"/>
    <w:rsid w:val="00190FC0"/>
    <w:rsid w:val="00191799"/>
    <w:rsid w:val="001919B6"/>
    <w:rsid w:val="00191E4A"/>
    <w:rsid w:val="00192DD5"/>
    <w:rsid w:val="0019347B"/>
    <w:rsid w:val="001952CE"/>
    <w:rsid w:val="001954A9"/>
    <w:rsid w:val="00196027"/>
    <w:rsid w:val="00196BD8"/>
    <w:rsid w:val="00197F08"/>
    <w:rsid w:val="001A164F"/>
    <w:rsid w:val="001A1AC5"/>
    <w:rsid w:val="001A1F85"/>
    <w:rsid w:val="001A2334"/>
    <w:rsid w:val="001A514F"/>
    <w:rsid w:val="001A7B15"/>
    <w:rsid w:val="001B1816"/>
    <w:rsid w:val="001B3D21"/>
    <w:rsid w:val="001B58BC"/>
    <w:rsid w:val="001B66C2"/>
    <w:rsid w:val="001B7D66"/>
    <w:rsid w:val="001C03A1"/>
    <w:rsid w:val="001C0F06"/>
    <w:rsid w:val="001C43A2"/>
    <w:rsid w:val="001C4EDF"/>
    <w:rsid w:val="001C512F"/>
    <w:rsid w:val="001D0A0C"/>
    <w:rsid w:val="001D1470"/>
    <w:rsid w:val="001D18A0"/>
    <w:rsid w:val="001D2594"/>
    <w:rsid w:val="001D3F30"/>
    <w:rsid w:val="001D6EE6"/>
    <w:rsid w:val="001E0D69"/>
    <w:rsid w:val="001E2524"/>
    <w:rsid w:val="001E2C95"/>
    <w:rsid w:val="001E4F8B"/>
    <w:rsid w:val="001E5115"/>
    <w:rsid w:val="001E61AD"/>
    <w:rsid w:val="001E76D9"/>
    <w:rsid w:val="001F1964"/>
    <w:rsid w:val="001F1FE2"/>
    <w:rsid w:val="001F2E73"/>
    <w:rsid w:val="001F4D2A"/>
    <w:rsid w:val="001F6510"/>
    <w:rsid w:val="00201C45"/>
    <w:rsid w:val="00202A16"/>
    <w:rsid w:val="002051C3"/>
    <w:rsid w:val="00207604"/>
    <w:rsid w:val="0021114D"/>
    <w:rsid w:val="002119E4"/>
    <w:rsid w:val="00213762"/>
    <w:rsid w:val="00214697"/>
    <w:rsid w:val="00216993"/>
    <w:rsid w:val="00217037"/>
    <w:rsid w:val="00220887"/>
    <w:rsid w:val="00222799"/>
    <w:rsid w:val="002230C1"/>
    <w:rsid w:val="00223E16"/>
    <w:rsid w:val="00224E04"/>
    <w:rsid w:val="002265B0"/>
    <w:rsid w:val="00226822"/>
    <w:rsid w:val="002272C1"/>
    <w:rsid w:val="0023043E"/>
    <w:rsid w:val="00231E05"/>
    <w:rsid w:val="002325C2"/>
    <w:rsid w:val="00233470"/>
    <w:rsid w:val="002339EA"/>
    <w:rsid w:val="0023632C"/>
    <w:rsid w:val="00236A4F"/>
    <w:rsid w:val="00236B43"/>
    <w:rsid w:val="002412AD"/>
    <w:rsid w:val="00241B4B"/>
    <w:rsid w:val="0024400E"/>
    <w:rsid w:val="00244347"/>
    <w:rsid w:val="00245B52"/>
    <w:rsid w:val="00247C16"/>
    <w:rsid w:val="00247D5F"/>
    <w:rsid w:val="00247F90"/>
    <w:rsid w:val="002500C2"/>
    <w:rsid w:val="0025160D"/>
    <w:rsid w:val="00251BEE"/>
    <w:rsid w:val="00252E71"/>
    <w:rsid w:val="00253187"/>
    <w:rsid w:val="00253659"/>
    <w:rsid w:val="002551F6"/>
    <w:rsid w:val="00262116"/>
    <w:rsid w:val="00262D6F"/>
    <w:rsid w:val="00263FA5"/>
    <w:rsid w:val="00270D5A"/>
    <w:rsid w:val="00270FA5"/>
    <w:rsid w:val="0027218D"/>
    <w:rsid w:val="00273A6B"/>
    <w:rsid w:val="0027405C"/>
    <w:rsid w:val="00274166"/>
    <w:rsid w:val="00275CAC"/>
    <w:rsid w:val="0027617B"/>
    <w:rsid w:val="002772C9"/>
    <w:rsid w:val="00280051"/>
    <w:rsid w:val="00281094"/>
    <w:rsid w:val="00281BF0"/>
    <w:rsid w:val="0028627C"/>
    <w:rsid w:val="00286673"/>
    <w:rsid w:val="00286A81"/>
    <w:rsid w:val="00287340"/>
    <w:rsid w:val="002877F7"/>
    <w:rsid w:val="00287D23"/>
    <w:rsid w:val="00292467"/>
    <w:rsid w:val="00294F58"/>
    <w:rsid w:val="00296EBC"/>
    <w:rsid w:val="00297017"/>
    <w:rsid w:val="00297FCD"/>
    <w:rsid w:val="002A3481"/>
    <w:rsid w:val="002A3A7C"/>
    <w:rsid w:val="002A3E95"/>
    <w:rsid w:val="002A410F"/>
    <w:rsid w:val="002A4A4D"/>
    <w:rsid w:val="002A4D40"/>
    <w:rsid w:val="002B35B9"/>
    <w:rsid w:val="002B3D98"/>
    <w:rsid w:val="002B441B"/>
    <w:rsid w:val="002B65E9"/>
    <w:rsid w:val="002B72BB"/>
    <w:rsid w:val="002C124A"/>
    <w:rsid w:val="002C2421"/>
    <w:rsid w:val="002C2492"/>
    <w:rsid w:val="002C744A"/>
    <w:rsid w:val="002C7FB3"/>
    <w:rsid w:val="002D1FBB"/>
    <w:rsid w:val="002D3361"/>
    <w:rsid w:val="002D52E9"/>
    <w:rsid w:val="002D618D"/>
    <w:rsid w:val="002D629A"/>
    <w:rsid w:val="002D7E66"/>
    <w:rsid w:val="002E04C9"/>
    <w:rsid w:val="002E11BF"/>
    <w:rsid w:val="002E18D6"/>
    <w:rsid w:val="002E414B"/>
    <w:rsid w:val="002F1E81"/>
    <w:rsid w:val="002F343C"/>
    <w:rsid w:val="002F34BB"/>
    <w:rsid w:val="002F39BF"/>
    <w:rsid w:val="002F50F4"/>
    <w:rsid w:val="00300EC4"/>
    <w:rsid w:val="00303D07"/>
    <w:rsid w:val="003046A8"/>
    <w:rsid w:val="00304C44"/>
    <w:rsid w:val="00304F9A"/>
    <w:rsid w:val="00305FC9"/>
    <w:rsid w:val="003071E4"/>
    <w:rsid w:val="00307ACE"/>
    <w:rsid w:val="003113FC"/>
    <w:rsid w:val="003114C8"/>
    <w:rsid w:val="00312871"/>
    <w:rsid w:val="003128B9"/>
    <w:rsid w:val="00312A04"/>
    <w:rsid w:val="00316307"/>
    <w:rsid w:val="00316BA8"/>
    <w:rsid w:val="00317DFF"/>
    <w:rsid w:val="0032076F"/>
    <w:rsid w:val="003213C4"/>
    <w:rsid w:val="0032270D"/>
    <w:rsid w:val="0032528B"/>
    <w:rsid w:val="00330922"/>
    <w:rsid w:val="00330E1E"/>
    <w:rsid w:val="00334E91"/>
    <w:rsid w:val="00334F6C"/>
    <w:rsid w:val="00336D0E"/>
    <w:rsid w:val="003376DD"/>
    <w:rsid w:val="00337B73"/>
    <w:rsid w:val="0034190F"/>
    <w:rsid w:val="00341C9A"/>
    <w:rsid w:val="00341EC0"/>
    <w:rsid w:val="0034206A"/>
    <w:rsid w:val="003445F0"/>
    <w:rsid w:val="003446CE"/>
    <w:rsid w:val="00344D83"/>
    <w:rsid w:val="00350AB0"/>
    <w:rsid w:val="00351054"/>
    <w:rsid w:val="003514E1"/>
    <w:rsid w:val="00356E44"/>
    <w:rsid w:val="003575D7"/>
    <w:rsid w:val="0036040E"/>
    <w:rsid w:val="003646FD"/>
    <w:rsid w:val="0036484A"/>
    <w:rsid w:val="00364DA4"/>
    <w:rsid w:val="00364FAA"/>
    <w:rsid w:val="00365262"/>
    <w:rsid w:val="00365B1B"/>
    <w:rsid w:val="00365B49"/>
    <w:rsid w:val="0036628C"/>
    <w:rsid w:val="0036768A"/>
    <w:rsid w:val="003679D7"/>
    <w:rsid w:val="00367B20"/>
    <w:rsid w:val="0037069A"/>
    <w:rsid w:val="00371E22"/>
    <w:rsid w:val="0037202F"/>
    <w:rsid w:val="003730CF"/>
    <w:rsid w:val="00374353"/>
    <w:rsid w:val="00375B09"/>
    <w:rsid w:val="003768C7"/>
    <w:rsid w:val="00376D0B"/>
    <w:rsid w:val="00382F7B"/>
    <w:rsid w:val="00384599"/>
    <w:rsid w:val="00384688"/>
    <w:rsid w:val="00384884"/>
    <w:rsid w:val="003872D9"/>
    <w:rsid w:val="0038735B"/>
    <w:rsid w:val="0039039F"/>
    <w:rsid w:val="00391315"/>
    <w:rsid w:val="003915C3"/>
    <w:rsid w:val="00392779"/>
    <w:rsid w:val="00394BEC"/>
    <w:rsid w:val="00395C0C"/>
    <w:rsid w:val="003977E3"/>
    <w:rsid w:val="003A10C0"/>
    <w:rsid w:val="003A2EF7"/>
    <w:rsid w:val="003A5394"/>
    <w:rsid w:val="003B01F0"/>
    <w:rsid w:val="003B1ABA"/>
    <w:rsid w:val="003B25AE"/>
    <w:rsid w:val="003B35B5"/>
    <w:rsid w:val="003B4B6F"/>
    <w:rsid w:val="003B6CFF"/>
    <w:rsid w:val="003C0787"/>
    <w:rsid w:val="003C4528"/>
    <w:rsid w:val="003C4DA9"/>
    <w:rsid w:val="003C4E92"/>
    <w:rsid w:val="003C62E9"/>
    <w:rsid w:val="003C724F"/>
    <w:rsid w:val="003C7257"/>
    <w:rsid w:val="003D1BFF"/>
    <w:rsid w:val="003D309D"/>
    <w:rsid w:val="003D505F"/>
    <w:rsid w:val="003D54BF"/>
    <w:rsid w:val="003D640C"/>
    <w:rsid w:val="003D64B7"/>
    <w:rsid w:val="003D6695"/>
    <w:rsid w:val="003D7BDE"/>
    <w:rsid w:val="003E2693"/>
    <w:rsid w:val="003E2EE2"/>
    <w:rsid w:val="003E566E"/>
    <w:rsid w:val="003E617B"/>
    <w:rsid w:val="003E7957"/>
    <w:rsid w:val="003F0CEE"/>
    <w:rsid w:val="003F1EAD"/>
    <w:rsid w:val="003F262B"/>
    <w:rsid w:val="003F2960"/>
    <w:rsid w:val="003F3E32"/>
    <w:rsid w:val="003F6EAD"/>
    <w:rsid w:val="003F6F39"/>
    <w:rsid w:val="003F7C5C"/>
    <w:rsid w:val="00400CE4"/>
    <w:rsid w:val="00402EE0"/>
    <w:rsid w:val="00402FDD"/>
    <w:rsid w:val="00403906"/>
    <w:rsid w:val="00404402"/>
    <w:rsid w:val="0040472C"/>
    <w:rsid w:val="00404C32"/>
    <w:rsid w:val="0040515C"/>
    <w:rsid w:val="004068AA"/>
    <w:rsid w:val="0040762B"/>
    <w:rsid w:val="0041034B"/>
    <w:rsid w:val="00411480"/>
    <w:rsid w:val="00413574"/>
    <w:rsid w:val="00414536"/>
    <w:rsid w:val="0041455B"/>
    <w:rsid w:val="0042197E"/>
    <w:rsid w:val="00421A07"/>
    <w:rsid w:val="00426C6A"/>
    <w:rsid w:val="00426E30"/>
    <w:rsid w:val="0042704C"/>
    <w:rsid w:val="00431029"/>
    <w:rsid w:val="004315B2"/>
    <w:rsid w:val="00431AB8"/>
    <w:rsid w:val="00431D02"/>
    <w:rsid w:val="00433938"/>
    <w:rsid w:val="00435344"/>
    <w:rsid w:val="0043676E"/>
    <w:rsid w:val="004370B6"/>
    <w:rsid w:val="00442F6F"/>
    <w:rsid w:val="00444EB8"/>
    <w:rsid w:val="00445EFA"/>
    <w:rsid w:val="004517F5"/>
    <w:rsid w:val="00452403"/>
    <w:rsid w:val="00453693"/>
    <w:rsid w:val="00454980"/>
    <w:rsid w:val="004620F6"/>
    <w:rsid w:val="00464354"/>
    <w:rsid w:val="00464B0A"/>
    <w:rsid w:val="00465A7E"/>
    <w:rsid w:val="00466047"/>
    <w:rsid w:val="004660EE"/>
    <w:rsid w:val="004673FD"/>
    <w:rsid w:val="00470756"/>
    <w:rsid w:val="00470883"/>
    <w:rsid w:val="00470DA9"/>
    <w:rsid w:val="00471E62"/>
    <w:rsid w:val="004720FC"/>
    <w:rsid w:val="00474048"/>
    <w:rsid w:val="004741A1"/>
    <w:rsid w:val="00474279"/>
    <w:rsid w:val="004761EF"/>
    <w:rsid w:val="0047747C"/>
    <w:rsid w:val="00481A45"/>
    <w:rsid w:val="00483BEC"/>
    <w:rsid w:val="00485076"/>
    <w:rsid w:val="00485D6F"/>
    <w:rsid w:val="00490C33"/>
    <w:rsid w:val="00490CE8"/>
    <w:rsid w:val="00490ED9"/>
    <w:rsid w:val="00491BE4"/>
    <w:rsid w:val="00492B57"/>
    <w:rsid w:val="0049489D"/>
    <w:rsid w:val="00496D33"/>
    <w:rsid w:val="004A0333"/>
    <w:rsid w:val="004A0BE2"/>
    <w:rsid w:val="004A2C6B"/>
    <w:rsid w:val="004A3C03"/>
    <w:rsid w:val="004A40AD"/>
    <w:rsid w:val="004A45E7"/>
    <w:rsid w:val="004A5C1B"/>
    <w:rsid w:val="004A7C53"/>
    <w:rsid w:val="004A7FE8"/>
    <w:rsid w:val="004B1782"/>
    <w:rsid w:val="004B210D"/>
    <w:rsid w:val="004B28CC"/>
    <w:rsid w:val="004B2CEF"/>
    <w:rsid w:val="004B2DEA"/>
    <w:rsid w:val="004B5051"/>
    <w:rsid w:val="004B5826"/>
    <w:rsid w:val="004B6F75"/>
    <w:rsid w:val="004C0268"/>
    <w:rsid w:val="004C1004"/>
    <w:rsid w:val="004C336B"/>
    <w:rsid w:val="004C375E"/>
    <w:rsid w:val="004C4CB7"/>
    <w:rsid w:val="004C741C"/>
    <w:rsid w:val="004D17C2"/>
    <w:rsid w:val="004D1F73"/>
    <w:rsid w:val="004D3A02"/>
    <w:rsid w:val="004D46C9"/>
    <w:rsid w:val="004D5716"/>
    <w:rsid w:val="004D67F8"/>
    <w:rsid w:val="004D6F42"/>
    <w:rsid w:val="004D7A50"/>
    <w:rsid w:val="004E0F8D"/>
    <w:rsid w:val="004E27CA"/>
    <w:rsid w:val="004E3253"/>
    <w:rsid w:val="004E3F87"/>
    <w:rsid w:val="004E59BC"/>
    <w:rsid w:val="004E66C3"/>
    <w:rsid w:val="004E6DE6"/>
    <w:rsid w:val="004F19AF"/>
    <w:rsid w:val="004F27D6"/>
    <w:rsid w:val="004F2844"/>
    <w:rsid w:val="004F52B8"/>
    <w:rsid w:val="004F5D06"/>
    <w:rsid w:val="00500C3D"/>
    <w:rsid w:val="005012E9"/>
    <w:rsid w:val="0050265D"/>
    <w:rsid w:val="00503FCB"/>
    <w:rsid w:val="0050565B"/>
    <w:rsid w:val="005061AD"/>
    <w:rsid w:val="005067CA"/>
    <w:rsid w:val="00506FFC"/>
    <w:rsid w:val="00507F8F"/>
    <w:rsid w:val="0051132B"/>
    <w:rsid w:val="00514BED"/>
    <w:rsid w:val="00514FE1"/>
    <w:rsid w:val="005163F4"/>
    <w:rsid w:val="005203DB"/>
    <w:rsid w:val="00521093"/>
    <w:rsid w:val="00521F96"/>
    <w:rsid w:val="005263EA"/>
    <w:rsid w:val="00526458"/>
    <w:rsid w:val="0052674A"/>
    <w:rsid w:val="00526A56"/>
    <w:rsid w:val="00527542"/>
    <w:rsid w:val="00531346"/>
    <w:rsid w:val="0053191C"/>
    <w:rsid w:val="00532038"/>
    <w:rsid w:val="0053501D"/>
    <w:rsid w:val="00535DDA"/>
    <w:rsid w:val="0053721A"/>
    <w:rsid w:val="00540977"/>
    <w:rsid w:val="0054158E"/>
    <w:rsid w:val="005423B1"/>
    <w:rsid w:val="00544EE0"/>
    <w:rsid w:val="00545BB8"/>
    <w:rsid w:val="00547788"/>
    <w:rsid w:val="00550478"/>
    <w:rsid w:val="00552F87"/>
    <w:rsid w:val="00553141"/>
    <w:rsid w:val="00556D6D"/>
    <w:rsid w:val="00561EED"/>
    <w:rsid w:val="00563233"/>
    <w:rsid w:val="00564835"/>
    <w:rsid w:val="00566050"/>
    <w:rsid w:val="00566B6D"/>
    <w:rsid w:val="00566DE0"/>
    <w:rsid w:val="005732E2"/>
    <w:rsid w:val="00574010"/>
    <w:rsid w:val="00574DFA"/>
    <w:rsid w:val="00575BA2"/>
    <w:rsid w:val="00582F05"/>
    <w:rsid w:val="0058634B"/>
    <w:rsid w:val="005873BE"/>
    <w:rsid w:val="005904B7"/>
    <w:rsid w:val="005948E4"/>
    <w:rsid w:val="005959A3"/>
    <w:rsid w:val="005976AB"/>
    <w:rsid w:val="005A24D9"/>
    <w:rsid w:val="005A2578"/>
    <w:rsid w:val="005A2FBF"/>
    <w:rsid w:val="005A3E0E"/>
    <w:rsid w:val="005A55A2"/>
    <w:rsid w:val="005A5BC9"/>
    <w:rsid w:val="005B25A7"/>
    <w:rsid w:val="005B28A0"/>
    <w:rsid w:val="005B4EDA"/>
    <w:rsid w:val="005B569B"/>
    <w:rsid w:val="005B6EFF"/>
    <w:rsid w:val="005B7F27"/>
    <w:rsid w:val="005C3286"/>
    <w:rsid w:val="005C33B6"/>
    <w:rsid w:val="005C43C7"/>
    <w:rsid w:val="005C6F94"/>
    <w:rsid w:val="005C7C4F"/>
    <w:rsid w:val="005D2907"/>
    <w:rsid w:val="005D314C"/>
    <w:rsid w:val="005D485F"/>
    <w:rsid w:val="005D6887"/>
    <w:rsid w:val="005D6DDD"/>
    <w:rsid w:val="005D6ED8"/>
    <w:rsid w:val="005D76B1"/>
    <w:rsid w:val="005D7A69"/>
    <w:rsid w:val="005E279D"/>
    <w:rsid w:val="005E2BD7"/>
    <w:rsid w:val="005E442C"/>
    <w:rsid w:val="005E5E70"/>
    <w:rsid w:val="005E6221"/>
    <w:rsid w:val="005F0117"/>
    <w:rsid w:val="005F092F"/>
    <w:rsid w:val="005F238B"/>
    <w:rsid w:val="005F241C"/>
    <w:rsid w:val="005F248B"/>
    <w:rsid w:val="005F296C"/>
    <w:rsid w:val="005F42C4"/>
    <w:rsid w:val="005F69E1"/>
    <w:rsid w:val="00603734"/>
    <w:rsid w:val="00603C57"/>
    <w:rsid w:val="0060421A"/>
    <w:rsid w:val="00604496"/>
    <w:rsid w:val="00604E6D"/>
    <w:rsid w:val="006053A9"/>
    <w:rsid w:val="00606DA8"/>
    <w:rsid w:val="00611336"/>
    <w:rsid w:val="00613427"/>
    <w:rsid w:val="006143BC"/>
    <w:rsid w:val="00615119"/>
    <w:rsid w:val="006153C5"/>
    <w:rsid w:val="00615BF4"/>
    <w:rsid w:val="00621AA3"/>
    <w:rsid w:val="00621CB2"/>
    <w:rsid w:val="006224CF"/>
    <w:rsid w:val="00623B4F"/>
    <w:rsid w:val="00624678"/>
    <w:rsid w:val="00625E5D"/>
    <w:rsid w:val="006264CC"/>
    <w:rsid w:val="00630BDE"/>
    <w:rsid w:val="00631536"/>
    <w:rsid w:val="00631DD6"/>
    <w:rsid w:val="00631FF0"/>
    <w:rsid w:val="00640B4D"/>
    <w:rsid w:val="0064423B"/>
    <w:rsid w:val="006453FB"/>
    <w:rsid w:val="0064587C"/>
    <w:rsid w:val="006522F0"/>
    <w:rsid w:val="00653992"/>
    <w:rsid w:val="00653E85"/>
    <w:rsid w:val="00654B32"/>
    <w:rsid w:val="0065530B"/>
    <w:rsid w:val="006562E9"/>
    <w:rsid w:val="00657D3B"/>
    <w:rsid w:val="0066325E"/>
    <w:rsid w:val="006636ED"/>
    <w:rsid w:val="00663FB2"/>
    <w:rsid w:val="00665926"/>
    <w:rsid w:val="006663E4"/>
    <w:rsid w:val="00667EC8"/>
    <w:rsid w:val="00671430"/>
    <w:rsid w:val="00672DBD"/>
    <w:rsid w:val="00674079"/>
    <w:rsid w:val="006749EC"/>
    <w:rsid w:val="00675ECA"/>
    <w:rsid w:val="00677562"/>
    <w:rsid w:val="0068380B"/>
    <w:rsid w:val="00684AB3"/>
    <w:rsid w:val="00686078"/>
    <w:rsid w:val="0068616E"/>
    <w:rsid w:val="006869A3"/>
    <w:rsid w:val="00691C81"/>
    <w:rsid w:val="006925D8"/>
    <w:rsid w:val="00697250"/>
    <w:rsid w:val="00697678"/>
    <w:rsid w:val="006A20F2"/>
    <w:rsid w:val="006A2A57"/>
    <w:rsid w:val="006A6750"/>
    <w:rsid w:val="006A706B"/>
    <w:rsid w:val="006A73E7"/>
    <w:rsid w:val="006A750D"/>
    <w:rsid w:val="006A78AE"/>
    <w:rsid w:val="006B2E4B"/>
    <w:rsid w:val="006B3427"/>
    <w:rsid w:val="006B3D56"/>
    <w:rsid w:val="006B4B09"/>
    <w:rsid w:val="006B5B63"/>
    <w:rsid w:val="006B76D7"/>
    <w:rsid w:val="006B7784"/>
    <w:rsid w:val="006C0CEF"/>
    <w:rsid w:val="006C136E"/>
    <w:rsid w:val="006C23E0"/>
    <w:rsid w:val="006C3909"/>
    <w:rsid w:val="006C3B27"/>
    <w:rsid w:val="006C4F9A"/>
    <w:rsid w:val="006C56D7"/>
    <w:rsid w:val="006C5864"/>
    <w:rsid w:val="006C5B2E"/>
    <w:rsid w:val="006C5DBB"/>
    <w:rsid w:val="006D16E8"/>
    <w:rsid w:val="006D1A62"/>
    <w:rsid w:val="006D1E4E"/>
    <w:rsid w:val="006D4DEB"/>
    <w:rsid w:val="006D4EBF"/>
    <w:rsid w:val="006E3A92"/>
    <w:rsid w:val="006E7E8F"/>
    <w:rsid w:val="006F124D"/>
    <w:rsid w:val="006F129B"/>
    <w:rsid w:val="006F215E"/>
    <w:rsid w:val="006F5984"/>
    <w:rsid w:val="006F7922"/>
    <w:rsid w:val="00701B88"/>
    <w:rsid w:val="00704F06"/>
    <w:rsid w:val="0070514D"/>
    <w:rsid w:val="00706913"/>
    <w:rsid w:val="0070696A"/>
    <w:rsid w:val="00706C2A"/>
    <w:rsid w:val="007146F2"/>
    <w:rsid w:val="00714E03"/>
    <w:rsid w:val="00715385"/>
    <w:rsid w:val="00715EEE"/>
    <w:rsid w:val="0071647A"/>
    <w:rsid w:val="007177C7"/>
    <w:rsid w:val="007203F6"/>
    <w:rsid w:val="00721382"/>
    <w:rsid w:val="00721802"/>
    <w:rsid w:val="007220B9"/>
    <w:rsid w:val="00724E81"/>
    <w:rsid w:val="00725F42"/>
    <w:rsid w:val="007277C0"/>
    <w:rsid w:val="00727AFA"/>
    <w:rsid w:val="00727D3C"/>
    <w:rsid w:val="00730A95"/>
    <w:rsid w:val="00732DA8"/>
    <w:rsid w:val="00734308"/>
    <w:rsid w:val="00735D04"/>
    <w:rsid w:val="00735D3C"/>
    <w:rsid w:val="00742497"/>
    <w:rsid w:val="0074297D"/>
    <w:rsid w:val="00743C95"/>
    <w:rsid w:val="00746097"/>
    <w:rsid w:val="00746A5F"/>
    <w:rsid w:val="007512C9"/>
    <w:rsid w:val="00756323"/>
    <w:rsid w:val="007575F1"/>
    <w:rsid w:val="007604F9"/>
    <w:rsid w:val="007611BF"/>
    <w:rsid w:val="00761D6B"/>
    <w:rsid w:val="00763AE5"/>
    <w:rsid w:val="00765291"/>
    <w:rsid w:val="00765A5E"/>
    <w:rsid w:val="007663A5"/>
    <w:rsid w:val="00770355"/>
    <w:rsid w:val="00772F62"/>
    <w:rsid w:val="00776916"/>
    <w:rsid w:val="00776B69"/>
    <w:rsid w:val="00776F4B"/>
    <w:rsid w:val="007776D5"/>
    <w:rsid w:val="00777DF5"/>
    <w:rsid w:val="00777F53"/>
    <w:rsid w:val="00780334"/>
    <w:rsid w:val="007826BE"/>
    <w:rsid w:val="00783609"/>
    <w:rsid w:val="00791131"/>
    <w:rsid w:val="00791AB9"/>
    <w:rsid w:val="00791C6C"/>
    <w:rsid w:val="00792C5F"/>
    <w:rsid w:val="007948B2"/>
    <w:rsid w:val="00794976"/>
    <w:rsid w:val="00795055"/>
    <w:rsid w:val="00795304"/>
    <w:rsid w:val="00795395"/>
    <w:rsid w:val="00795C25"/>
    <w:rsid w:val="00795F9C"/>
    <w:rsid w:val="007960DD"/>
    <w:rsid w:val="00796235"/>
    <w:rsid w:val="00797F6C"/>
    <w:rsid w:val="007A3258"/>
    <w:rsid w:val="007A33BB"/>
    <w:rsid w:val="007A5C71"/>
    <w:rsid w:val="007A6D98"/>
    <w:rsid w:val="007A7E74"/>
    <w:rsid w:val="007B00FF"/>
    <w:rsid w:val="007B07DD"/>
    <w:rsid w:val="007B1AE5"/>
    <w:rsid w:val="007B3B1F"/>
    <w:rsid w:val="007B50F0"/>
    <w:rsid w:val="007C3E45"/>
    <w:rsid w:val="007C498C"/>
    <w:rsid w:val="007C5703"/>
    <w:rsid w:val="007C6F7B"/>
    <w:rsid w:val="007D008F"/>
    <w:rsid w:val="007D0405"/>
    <w:rsid w:val="007D1465"/>
    <w:rsid w:val="007D1AB3"/>
    <w:rsid w:val="007D2133"/>
    <w:rsid w:val="007D3F64"/>
    <w:rsid w:val="007D5C82"/>
    <w:rsid w:val="007D7DE3"/>
    <w:rsid w:val="007E0F67"/>
    <w:rsid w:val="007E1B7E"/>
    <w:rsid w:val="007E56C3"/>
    <w:rsid w:val="007E7C0F"/>
    <w:rsid w:val="007F1159"/>
    <w:rsid w:val="007F468A"/>
    <w:rsid w:val="007F48A6"/>
    <w:rsid w:val="007F6690"/>
    <w:rsid w:val="007F6E6B"/>
    <w:rsid w:val="00802A7B"/>
    <w:rsid w:val="008037AA"/>
    <w:rsid w:val="008048DE"/>
    <w:rsid w:val="00805BFF"/>
    <w:rsid w:val="00805E9E"/>
    <w:rsid w:val="00810AB8"/>
    <w:rsid w:val="00813809"/>
    <w:rsid w:val="00814124"/>
    <w:rsid w:val="00814958"/>
    <w:rsid w:val="00816131"/>
    <w:rsid w:val="00816254"/>
    <w:rsid w:val="00816E16"/>
    <w:rsid w:val="00816E5F"/>
    <w:rsid w:val="008205DE"/>
    <w:rsid w:val="00822AC3"/>
    <w:rsid w:val="0082408E"/>
    <w:rsid w:val="00825520"/>
    <w:rsid w:val="00825EBB"/>
    <w:rsid w:val="00825F62"/>
    <w:rsid w:val="008319C0"/>
    <w:rsid w:val="008347DB"/>
    <w:rsid w:val="00836B22"/>
    <w:rsid w:val="00837BD1"/>
    <w:rsid w:val="00840B75"/>
    <w:rsid w:val="008427C2"/>
    <w:rsid w:val="00844CC8"/>
    <w:rsid w:val="00845633"/>
    <w:rsid w:val="008463D8"/>
    <w:rsid w:val="00847273"/>
    <w:rsid w:val="00850936"/>
    <w:rsid w:val="00851AA7"/>
    <w:rsid w:val="008524D9"/>
    <w:rsid w:val="00852A1B"/>
    <w:rsid w:val="00853339"/>
    <w:rsid w:val="00854E3C"/>
    <w:rsid w:val="00854FE2"/>
    <w:rsid w:val="00855495"/>
    <w:rsid w:val="00857815"/>
    <w:rsid w:val="00860B43"/>
    <w:rsid w:val="00860E46"/>
    <w:rsid w:val="00861600"/>
    <w:rsid w:val="008628C1"/>
    <w:rsid w:val="00862C1B"/>
    <w:rsid w:val="00864180"/>
    <w:rsid w:val="00865640"/>
    <w:rsid w:val="008656C1"/>
    <w:rsid w:val="00866352"/>
    <w:rsid w:val="008702E5"/>
    <w:rsid w:val="00871221"/>
    <w:rsid w:val="00871511"/>
    <w:rsid w:val="008740FA"/>
    <w:rsid w:val="008742A3"/>
    <w:rsid w:val="008760F8"/>
    <w:rsid w:val="008768AC"/>
    <w:rsid w:val="00881004"/>
    <w:rsid w:val="00884FDE"/>
    <w:rsid w:val="0088597B"/>
    <w:rsid w:val="00885B30"/>
    <w:rsid w:val="00886DC7"/>
    <w:rsid w:val="008871FE"/>
    <w:rsid w:val="00887DA3"/>
    <w:rsid w:val="0089111E"/>
    <w:rsid w:val="00891AF3"/>
    <w:rsid w:val="00891B98"/>
    <w:rsid w:val="00892065"/>
    <w:rsid w:val="0089301B"/>
    <w:rsid w:val="0089318D"/>
    <w:rsid w:val="00893D54"/>
    <w:rsid w:val="008948FF"/>
    <w:rsid w:val="00894DED"/>
    <w:rsid w:val="00895159"/>
    <w:rsid w:val="00895C09"/>
    <w:rsid w:val="00897D9C"/>
    <w:rsid w:val="008A223F"/>
    <w:rsid w:val="008A3F3B"/>
    <w:rsid w:val="008A45D3"/>
    <w:rsid w:val="008A5B8C"/>
    <w:rsid w:val="008A6B7F"/>
    <w:rsid w:val="008A6E82"/>
    <w:rsid w:val="008B2241"/>
    <w:rsid w:val="008B43A1"/>
    <w:rsid w:val="008B7065"/>
    <w:rsid w:val="008B70A8"/>
    <w:rsid w:val="008C5160"/>
    <w:rsid w:val="008C548F"/>
    <w:rsid w:val="008C62D8"/>
    <w:rsid w:val="008D1454"/>
    <w:rsid w:val="008D2B29"/>
    <w:rsid w:val="008D31CD"/>
    <w:rsid w:val="008D4E15"/>
    <w:rsid w:val="008D4F61"/>
    <w:rsid w:val="008D5096"/>
    <w:rsid w:val="008D7631"/>
    <w:rsid w:val="008E1C78"/>
    <w:rsid w:val="008E1CFF"/>
    <w:rsid w:val="008E2216"/>
    <w:rsid w:val="008E2BC0"/>
    <w:rsid w:val="008E3EAA"/>
    <w:rsid w:val="008E4CBD"/>
    <w:rsid w:val="008E62F0"/>
    <w:rsid w:val="008E7904"/>
    <w:rsid w:val="008F0AD9"/>
    <w:rsid w:val="008F2F64"/>
    <w:rsid w:val="008F341A"/>
    <w:rsid w:val="008F58AC"/>
    <w:rsid w:val="008F653E"/>
    <w:rsid w:val="008F7268"/>
    <w:rsid w:val="00900BFD"/>
    <w:rsid w:val="009015B0"/>
    <w:rsid w:val="00904200"/>
    <w:rsid w:val="00904565"/>
    <w:rsid w:val="0090519E"/>
    <w:rsid w:val="00907053"/>
    <w:rsid w:val="00907970"/>
    <w:rsid w:val="00910C09"/>
    <w:rsid w:val="00910CD9"/>
    <w:rsid w:val="00911042"/>
    <w:rsid w:val="0091153C"/>
    <w:rsid w:val="00911BD2"/>
    <w:rsid w:val="009125BC"/>
    <w:rsid w:val="00914CFC"/>
    <w:rsid w:val="00914D74"/>
    <w:rsid w:val="00914ED6"/>
    <w:rsid w:val="00915462"/>
    <w:rsid w:val="00916158"/>
    <w:rsid w:val="009172B6"/>
    <w:rsid w:val="009206D6"/>
    <w:rsid w:val="00923174"/>
    <w:rsid w:val="009234CA"/>
    <w:rsid w:val="009244AC"/>
    <w:rsid w:val="0092456D"/>
    <w:rsid w:val="00924F80"/>
    <w:rsid w:val="009259C2"/>
    <w:rsid w:val="00925CCB"/>
    <w:rsid w:val="00926AE1"/>
    <w:rsid w:val="00934DAE"/>
    <w:rsid w:val="00935250"/>
    <w:rsid w:val="00936749"/>
    <w:rsid w:val="009373E8"/>
    <w:rsid w:val="00937665"/>
    <w:rsid w:val="0094073F"/>
    <w:rsid w:val="00940935"/>
    <w:rsid w:val="00941F26"/>
    <w:rsid w:val="009420A3"/>
    <w:rsid w:val="0094324B"/>
    <w:rsid w:val="0094539C"/>
    <w:rsid w:val="0094641C"/>
    <w:rsid w:val="00946CD6"/>
    <w:rsid w:val="009508DA"/>
    <w:rsid w:val="00950C82"/>
    <w:rsid w:val="00952AE6"/>
    <w:rsid w:val="0095540B"/>
    <w:rsid w:val="00957704"/>
    <w:rsid w:val="00957C3C"/>
    <w:rsid w:val="0096294C"/>
    <w:rsid w:val="00963BE1"/>
    <w:rsid w:val="009642D7"/>
    <w:rsid w:val="009642E1"/>
    <w:rsid w:val="00965F72"/>
    <w:rsid w:val="00966658"/>
    <w:rsid w:val="009666A7"/>
    <w:rsid w:val="00967EEB"/>
    <w:rsid w:val="00971249"/>
    <w:rsid w:val="00973778"/>
    <w:rsid w:val="00973C4E"/>
    <w:rsid w:val="0097793F"/>
    <w:rsid w:val="0098450A"/>
    <w:rsid w:val="00986D36"/>
    <w:rsid w:val="00990247"/>
    <w:rsid w:val="00991BC2"/>
    <w:rsid w:val="00992742"/>
    <w:rsid w:val="00992D77"/>
    <w:rsid w:val="00992DC0"/>
    <w:rsid w:val="009939A1"/>
    <w:rsid w:val="00997107"/>
    <w:rsid w:val="0099722E"/>
    <w:rsid w:val="009A04A5"/>
    <w:rsid w:val="009A1CF4"/>
    <w:rsid w:val="009A2907"/>
    <w:rsid w:val="009A2AFC"/>
    <w:rsid w:val="009A5150"/>
    <w:rsid w:val="009A6E0F"/>
    <w:rsid w:val="009A7FCC"/>
    <w:rsid w:val="009B071B"/>
    <w:rsid w:val="009B2A08"/>
    <w:rsid w:val="009B30C1"/>
    <w:rsid w:val="009B51D7"/>
    <w:rsid w:val="009B521A"/>
    <w:rsid w:val="009B521D"/>
    <w:rsid w:val="009B7259"/>
    <w:rsid w:val="009C085B"/>
    <w:rsid w:val="009C0DB5"/>
    <w:rsid w:val="009C3563"/>
    <w:rsid w:val="009C54A1"/>
    <w:rsid w:val="009D150E"/>
    <w:rsid w:val="009D1E68"/>
    <w:rsid w:val="009D465B"/>
    <w:rsid w:val="009D4A00"/>
    <w:rsid w:val="009D57D5"/>
    <w:rsid w:val="009D5902"/>
    <w:rsid w:val="009D5B59"/>
    <w:rsid w:val="009D6FB7"/>
    <w:rsid w:val="009D74E5"/>
    <w:rsid w:val="009E1B84"/>
    <w:rsid w:val="009E35B6"/>
    <w:rsid w:val="009E3D59"/>
    <w:rsid w:val="009E44E7"/>
    <w:rsid w:val="009E5DEC"/>
    <w:rsid w:val="009E65B2"/>
    <w:rsid w:val="009F03D3"/>
    <w:rsid w:val="009F1CA9"/>
    <w:rsid w:val="009F2E52"/>
    <w:rsid w:val="009F4173"/>
    <w:rsid w:val="009F4EE6"/>
    <w:rsid w:val="009F6A27"/>
    <w:rsid w:val="009F6E5C"/>
    <w:rsid w:val="009F737D"/>
    <w:rsid w:val="009F7535"/>
    <w:rsid w:val="00A00F08"/>
    <w:rsid w:val="00A013AA"/>
    <w:rsid w:val="00A017D7"/>
    <w:rsid w:val="00A0393D"/>
    <w:rsid w:val="00A059DB"/>
    <w:rsid w:val="00A06385"/>
    <w:rsid w:val="00A11D80"/>
    <w:rsid w:val="00A12E07"/>
    <w:rsid w:val="00A13BE7"/>
    <w:rsid w:val="00A13FB1"/>
    <w:rsid w:val="00A1648F"/>
    <w:rsid w:val="00A168F0"/>
    <w:rsid w:val="00A1762F"/>
    <w:rsid w:val="00A21C96"/>
    <w:rsid w:val="00A225DD"/>
    <w:rsid w:val="00A226EB"/>
    <w:rsid w:val="00A24580"/>
    <w:rsid w:val="00A26750"/>
    <w:rsid w:val="00A30C98"/>
    <w:rsid w:val="00A34111"/>
    <w:rsid w:val="00A34B95"/>
    <w:rsid w:val="00A35D2A"/>
    <w:rsid w:val="00A36820"/>
    <w:rsid w:val="00A40BF8"/>
    <w:rsid w:val="00A413BE"/>
    <w:rsid w:val="00A4301D"/>
    <w:rsid w:val="00A43030"/>
    <w:rsid w:val="00A43B1B"/>
    <w:rsid w:val="00A43B2E"/>
    <w:rsid w:val="00A45AEE"/>
    <w:rsid w:val="00A45E62"/>
    <w:rsid w:val="00A50956"/>
    <w:rsid w:val="00A52AAB"/>
    <w:rsid w:val="00A53894"/>
    <w:rsid w:val="00A54FAD"/>
    <w:rsid w:val="00A55EBE"/>
    <w:rsid w:val="00A6040D"/>
    <w:rsid w:val="00A606F9"/>
    <w:rsid w:val="00A61A3E"/>
    <w:rsid w:val="00A63036"/>
    <w:rsid w:val="00A638A5"/>
    <w:rsid w:val="00A63DB6"/>
    <w:rsid w:val="00A655FD"/>
    <w:rsid w:val="00A71629"/>
    <w:rsid w:val="00A726C4"/>
    <w:rsid w:val="00A76D33"/>
    <w:rsid w:val="00A813DE"/>
    <w:rsid w:val="00A81AFE"/>
    <w:rsid w:val="00A8290B"/>
    <w:rsid w:val="00A84776"/>
    <w:rsid w:val="00A858EA"/>
    <w:rsid w:val="00A85A1C"/>
    <w:rsid w:val="00A87E31"/>
    <w:rsid w:val="00A91316"/>
    <w:rsid w:val="00A916EA"/>
    <w:rsid w:val="00A92DCC"/>
    <w:rsid w:val="00A96869"/>
    <w:rsid w:val="00AA08A2"/>
    <w:rsid w:val="00AA299D"/>
    <w:rsid w:val="00AA41D3"/>
    <w:rsid w:val="00AA44B1"/>
    <w:rsid w:val="00AA5BEC"/>
    <w:rsid w:val="00AB16C7"/>
    <w:rsid w:val="00AB1E1C"/>
    <w:rsid w:val="00AB20D2"/>
    <w:rsid w:val="00AB24A3"/>
    <w:rsid w:val="00AB2839"/>
    <w:rsid w:val="00AB34A6"/>
    <w:rsid w:val="00AB43A1"/>
    <w:rsid w:val="00AB5988"/>
    <w:rsid w:val="00AB67E1"/>
    <w:rsid w:val="00AC0038"/>
    <w:rsid w:val="00AC21DC"/>
    <w:rsid w:val="00AC2899"/>
    <w:rsid w:val="00AC4D8A"/>
    <w:rsid w:val="00AC565E"/>
    <w:rsid w:val="00AC60F5"/>
    <w:rsid w:val="00AC6646"/>
    <w:rsid w:val="00AD19C4"/>
    <w:rsid w:val="00AD282A"/>
    <w:rsid w:val="00AD7242"/>
    <w:rsid w:val="00AE1264"/>
    <w:rsid w:val="00AE2171"/>
    <w:rsid w:val="00AE2181"/>
    <w:rsid w:val="00AE6174"/>
    <w:rsid w:val="00AE779A"/>
    <w:rsid w:val="00AE7F48"/>
    <w:rsid w:val="00AF00D7"/>
    <w:rsid w:val="00AF2BAD"/>
    <w:rsid w:val="00AF3D68"/>
    <w:rsid w:val="00B0057F"/>
    <w:rsid w:val="00B009B1"/>
    <w:rsid w:val="00B00BEE"/>
    <w:rsid w:val="00B00FC3"/>
    <w:rsid w:val="00B016C8"/>
    <w:rsid w:val="00B01DA8"/>
    <w:rsid w:val="00B01DE4"/>
    <w:rsid w:val="00B0268D"/>
    <w:rsid w:val="00B03AD8"/>
    <w:rsid w:val="00B0501F"/>
    <w:rsid w:val="00B05074"/>
    <w:rsid w:val="00B07B8E"/>
    <w:rsid w:val="00B10736"/>
    <w:rsid w:val="00B123F2"/>
    <w:rsid w:val="00B127B8"/>
    <w:rsid w:val="00B12829"/>
    <w:rsid w:val="00B14F12"/>
    <w:rsid w:val="00B17CB9"/>
    <w:rsid w:val="00B202F3"/>
    <w:rsid w:val="00B22167"/>
    <w:rsid w:val="00B24204"/>
    <w:rsid w:val="00B25355"/>
    <w:rsid w:val="00B257F1"/>
    <w:rsid w:val="00B30810"/>
    <w:rsid w:val="00B31CB7"/>
    <w:rsid w:val="00B3603A"/>
    <w:rsid w:val="00B40D96"/>
    <w:rsid w:val="00B41F4C"/>
    <w:rsid w:val="00B435A0"/>
    <w:rsid w:val="00B45162"/>
    <w:rsid w:val="00B45968"/>
    <w:rsid w:val="00B462FB"/>
    <w:rsid w:val="00B474EC"/>
    <w:rsid w:val="00B50DB1"/>
    <w:rsid w:val="00B53BBB"/>
    <w:rsid w:val="00B54A95"/>
    <w:rsid w:val="00B55F15"/>
    <w:rsid w:val="00B55FF6"/>
    <w:rsid w:val="00B56CB8"/>
    <w:rsid w:val="00B57E03"/>
    <w:rsid w:val="00B60946"/>
    <w:rsid w:val="00B61B38"/>
    <w:rsid w:val="00B64D6D"/>
    <w:rsid w:val="00B65B8A"/>
    <w:rsid w:val="00B672FB"/>
    <w:rsid w:val="00B7074E"/>
    <w:rsid w:val="00B70B64"/>
    <w:rsid w:val="00B73810"/>
    <w:rsid w:val="00B75447"/>
    <w:rsid w:val="00B75AB5"/>
    <w:rsid w:val="00B761D0"/>
    <w:rsid w:val="00B77169"/>
    <w:rsid w:val="00B823A0"/>
    <w:rsid w:val="00B82A2C"/>
    <w:rsid w:val="00B83530"/>
    <w:rsid w:val="00B87E80"/>
    <w:rsid w:val="00B903EA"/>
    <w:rsid w:val="00B9088A"/>
    <w:rsid w:val="00B911B0"/>
    <w:rsid w:val="00B91B27"/>
    <w:rsid w:val="00B92A65"/>
    <w:rsid w:val="00B952D6"/>
    <w:rsid w:val="00B95D20"/>
    <w:rsid w:val="00B96E47"/>
    <w:rsid w:val="00B97116"/>
    <w:rsid w:val="00B9786D"/>
    <w:rsid w:val="00BA105B"/>
    <w:rsid w:val="00BA2A67"/>
    <w:rsid w:val="00BA3DCA"/>
    <w:rsid w:val="00BA612B"/>
    <w:rsid w:val="00BA6A79"/>
    <w:rsid w:val="00BB3CB5"/>
    <w:rsid w:val="00BB5539"/>
    <w:rsid w:val="00BB5C27"/>
    <w:rsid w:val="00BB6A86"/>
    <w:rsid w:val="00BB6C48"/>
    <w:rsid w:val="00BC39B1"/>
    <w:rsid w:val="00BC6207"/>
    <w:rsid w:val="00BC63AD"/>
    <w:rsid w:val="00BC7419"/>
    <w:rsid w:val="00BD1368"/>
    <w:rsid w:val="00BD3C8E"/>
    <w:rsid w:val="00BD5267"/>
    <w:rsid w:val="00BD52F9"/>
    <w:rsid w:val="00BD7B76"/>
    <w:rsid w:val="00BE1CCA"/>
    <w:rsid w:val="00BE2ECB"/>
    <w:rsid w:val="00BE432E"/>
    <w:rsid w:val="00BE5951"/>
    <w:rsid w:val="00BE69B8"/>
    <w:rsid w:val="00BE6D25"/>
    <w:rsid w:val="00BE7113"/>
    <w:rsid w:val="00BE7640"/>
    <w:rsid w:val="00BE79EA"/>
    <w:rsid w:val="00BF1301"/>
    <w:rsid w:val="00BF1D08"/>
    <w:rsid w:val="00BF1EC4"/>
    <w:rsid w:val="00BF6E9C"/>
    <w:rsid w:val="00BF708D"/>
    <w:rsid w:val="00BF72B8"/>
    <w:rsid w:val="00C01A11"/>
    <w:rsid w:val="00C01CD4"/>
    <w:rsid w:val="00C0257F"/>
    <w:rsid w:val="00C0342F"/>
    <w:rsid w:val="00C041C7"/>
    <w:rsid w:val="00C042F4"/>
    <w:rsid w:val="00C05809"/>
    <w:rsid w:val="00C07E97"/>
    <w:rsid w:val="00C10416"/>
    <w:rsid w:val="00C12FC0"/>
    <w:rsid w:val="00C162BA"/>
    <w:rsid w:val="00C16766"/>
    <w:rsid w:val="00C17139"/>
    <w:rsid w:val="00C1796E"/>
    <w:rsid w:val="00C17E7B"/>
    <w:rsid w:val="00C203DB"/>
    <w:rsid w:val="00C213E7"/>
    <w:rsid w:val="00C217F4"/>
    <w:rsid w:val="00C21AD8"/>
    <w:rsid w:val="00C22C51"/>
    <w:rsid w:val="00C2380C"/>
    <w:rsid w:val="00C25A51"/>
    <w:rsid w:val="00C26596"/>
    <w:rsid w:val="00C30A22"/>
    <w:rsid w:val="00C32BC1"/>
    <w:rsid w:val="00C3433E"/>
    <w:rsid w:val="00C348F1"/>
    <w:rsid w:val="00C3567B"/>
    <w:rsid w:val="00C37073"/>
    <w:rsid w:val="00C37840"/>
    <w:rsid w:val="00C37E65"/>
    <w:rsid w:val="00C4006A"/>
    <w:rsid w:val="00C4186D"/>
    <w:rsid w:val="00C42C04"/>
    <w:rsid w:val="00C433CB"/>
    <w:rsid w:val="00C43A4B"/>
    <w:rsid w:val="00C4569C"/>
    <w:rsid w:val="00C46FEE"/>
    <w:rsid w:val="00C47D72"/>
    <w:rsid w:val="00C50369"/>
    <w:rsid w:val="00C5147B"/>
    <w:rsid w:val="00C53D5C"/>
    <w:rsid w:val="00C54109"/>
    <w:rsid w:val="00C541FE"/>
    <w:rsid w:val="00C54DA2"/>
    <w:rsid w:val="00C55172"/>
    <w:rsid w:val="00C56144"/>
    <w:rsid w:val="00C6036C"/>
    <w:rsid w:val="00C628F1"/>
    <w:rsid w:val="00C62942"/>
    <w:rsid w:val="00C630B9"/>
    <w:rsid w:val="00C630FB"/>
    <w:rsid w:val="00C65EB7"/>
    <w:rsid w:val="00C6768B"/>
    <w:rsid w:val="00C67A8B"/>
    <w:rsid w:val="00C70103"/>
    <w:rsid w:val="00C717C5"/>
    <w:rsid w:val="00C71B9C"/>
    <w:rsid w:val="00C748A2"/>
    <w:rsid w:val="00C75087"/>
    <w:rsid w:val="00C7530C"/>
    <w:rsid w:val="00C756A5"/>
    <w:rsid w:val="00C76F4F"/>
    <w:rsid w:val="00C775CC"/>
    <w:rsid w:val="00C8143A"/>
    <w:rsid w:val="00C86E09"/>
    <w:rsid w:val="00C874DE"/>
    <w:rsid w:val="00C928B3"/>
    <w:rsid w:val="00C93978"/>
    <w:rsid w:val="00C947DC"/>
    <w:rsid w:val="00C95541"/>
    <w:rsid w:val="00C96E59"/>
    <w:rsid w:val="00C97654"/>
    <w:rsid w:val="00CA02E0"/>
    <w:rsid w:val="00CA065F"/>
    <w:rsid w:val="00CA0AC9"/>
    <w:rsid w:val="00CA2C1F"/>
    <w:rsid w:val="00CA309B"/>
    <w:rsid w:val="00CA52EB"/>
    <w:rsid w:val="00CA7610"/>
    <w:rsid w:val="00CB07BD"/>
    <w:rsid w:val="00CB1545"/>
    <w:rsid w:val="00CB1DED"/>
    <w:rsid w:val="00CB2473"/>
    <w:rsid w:val="00CB29FF"/>
    <w:rsid w:val="00CB57FA"/>
    <w:rsid w:val="00CB5929"/>
    <w:rsid w:val="00CB774E"/>
    <w:rsid w:val="00CC1E9A"/>
    <w:rsid w:val="00CC395A"/>
    <w:rsid w:val="00CC3E4E"/>
    <w:rsid w:val="00CC4B0C"/>
    <w:rsid w:val="00CC5088"/>
    <w:rsid w:val="00CC57B8"/>
    <w:rsid w:val="00CC6D1C"/>
    <w:rsid w:val="00CC766F"/>
    <w:rsid w:val="00CD0169"/>
    <w:rsid w:val="00CD2FEB"/>
    <w:rsid w:val="00CD3493"/>
    <w:rsid w:val="00CD3730"/>
    <w:rsid w:val="00CD4AC3"/>
    <w:rsid w:val="00CD52D2"/>
    <w:rsid w:val="00CD6CA2"/>
    <w:rsid w:val="00CD6D45"/>
    <w:rsid w:val="00CD752C"/>
    <w:rsid w:val="00CE0E30"/>
    <w:rsid w:val="00CE37A8"/>
    <w:rsid w:val="00CE469F"/>
    <w:rsid w:val="00CE62BA"/>
    <w:rsid w:val="00CE7467"/>
    <w:rsid w:val="00CF2632"/>
    <w:rsid w:val="00CF4478"/>
    <w:rsid w:val="00CF498A"/>
    <w:rsid w:val="00CF4B3F"/>
    <w:rsid w:val="00CF5F04"/>
    <w:rsid w:val="00CF605B"/>
    <w:rsid w:val="00CF60DC"/>
    <w:rsid w:val="00CF6966"/>
    <w:rsid w:val="00CF7421"/>
    <w:rsid w:val="00CF772D"/>
    <w:rsid w:val="00D00348"/>
    <w:rsid w:val="00D0060E"/>
    <w:rsid w:val="00D0285B"/>
    <w:rsid w:val="00D03BD6"/>
    <w:rsid w:val="00D03C1B"/>
    <w:rsid w:val="00D05685"/>
    <w:rsid w:val="00D1223D"/>
    <w:rsid w:val="00D134C8"/>
    <w:rsid w:val="00D137B9"/>
    <w:rsid w:val="00D1600D"/>
    <w:rsid w:val="00D16FBD"/>
    <w:rsid w:val="00D225D1"/>
    <w:rsid w:val="00D247C1"/>
    <w:rsid w:val="00D261EC"/>
    <w:rsid w:val="00D30779"/>
    <w:rsid w:val="00D31698"/>
    <w:rsid w:val="00D32BEB"/>
    <w:rsid w:val="00D32BED"/>
    <w:rsid w:val="00D337E6"/>
    <w:rsid w:val="00D356E5"/>
    <w:rsid w:val="00D36F97"/>
    <w:rsid w:val="00D37745"/>
    <w:rsid w:val="00D37D7E"/>
    <w:rsid w:val="00D40EAA"/>
    <w:rsid w:val="00D40FBD"/>
    <w:rsid w:val="00D41A2A"/>
    <w:rsid w:val="00D42509"/>
    <w:rsid w:val="00D42982"/>
    <w:rsid w:val="00D43CCB"/>
    <w:rsid w:val="00D47147"/>
    <w:rsid w:val="00D50925"/>
    <w:rsid w:val="00D51903"/>
    <w:rsid w:val="00D55B6F"/>
    <w:rsid w:val="00D5702C"/>
    <w:rsid w:val="00D57C2D"/>
    <w:rsid w:val="00D651B8"/>
    <w:rsid w:val="00D6663D"/>
    <w:rsid w:val="00D66D62"/>
    <w:rsid w:val="00D73217"/>
    <w:rsid w:val="00D73AFE"/>
    <w:rsid w:val="00D73BC6"/>
    <w:rsid w:val="00D75AF7"/>
    <w:rsid w:val="00D7621D"/>
    <w:rsid w:val="00D77129"/>
    <w:rsid w:val="00D81300"/>
    <w:rsid w:val="00D82B9B"/>
    <w:rsid w:val="00D8452A"/>
    <w:rsid w:val="00D85026"/>
    <w:rsid w:val="00D86578"/>
    <w:rsid w:val="00D91DC7"/>
    <w:rsid w:val="00DA0327"/>
    <w:rsid w:val="00DA06F9"/>
    <w:rsid w:val="00DA0B52"/>
    <w:rsid w:val="00DA129C"/>
    <w:rsid w:val="00DA2B35"/>
    <w:rsid w:val="00DA3574"/>
    <w:rsid w:val="00DA6043"/>
    <w:rsid w:val="00DA7380"/>
    <w:rsid w:val="00DA7550"/>
    <w:rsid w:val="00DB1097"/>
    <w:rsid w:val="00DB1E76"/>
    <w:rsid w:val="00DB4831"/>
    <w:rsid w:val="00DB5052"/>
    <w:rsid w:val="00DB6CB6"/>
    <w:rsid w:val="00DB7419"/>
    <w:rsid w:val="00DC23CD"/>
    <w:rsid w:val="00DC2615"/>
    <w:rsid w:val="00DC2CC6"/>
    <w:rsid w:val="00DC43F1"/>
    <w:rsid w:val="00DC4802"/>
    <w:rsid w:val="00DC50D0"/>
    <w:rsid w:val="00DC7B1E"/>
    <w:rsid w:val="00DD054C"/>
    <w:rsid w:val="00DD09DA"/>
    <w:rsid w:val="00DD0AD9"/>
    <w:rsid w:val="00DD201C"/>
    <w:rsid w:val="00DD26D3"/>
    <w:rsid w:val="00DD30B1"/>
    <w:rsid w:val="00DD4B3A"/>
    <w:rsid w:val="00DD5637"/>
    <w:rsid w:val="00DD7E2E"/>
    <w:rsid w:val="00DD7F8C"/>
    <w:rsid w:val="00DE0358"/>
    <w:rsid w:val="00DE4179"/>
    <w:rsid w:val="00DE45E4"/>
    <w:rsid w:val="00DE4D58"/>
    <w:rsid w:val="00DE6C4A"/>
    <w:rsid w:val="00DE7454"/>
    <w:rsid w:val="00DE7530"/>
    <w:rsid w:val="00DF0429"/>
    <w:rsid w:val="00DF0A93"/>
    <w:rsid w:val="00DF284A"/>
    <w:rsid w:val="00DF6793"/>
    <w:rsid w:val="00E006A8"/>
    <w:rsid w:val="00E04E78"/>
    <w:rsid w:val="00E05C60"/>
    <w:rsid w:val="00E05F53"/>
    <w:rsid w:val="00E06831"/>
    <w:rsid w:val="00E076C8"/>
    <w:rsid w:val="00E105EB"/>
    <w:rsid w:val="00E10DE3"/>
    <w:rsid w:val="00E10FF4"/>
    <w:rsid w:val="00E1144E"/>
    <w:rsid w:val="00E11EB1"/>
    <w:rsid w:val="00E160B4"/>
    <w:rsid w:val="00E176D3"/>
    <w:rsid w:val="00E2225B"/>
    <w:rsid w:val="00E23E40"/>
    <w:rsid w:val="00E24990"/>
    <w:rsid w:val="00E26015"/>
    <w:rsid w:val="00E32870"/>
    <w:rsid w:val="00E349D9"/>
    <w:rsid w:val="00E351B5"/>
    <w:rsid w:val="00E358EB"/>
    <w:rsid w:val="00E37146"/>
    <w:rsid w:val="00E40B51"/>
    <w:rsid w:val="00E4103C"/>
    <w:rsid w:val="00E412A9"/>
    <w:rsid w:val="00E4188D"/>
    <w:rsid w:val="00E41AC6"/>
    <w:rsid w:val="00E41B64"/>
    <w:rsid w:val="00E42E13"/>
    <w:rsid w:val="00E445BD"/>
    <w:rsid w:val="00E52476"/>
    <w:rsid w:val="00E52945"/>
    <w:rsid w:val="00E532BF"/>
    <w:rsid w:val="00E53954"/>
    <w:rsid w:val="00E56514"/>
    <w:rsid w:val="00E56923"/>
    <w:rsid w:val="00E61568"/>
    <w:rsid w:val="00E61FEF"/>
    <w:rsid w:val="00E63103"/>
    <w:rsid w:val="00E65802"/>
    <w:rsid w:val="00E65D17"/>
    <w:rsid w:val="00E660CB"/>
    <w:rsid w:val="00E7047F"/>
    <w:rsid w:val="00E7605E"/>
    <w:rsid w:val="00E820EE"/>
    <w:rsid w:val="00E838DB"/>
    <w:rsid w:val="00E84E0D"/>
    <w:rsid w:val="00E867CE"/>
    <w:rsid w:val="00E87331"/>
    <w:rsid w:val="00E90025"/>
    <w:rsid w:val="00E90C4D"/>
    <w:rsid w:val="00E90C88"/>
    <w:rsid w:val="00E92735"/>
    <w:rsid w:val="00E92C87"/>
    <w:rsid w:val="00E92F2C"/>
    <w:rsid w:val="00E93717"/>
    <w:rsid w:val="00E939A6"/>
    <w:rsid w:val="00E9549F"/>
    <w:rsid w:val="00E957B3"/>
    <w:rsid w:val="00E96B72"/>
    <w:rsid w:val="00EA09C7"/>
    <w:rsid w:val="00EA1B8E"/>
    <w:rsid w:val="00EA288F"/>
    <w:rsid w:val="00EA2999"/>
    <w:rsid w:val="00EA3946"/>
    <w:rsid w:val="00EA58CA"/>
    <w:rsid w:val="00EB0934"/>
    <w:rsid w:val="00EB0B24"/>
    <w:rsid w:val="00EB1149"/>
    <w:rsid w:val="00EB15B7"/>
    <w:rsid w:val="00EB54BE"/>
    <w:rsid w:val="00EB695E"/>
    <w:rsid w:val="00EB6FC4"/>
    <w:rsid w:val="00EB735B"/>
    <w:rsid w:val="00EB73AF"/>
    <w:rsid w:val="00EB75B8"/>
    <w:rsid w:val="00EB7B56"/>
    <w:rsid w:val="00EC4D3D"/>
    <w:rsid w:val="00EC4FE5"/>
    <w:rsid w:val="00EC55BE"/>
    <w:rsid w:val="00EC7207"/>
    <w:rsid w:val="00EC7AAD"/>
    <w:rsid w:val="00ED0F3F"/>
    <w:rsid w:val="00ED288F"/>
    <w:rsid w:val="00ED3838"/>
    <w:rsid w:val="00ED7366"/>
    <w:rsid w:val="00EE0922"/>
    <w:rsid w:val="00EE3222"/>
    <w:rsid w:val="00EE3338"/>
    <w:rsid w:val="00EE3A93"/>
    <w:rsid w:val="00EE3DDB"/>
    <w:rsid w:val="00EE435A"/>
    <w:rsid w:val="00EE43B3"/>
    <w:rsid w:val="00EE454D"/>
    <w:rsid w:val="00EF0ABD"/>
    <w:rsid w:val="00EF155E"/>
    <w:rsid w:val="00EF3867"/>
    <w:rsid w:val="00EF4816"/>
    <w:rsid w:val="00EF4F5F"/>
    <w:rsid w:val="00EF536A"/>
    <w:rsid w:val="00EF53EE"/>
    <w:rsid w:val="00EF6B69"/>
    <w:rsid w:val="00F02977"/>
    <w:rsid w:val="00F04B28"/>
    <w:rsid w:val="00F07FE2"/>
    <w:rsid w:val="00F129D7"/>
    <w:rsid w:val="00F12DE7"/>
    <w:rsid w:val="00F133AD"/>
    <w:rsid w:val="00F149FC"/>
    <w:rsid w:val="00F14AFC"/>
    <w:rsid w:val="00F21EBE"/>
    <w:rsid w:val="00F223C3"/>
    <w:rsid w:val="00F22A5A"/>
    <w:rsid w:val="00F23F45"/>
    <w:rsid w:val="00F258DC"/>
    <w:rsid w:val="00F260CC"/>
    <w:rsid w:val="00F2644D"/>
    <w:rsid w:val="00F27B0B"/>
    <w:rsid w:val="00F27FF7"/>
    <w:rsid w:val="00F3169E"/>
    <w:rsid w:val="00F3346E"/>
    <w:rsid w:val="00F3486D"/>
    <w:rsid w:val="00F35876"/>
    <w:rsid w:val="00F360F1"/>
    <w:rsid w:val="00F372E0"/>
    <w:rsid w:val="00F37D24"/>
    <w:rsid w:val="00F40159"/>
    <w:rsid w:val="00F42550"/>
    <w:rsid w:val="00F439A2"/>
    <w:rsid w:val="00F43D2A"/>
    <w:rsid w:val="00F4534A"/>
    <w:rsid w:val="00F4607C"/>
    <w:rsid w:val="00F47DF7"/>
    <w:rsid w:val="00F508F6"/>
    <w:rsid w:val="00F53C22"/>
    <w:rsid w:val="00F54497"/>
    <w:rsid w:val="00F557B2"/>
    <w:rsid w:val="00F568E8"/>
    <w:rsid w:val="00F6054B"/>
    <w:rsid w:val="00F61A28"/>
    <w:rsid w:val="00F62ED7"/>
    <w:rsid w:val="00F64953"/>
    <w:rsid w:val="00F652C7"/>
    <w:rsid w:val="00F66A09"/>
    <w:rsid w:val="00F70529"/>
    <w:rsid w:val="00F72B46"/>
    <w:rsid w:val="00F7391C"/>
    <w:rsid w:val="00F7438A"/>
    <w:rsid w:val="00F74F9F"/>
    <w:rsid w:val="00F75205"/>
    <w:rsid w:val="00F8083A"/>
    <w:rsid w:val="00F80EDE"/>
    <w:rsid w:val="00F81328"/>
    <w:rsid w:val="00F822B1"/>
    <w:rsid w:val="00F826E7"/>
    <w:rsid w:val="00F8287B"/>
    <w:rsid w:val="00F82A52"/>
    <w:rsid w:val="00F82C2C"/>
    <w:rsid w:val="00F83082"/>
    <w:rsid w:val="00F85126"/>
    <w:rsid w:val="00F8558E"/>
    <w:rsid w:val="00F86276"/>
    <w:rsid w:val="00F86FDB"/>
    <w:rsid w:val="00F8774D"/>
    <w:rsid w:val="00F90009"/>
    <w:rsid w:val="00F9041A"/>
    <w:rsid w:val="00F904DA"/>
    <w:rsid w:val="00F905FF"/>
    <w:rsid w:val="00F9162D"/>
    <w:rsid w:val="00F93338"/>
    <w:rsid w:val="00F94254"/>
    <w:rsid w:val="00F94256"/>
    <w:rsid w:val="00F943A4"/>
    <w:rsid w:val="00F94E06"/>
    <w:rsid w:val="00F95369"/>
    <w:rsid w:val="00F96035"/>
    <w:rsid w:val="00FA04FE"/>
    <w:rsid w:val="00FA1DD3"/>
    <w:rsid w:val="00FA2AC6"/>
    <w:rsid w:val="00FA3529"/>
    <w:rsid w:val="00FA3D6D"/>
    <w:rsid w:val="00FA40F7"/>
    <w:rsid w:val="00FA7D55"/>
    <w:rsid w:val="00FB4268"/>
    <w:rsid w:val="00FB46C7"/>
    <w:rsid w:val="00FB6593"/>
    <w:rsid w:val="00FB6C5C"/>
    <w:rsid w:val="00FB6E0B"/>
    <w:rsid w:val="00FB7C1F"/>
    <w:rsid w:val="00FC054E"/>
    <w:rsid w:val="00FC1230"/>
    <w:rsid w:val="00FC2526"/>
    <w:rsid w:val="00FC2E50"/>
    <w:rsid w:val="00FC3183"/>
    <w:rsid w:val="00FC31B0"/>
    <w:rsid w:val="00FC35A7"/>
    <w:rsid w:val="00FC54EF"/>
    <w:rsid w:val="00FC56A9"/>
    <w:rsid w:val="00FC74C8"/>
    <w:rsid w:val="00FD2FEF"/>
    <w:rsid w:val="00FD31F4"/>
    <w:rsid w:val="00FD5A1F"/>
    <w:rsid w:val="00FD60ED"/>
    <w:rsid w:val="00FD7758"/>
    <w:rsid w:val="00FE010D"/>
    <w:rsid w:val="00FE0340"/>
    <w:rsid w:val="00FE2905"/>
    <w:rsid w:val="00FE347C"/>
    <w:rsid w:val="00FE4AA9"/>
    <w:rsid w:val="00FE5710"/>
    <w:rsid w:val="00FE67AE"/>
    <w:rsid w:val="00FE78EA"/>
    <w:rsid w:val="00FF15DD"/>
    <w:rsid w:val="00FF1FA7"/>
    <w:rsid w:val="00FF2943"/>
    <w:rsid w:val="00FF301B"/>
    <w:rsid w:val="00FF67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F1668"/>
  <w14:defaultImageDpi w14:val="32767"/>
  <w15:chartTrackingRefBased/>
  <w15:docId w15:val="{B35CDE9A-CD18-2144-AA45-4DD8224C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74D"/>
  </w:style>
  <w:style w:type="paragraph" w:styleId="Titre1">
    <w:name w:val="heading 1"/>
    <w:basedOn w:val="Normal"/>
    <w:next w:val="Normal"/>
    <w:link w:val="Titre1Car"/>
    <w:uiPriority w:val="9"/>
    <w:qFormat/>
    <w:rsid w:val="00613427"/>
    <w:pPr>
      <w:keepNext/>
      <w:keepLines/>
      <w:numPr>
        <w:numId w:val="30"/>
      </w:numPr>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13427"/>
    <w:pPr>
      <w:keepNext/>
      <w:keepLines/>
      <w:numPr>
        <w:ilvl w:val="1"/>
        <w:numId w:val="30"/>
      </w:numPr>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E92F2C"/>
    <w:pPr>
      <w:keepNext/>
      <w:keepLines/>
      <w:numPr>
        <w:ilvl w:val="2"/>
        <w:numId w:val="30"/>
      </w:numPr>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B672FB"/>
    <w:pPr>
      <w:keepNext/>
      <w:keepLines/>
      <w:numPr>
        <w:ilvl w:val="3"/>
        <w:numId w:val="30"/>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B672FB"/>
    <w:pPr>
      <w:keepNext/>
      <w:keepLines/>
      <w:numPr>
        <w:ilvl w:val="4"/>
        <w:numId w:val="30"/>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B672FB"/>
    <w:pPr>
      <w:keepNext/>
      <w:keepLines/>
      <w:numPr>
        <w:ilvl w:val="5"/>
        <w:numId w:val="30"/>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B672FB"/>
    <w:pPr>
      <w:keepNext/>
      <w:keepLines/>
      <w:numPr>
        <w:ilvl w:val="6"/>
        <w:numId w:val="30"/>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B672FB"/>
    <w:pPr>
      <w:keepNext/>
      <w:keepLines/>
      <w:numPr>
        <w:ilvl w:val="7"/>
        <w:numId w:val="30"/>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672FB"/>
    <w:pPr>
      <w:keepNext/>
      <w:keepLines/>
      <w:numPr>
        <w:ilvl w:val="8"/>
        <w:numId w:val="3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B6EFF"/>
    <w:rPr>
      <w:rFonts w:ascii="Garamond" w:hAnsi="Garamond"/>
      <w:sz w:val="20"/>
      <w:szCs w:val="20"/>
    </w:rPr>
  </w:style>
  <w:style w:type="character" w:customStyle="1" w:styleId="NotedebasdepageCar">
    <w:name w:val="Note de bas de page Car"/>
    <w:basedOn w:val="Policepardfaut"/>
    <w:link w:val="Notedebasdepage"/>
    <w:uiPriority w:val="99"/>
    <w:semiHidden/>
    <w:rsid w:val="005B6EFF"/>
    <w:rPr>
      <w:rFonts w:ascii="Garamond" w:hAnsi="Garamond"/>
      <w:sz w:val="20"/>
      <w:szCs w:val="20"/>
    </w:rPr>
  </w:style>
  <w:style w:type="character" w:styleId="Appelnotedebasdep">
    <w:name w:val="footnote reference"/>
    <w:basedOn w:val="Policepardfaut"/>
    <w:uiPriority w:val="99"/>
    <w:semiHidden/>
    <w:unhideWhenUsed/>
    <w:rsid w:val="005B6EFF"/>
    <w:rPr>
      <w:rFonts w:ascii="Garamond" w:hAnsi="Garamond"/>
      <w:vertAlign w:val="superscript"/>
    </w:rPr>
  </w:style>
  <w:style w:type="character" w:styleId="Lienhypertexte">
    <w:name w:val="Hyperlink"/>
    <w:basedOn w:val="Policepardfaut"/>
    <w:uiPriority w:val="99"/>
    <w:unhideWhenUsed/>
    <w:rsid w:val="003730CF"/>
    <w:rPr>
      <w:color w:val="0563C1" w:themeColor="hyperlink"/>
      <w:u w:val="single"/>
    </w:rPr>
  </w:style>
  <w:style w:type="character" w:styleId="Mentionnonrsolue">
    <w:name w:val="Unresolved Mention"/>
    <w:basedOn w:val="Policepardfaut"/>
    <w:uiPriority w:val="99"/>
    <w:semiHidden/>
    <w:unhideWhenUsed/>
    <w:rsid w:val="003730CF"/>
    <w:rPr>
      <w:color w:val="605E5C"/>
      <w:shd w:val="clear" w:color="auto" w:fill="E1DFDD"/>
    </w:rPr>
  </w:style>
  <w:style w:type="paragraph" w:styleId="Pieddepage">
    <w:name w:val="footer"/>
    <w:basedOn w:val="Normal"/>
    <w:link w:val="PieddepageCar"/>
    <w:uiPriority w:val="99"/>
    <w:unhideWhenUsed/>
    <w:rsid w:val="003730CF"/>
    <w:pPr>
      <w:tabs>
        <w:tab w:val="center" w:pos="4680"/>
        <w:tab w:val="right" w:pos="9360"/>
      </w:tabs>
    </w:pPr>
  </w:style>
  <w:style w:type="character" w:customStyle="1" w:styleId="PieddepageCar">
    <w:name w:val="Pied de page Car"/>
    <w:basedOn w:val="Policepardfaut"/>
    <w:link w:val="Pieddepage"/>
    <w:uiPriority w:val="99"/>
    <w:rsid w:val="003730CF"/>
  </w:style>
  <w:style w:type="character" w:styleId="Numrodepage">
    <w:name w:val="page number"/>
    <w:basedOn w:val="Policepardfaut"/>
    <w:uiPriority w:val="99"/>
    <w:semiHidden/>
    <w:unhideWhenUsed/>
    <w:rsid w:val="003730CF"/>
  </w:style>
  <w:style w:type="character" w:styleId="Numrodeligne">
    <w:name w:val="line number"/>
    <w:basedOn w:val="Policepardfaut"/>
    <w:uiPriority w:val="99"/>
    <w:semiHidden/>
    <w:unhideWhenUsed/>
    <w:rsid w:val="00281BF0"/>
  </w:style>
  <w:style w:type="paragraph" w:customStyle="1" w:styleId="JASAFIRST-LEVELHEADING">
    <w:name w:val="JASA FIRST-LEVEL HEADING"/>
    <w:basedOn w:val="Titre1"/>
    <w:qFormat/>
    <w:rsid w:val="000D4066"/>
    <w:pPr>
      <w:numPr>
        <w:numId w:val="1"/>
      </w:numPr>
      <w:spacing w:line="480" w:lineRule="auto"/>
    </w:pPr>
    <w:rPr>
      <w:rFonts w:ascii="Garamond" w:hAnsi="Garamond" w:cs="Times New Roman (Headings CS)"/>
      <w:b/>
      <w:bCs/>
      <w:caps/>
      <w:color w:val="000000" w:themeColor="text1"/>
      <w:sz w:val="24"/>
    </w:rPr>
  </w:style>
  <w:style w:type="paragraph" w:customStyle="1" w:styleId="JASABodyText">
    <w:name w:val="JASA Body Text"/>
    <w:basedOn w:val="Normal"/>
    <w:link w:val="JASABodyTextChar"/>
    <w:qFormat/>
    <w:rsid w:val="009E3D59"/>
    <w:pPr>
      <w:spacing w:line="480" w:lineRule="auto"/>
      <w:ind w:firstLine="360"/>
    </w:pPr>
    <w:rPr>
      <w:rFonts w:ascii="Garamond" w:hAnsi="Garamond"/>
    </w:rPr>
  </w:style>
  <w:style w:type="character" w:customStyle="1" w:styleId="Titre1Car">
    <w:name w:val="Titre 1 Car"/>
    <w:basedOn w:val="Policepardfaut"/>
    <w:link w:val="Titre1"/>
    <w:uiPriority w:val="9"/>
    <w:rsid w:val="00613427"/>
    <w:rPr>
      <w:rFonts w:asciiTheme="majorHAnsi" w:eastAsiaTheme="majorEastAsia" w:hAnsiTheme="majorHAnsi" w:cstheme="majorBidi"/>
      <w:color w:val="2F5496" w:themeColor="accent1" w:themeShade="BF"/>
      <w:sz w:val="32"/>
      <w:szCs w:val="32"/>
    </w:rPr>
  </w:style>
  <w:style w:type="paragraph" w:customStyle="1" w:styleId="JASAsecond-levelheading">
    <w:name w:val="JASA second-level heading"/>
    <w:basedOn w:val="Titre2"/>
    <w:qFormat/>
    <w:rsid w:val="00613427"/>
    <w:pPr>
      <w:numPr>
        <w:ilvl w:val="0"/>
        <w:numId w:val="0"/>
      </w:numPr>
      <w:spacing w:line="480" w:lineRule="auto"/>
    </w:pPr>
    <w:rPr>
      <w:rFonts w:ascii="Garamond" w:hAnsi="Garamond"/>
      <w:b/>
      <w:bCs/>
      <w:color w:val="000000" w:themeColor="text1"/>
      <w:sz w:val="24"/>
    </w:rPr>
  </w:style>
  <w:style w:type="paragraph" w:customStyle="1" w:styleId="JASAthird-levelheading">
    <w:name w:val="JASA third-level heading"/>
    <w:basedOn w:val="Titre3"/>
    <w:qFormat/>
    <w:rsid w:val="009D6FB7"/>
    <w:pPr>
      <w:numPr>
        <w:numId w:val="3"/>
      </w:numPr>
      <w:spacing w:line="480" w:lineRule="auto"/>
    </w:pPr>
    <w:rPr>
      <w:rFonts w:ascii="Garamond" w:hAnsi="Garamond"/>
      <w:b/>
      <w:i/>
      <w:iCs/>
      <w:color w:val="000000" w:themeColor="text1"/>
    </w:rPr>
  </w:style>
  <w:style w:type="character" w:customStyle="1" w:styleId="Titre2Car">
    <w:name w:val="Titre 2 Car"/>
    <w:basedOn w:val="Policepardfaut"/>
    <w:link w:val="Titre2"/>
    <w:uiPriority w:val="9"/>
    <w:rsid w:val="00613427"/>
    <w:rPr>
      <w:rFonts w:asciiTheme="majorHAnsi" w:eastAsiaTheme="majorEastAsia" w:hAnsiTheme="majorHAnsi" w:cstheme="majorBidi"/>
      <w:color w:val="2F5496" w:themeColor="accent1" w:themeShade="BF"/>
      <w:sz w:val="26"/>
      <w:szCs w:val="26"/>
    </w:rPr>
  </w:style>
  <w:style w:type="paragraph" w:customStyle="1" w:styleId="JASAfourth-levelheading">
    <w:name w:val="JASA fourth-level heading"/>
    <w:basedOn w:val="Normal"/>
    <w:link w:val="JASAfourth-levelheadingChar"/>
    <w:qFormat/>
    <w:rsid w:val="00262116"/>
    <w:pPr>
      <w:numPr>
        <w:numId w:val="5"/>
      </w:numPr>
      <w:spacing w:line="480" w:lineRule="auto"/>
      <w:contextualSpacing/>
    </w:pPr>
    <w:rPr>
      <w:rFonts w:ascii="Garamond" w:hAnsi="Garamond"/>
      <w:i/>
      <w:iCs/>
    </w:rPr>
  </w:style>
  <w:style w:type="character" w:customStyle="1" w:styleId="Titre3Car">
    <w:name w:val="Titre 3 Car"/>
    <w:basedOn w:val="Policepardfaut"/>
    <w:link w:val="Titre3"/>
    <w:uiPriority w:val="9"/>
    <w:semiHidden/>
    <w:rsid w:val="00E92F2C"/>
    <w:rPr>
      <w:rFonts w:asciiTheme="majorHAnsi" w:eastAsiaTheme="majorEastAsia" w:hAnsiTheme="majorHAnsi" w:cstheme="majorBidi"/>
      <w:color w:val="1F3763" w:themeColor="accent1" w:themeShade="7F"/>
    </w:rPr>
  </w:style>
  <w:style w:type="paragraph" w:styleId="Textedebulles">
    <w:name w:val="Balloon Text"/>
    <w:basedOn w:val="Normal"/>
    <w:link w:val="TextedebullesCar"/>
    <w:uiPriority w:val="99"/>
    <w:semiHidden/>
    <w:unhideWhenUsed/>
    <w:rsid w:val="00CD6CA2"/>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CD6CA2"/>
    <w:rPr>
      <w:rFonts w:ascii="Times New Roman" w:hAnsi="Times New Roman" w:cs="Times New Roman"/>
      <w:sz w:val="18"/>
      <w:szCs w:val="18"/>
    </w:rPr>
  </w:style>
  <w:style w:type="table" w:styleId="Grilledutableau">
    <w:name w:val="Table Grid"/>
    <w:basedOn w:val="TableauNormal"/>
    <w:uiPriority w:val="39"/>
    <w:rsid w:val="005D4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link w:val="NotedefinCar"/>
    <w:uiPriority w:val="99"/>
    <w:semiHidden/>
    <w:unhideWhenUsed/>
    <w:rsid w:val="00BE1CCA"/>
    <w:rPr>
      <w:rFonts w:ascii="Garamond" w:hAnsi="Garamond"/>
      <w:sz w:val="20"/>
      <w:szCs w:val="20"/>
    </w:rPr>
  </w:style>
  <w:style w:type="character" w:customStyle="1" w:styleId="NotedefinCar">
    <w:name w:val="Note de fin Car"/>
    <w:basedOn w:val="Policepardfaut"/>
    <w:link w:val="Notedefin"/>
    <w:uiPriority w:val="99"/>
    <w:semiHidden/>
    <w:rsid w:val="00BE1CCA"/>
    <w:rPr>
      <w:rFonts w:ascii="Garamond" w:hAnsi="Garamond"/>
      <w:sz w:val="20"/>
      <w:szCs w:val="20"/>
    </w:rPr>
  </w:style>
  <w:style w:type="character" w:styleId="Appeldenotedefin">
    <w:name w:val="endnote reference"/>
    <w:basedOn w:val="Policepardfaut"/>
    <w:uiPriority w:val="99"/>
    <w:semiHidden/>
    <w:unhideWhenUsed/>
    <w:rsid w:val="00BE1CCA"/>
    <w:rPr>
      <w:vertAlign w:val="superscript"/>
    </w:rPr>
  </w:style>
  <w:style w:type="paragraph" w:customStyle="1" w:styleId="JASAUN-NUMBEREDHEADINGS">
    <w:name w:val="JASA UN-NUMBERED HEADINGS"/>
    <w:basedOn w:val="JASABodyText"/>
    <w:qFormat/>
    <w:rsid w:val="000D4066"/>
    <w:rPr>
      <w:rFonts w:cs="Times New Roman (Body CS)"/>
      <w:b/>
      <w:bCs/>
      <w:caps/>
    </w:rPr>
  </w:style>
  <w:style w:type="character" w:styleId="Lienhypertextesuivivisit">
    <w:name w:val="FollowedHyperlink"/>
    <w:basedOn w:val="Policepardfaut"/>
    <w:uiPriority w:val="99"/>
    <w:semiHidden/>
    <w:unhideWhenUsed/>
    <w:rsid w:val="00CD3730"/>
    <w:rPr>
      <w:color w:val="954F72" w:themeColor="followedHyperlink"/>
      <w:u w:val="single"/>
    </w:rPr>
  </w:style>
  <w:style w:type="character" w:styleId="Textedelespacerserv">
    <w:name w:val="Placeholder Text"/>
    <w:basedOn w:val="Policepardfaut"/>
    <w:uiPriority w:val="99"/>
    <w:semiHidden/>
    <w:rsid w:val="00481A45"/>
    <w:rPr>
      <w:color w:val="808080"/>
    </w:rPr>
  </w:style>
  <w:style w:type="paragraph" w:customStyle="1" w:styleId="JASAEquations">
    <w:name w:val="JASA Equations"/>
    <w:basedOn w:val="JASABodyText"/>
    <w:next w:val="JASABodyText"/>
    <w:qFormat/>
    <w:rsid w:val="00B60946"/>
    <w:pPr>
      <w:jc w:val="right"/>
    </w:pPr>
    <w:rPr>
      <w:rFonts w:ascii="Cambria Math" w:hAnsi="Cambria Math"/>
    </w:rPr>
  </w:style>
  <w:style w:type="paragraph" w:customStyle="1" w:styleId="JASAFigureCaptionsandEndnotes">
    <w:name w:val="JASA Figure Captions and Endnotes"/>
    <w:basedOn w:val="JASABodyText"/>
    <w:autoRedefine/>
    <w:qFormat/>
    <w:rsid w:val="00BE6D25"/>
    <w:pPr>
      <w:spacing w:after="240"/>
      <w:ind w:firstLine="0"/>
    </w:pPr>
  </w:style>
  <w:style w:type="paragraph" w:styleId="Titre">
    <w:name w:val="Title"/>
    <w:basedOn w:val="Normal"/>
    <w:next w:val="Normal"/>
    <w:link w:val="TitreCar"/>
    <w:uiPriority w:val="10"/>
    <w:qFormat/>
    <w:rsid w:val="00BD7B76"/>
    <w:rPr>
      <w:rFonts w:ascii="Garamond" w:hAnsi="Garamond" w:cs="Arial"/>
      <w:b/>
      <w:bCs/>
    </w:rPr>
  </w:style>
  <w:style w:type="character" w:customStyle="1" w:styleId="TitreCar">
    <w:name w:val="Titre Car"/>
    <w:basedOn w:val="Policepardfaut"/>
    <w:link w:val="Titre"/>
    <w:uiPriority w:val="10"/>
    <w:rsid w:val="00BD7B76"/>
    <w:rPr>
      <w:rFonts w:ascii="Garamond" w:hAnsi="Garamond" w:cs="Arial"/>
      <w:b/>
      <w:bCs/>
    </w:rPr>
  </w:style>
  <w:style w:type="paragraph" w:customStyle="1" w:styleId="JASAAffiliations">
    <w:name w:val="JASA Affiliations"/>
    <w:basedOn w:val="Normal"/>
    <w:qFormat/>
    <w:rsid w:val="00BD7B76"/>
    <w:pPr>
      <w:spacing w:line="480" w:lineRule="auto"/>
    </w:pPr>
    <w:rPr>
      <w:rFonts w:ascii="Garamond" w:hAnsi="Garamond" w:cs="Times New Roman (Body CS)"/>
      <w:i/>
    </w:rPr>
  </w:style>
  <w:style w:type="paragraph" w:customStyle="1" w:styleId="JASAAuthors">
    <w:name w:val="JASA Authors"/>
    <w:basedOn w:val="Normal"/>
    <w:qFormat/>
    <w:rsid w:val="00BD7B76"/>
    <w:pPr>
      <w:spacing w:line="480" w:lineRule="auto"/>
    </w:pPr>
    <w:rPr>
      <w:rFonts w:ascii="Garamond" w:hAnsi="Garamond"/>
    </w:rPr>
  </w:style>
  <w:style w:type="paragraph" w:customStyle="1" w:styleId="JASAAbstract">
    <w:name w:val="JASA Abstract"/>
    <w:basedOn w:val="Normal"/>
    <w:qFormat/>
    <w:rsid w:val="00BD7B76"/>
    <w:pPr>
      <w:spacing w:line="480" w:lineRule="auto"/>
    </w:pPr>
    <w:rPr>
      <w:rFonts w:ascii="Garamond" w:hAnsi="Garamond"/>
    </w:rPr>
  </w:style>
  <w:style w:type="character" w:customStyle="1" w:styleId="JASAfourth-levelheadingChar">
    <w:name w:val="JASA fourth-level heading Char"/>
    <w:basedOn w:val="Policepardfaut"/>
    <w:link w:val="JASAfourth-levelheading"/>
    <w:rsid w:val="00F54497"/>
    <w:rPr>
      <w:rFonts w:ascii="Garamond" w:hAnsi="Garamond"/>
      <w:i/>
      <w:iCs/>
    </w:rPr>
  </w:style>
  <w:style w:type="character" w:customStyle="1" w:styleId="JASABodyTextChar">
    <w:name w:val="JASA Body Text Char"/>
    <w:basedOn w:val="Policepardfaut"/>
    <w:link w:val="JASABodyText"/>
    <w:rsid w:val="009E3D59"/>
    <w:rPr>
      <w:rFonts w:ascii="Garamond" w:hAnsi="Garamond"/>
    </w:rPr>
  </w:style>
  <w:style w:type="paragraph" w:styleId="Rvision">
    <w:name w:val="Revision"/>
    <w:hidden/>
    <w:uiPriority w:val="99"/>
    <w:semiHidden/>
    <w:rsid w:val="00B65B8A"/>
  </w:style>
  <w:style w:type="character" w:styleId="Marquedecommentaire">
    <w:name w:val="annotation reference"/>
    <w:basedOn w:val="Policepardfaut"/>
    <w:uiPriority w:val="99"/>
    <w:semiHidden/>
    <w:unhideWhenUsed/>
    <w:rsid w:val="00D137B9"/>
    <w:rPr>
      <w:sz w:val="16"/>
      <w:szCs w:val="16"/>
    </w:rPr>
  </w:style>
  <w:style w:type="paragraph" w:styleId="Commentaire">
    <w:name w:val="annotation text"/>
    <w:basedOn w:val="Normal"/>
    <w:link w:val="CommentaireCar"/>
    <w:uiPriority w:val="99"/>
    <w:semiHidden/>
    <w:unhideWhenUsed/>
    <w:rsid w:val="00D137B9"/>
    <w:rPr>
      <w:sz w:val="20"/>
      <w:szCs w:val="20"/>
    </w:rPr>
  </w:style>
  <w:style w:type="character" w:customStyle="1" w:styleId="CommentaireCar">
    <w:name w:val="Commentaire Car"/>
    <w:basedOn w:val="Policepardfaut"/>
    <w:link w:val="Commentaire"/>
    <w:uiPriority w:val="99"/>
    <w:semiHidden/>
    <w:rsid w:val="00D137B9"/>
    <w:rPr>
      <w:sz w:val="20"/>
      <w:szCs w:val="20"/>
    </w:rPr>
  </w:style>
  <w:style w:type="paragraph" w:styleId="Objetducommentaire">
    <w:name w:val="annotation subject"/>
    <w:basedOn w:val="Commentaire"/>
    <w:next w:val="Commentaire"/>
    <w:link w:val="ObjetducommentaireCar"/>
    <w:uiPriority w:val="99"/>
    <w:semiHidden/>
    <w:unhideWhenUsed/>
    <w:rsid w:val="00D137B9"/>
    <w:rPr>
      <w:b/>
      <w:bCs/>
    </w:rPr>
  </w:style>
  <w:style w:type="character" w:customStyle="1" w:styleId="ObjetducommentaireCar">
    <w:name w:val="Objet du commentaire Car"/>
    <w:basedOn w:val="CommentaireCar"/>
    <w:link w:val="Objetducommentaire"/>
    <w:uiPriority w:val="99"/>
    <w:semiHidden/>
    <w:rsid w:val="00D137B9"/>
    <w:rPr>
      <w:b/>
      <w:bCs/>
      <w:sz w:val="20"/>
      <w:szCs w:val="20"/>
    </w:rPr>
  </w:style>
  <w:style w:type="paragraph" w:styleId="Paragraphedeliste">
    <w:name w:val="List Paragraph"/>
    <w:basedOn w:val="Normal"/>
    <w:uiPriority w:val="34"/>
    <w:qFormat/>
    <w:rsid w:val="00B53BBB"/>
    <w:pPr>
      <w:ind w:left="720"/>
      <w:contextualSpacing/>
    </w:pPr>
  </w:style>
  <w:style w:type="character" w:styleId="lev">
    <w:name w:val="Strong"/>
    <w:basedOn w:val="Policepardfaut"/>
    <w:uiPriority w:val="22"/>
    <w:qFormat/>
    <w:rsid w:val="004F27D6"/>
    <w:rPr>
      <w:b/>
      <w:bCs/>
    </w:rPr>
  </w:style>
  <w:style w:type="paragraph" w:customStyle="1" w:styleId="JASAun-numberedsubheadings">
    <w:name w:val="JASA un-numbered subheadings"/>
    <w:basedOn w:val="JASAUN-NUMBEREDHEADINGS"/>
    <w:next w:val="JASABodyText"/>
    <w:qFormat/>
    <w:rsid w:val="00180FC3"/>
    <w:rPr>
      <w:caps w:val="0"/>
    </w:rPr>
  </w:style>
  <w:style w:type="paragraph" w:customStyle="1" w:styleId="Headings-Acknowlegements">
    <w:name w:val="Headings - Acknowlegements"/>
    <w:aliases w:val="Appendices,References"/>
    <w:basedOn w:val="JASABodyText"/>
    <w:qFormat/>
    <w:rsid w:val="009E3D59"/>
    <w:rPr>
      <w:b/>
      <w:bCs/>
    </w:rPr>
  </w:style>
  <w:style w:type="paragraph" w:customStyle="1" w:styleId="JASAReferencesAlphabetical">
    <w:name w:val="JASA References (Alphabetical)"/>
    <w:basedOn w:val="JASABodyText"/>
    <w:qFormat/>
    <w:rsid w:val="009E3D59"/>
    <w:pPr>
      <w:ind w:left="720" w:hanging="720"/>
    </w:pPr>
  </w:style>
  <w:style w:type="paragraph" w:customStyle="1" w:styleId="JASAsubsubsectionsecondsubheading">
    <w:name w:val="JASA subsubsection (second subheading)"/>
    <w:basedOn w:val="Titre3"/>
    <w:qFormat/>
    <w:rsid w:val="009E3D59"/>
    <w:pPr>
      <w:spacing w:line="480" w:lineRule="auto"/>
      <w:ind w:left="720" w:hanging="360"/>
    </w:pPr>
    <w:rPr>
      <w:rFonts w:ascii="Garamond" w:hAnsi="Garamond"/>
      <w:b/>
      <w:i/>
      <w:iCs/>
      <w:color w:val="000000" w:themeColor="text1"/>
    </w:rPr>
  </w:style>
  <w:style w:type="character" w:customStyle="1" w:styleId="Titre4Car">
    <w:name w:val="Titre 4 Car"/>
    <w:basedOn w:val="Policepardfaut"/>
    <w:link w:val="Titre4"/>
    <w:uiPriority w:val="9"/>
    <w:semiHidden/>
    <w:rsid w:val="00B672F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B672F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B672F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B672F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B672F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672FB"/>
    <w:rPr>
      <w:rFonts w:asciiTheme="majorHAnsi" w:eastAsiaTheme="majorEastAsia" w:hAnsiTheme="majorHAnsi" w:cstheme="majorBidi"/>
      <w:i/>
      <w:iCs/>
      <w:color w:val="272727" w:themeColor="text1" w:themeTint="D8"/>
      <w:sz w:val="21"/>
      <w:szCs w:val="21"/>
    </w:rPr>
  </w:style>
  <w:style w:type="table" w:customStyle="1" w:styleId="TableGrid">
    <w:name w:val="TableGrid"/>
    <w:rsid w:val="00CA065F"/>
    <w:rPr>
      <w:kern w:val="2"/>
      <w:lang w:eastAsia="zh-TW"/>
      <w14:ligatures w14:val="standardContextual"/>
    </w:rPr>
    <w:tblPr>
      <w:tblCellMar>
        <w:top w:w="0" w:type="dxa"/>
        <w:left w:w="0" w:type="dxa"/>
        <w:bottom w:w="0" w:type="dxa"/>
        <w:right w:w="0" w:type="dxa"/>
      </w:tblCellMar>
    </w:tblPr>
  </w:style>
  <w:style w:type="paragraph" w:customStyle="1" w:styleId="p1">
    <w:name w:val="p1"/>
    <w:basedOn w:val="Normal"/>
    <w:rsid w:val="00971249"/>
    <w:rPr>
      <w:rFonts w:ascii="Times New Roman" w:eastAsia="Times New Roman" w:hAnsi="Times New Roman" w:cs="Times New Roman"/>
      <w:color w:val="000000"/>
      <w:sz w:val="18"/>
      <w:szCs w:val="18"/>
      <w:lang w:val="fr-TW" w:eastAsia="zh-TW"/>
    </w:rPr>
  </w:style>
  <w:style w:type="paragraph" w:styleId="En-tte">
    <w:name w:val="header"/>
    <w:basedOn w:val="Normal"/>
    <w:link w:val="En-tteCar"/>
    <w:uiPriority w:val="99"/>
    <w:unhideWhenUsed/>
    <w:rsid w:val="002A4A4D"/>
    <w:pPr>
      <w:tabs>
        <w:tab w:val="center" w:pos="4513"/>
        <w:tab w:val="right" w:pos="9026"/>
      </w:tabs>
    </w:pPr>
  </w:style>
  <w:style w:type="character" w:customStyle="1" w:styleId="En-tteCar">
    <w:name w:val="En-tête Car"/>
    <w:basedOn w:val="Policepardfaut"/>
    <w:link w:val="En-tte"/>
    <w:uiPriority w:val="99"/>
    <w:rsid w:val="002A4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702066">
      <w:bodyDiv w:val="1"/>
      <w:marLeft w:val="0"/>
      <w:marRight w:val="0"/>
      <w:marTop w:val="0"/>
      <w:marBottom w:val="0"/>
      <w:divBdr>
        <w:top w:val="none" w:sz="0" w:space="0" w:color="auto"/>
        <w:left w:val="none" w:sz="0" w:space="0" w:color="auto"/>
        <w:bottom w:val="none" w:sz="0" w:space="0" w:color="auto"/>
        <w:right w:val="none" w:sz="0" w:space="0" w:color="auto"/>
      </w:divBdr>
    </w:div>
    <w:div w:id="455607793">
      <w:bodyDiv w:val="1"/>
      <w:marLeft w:val="0"/>
      <w:marRight w:val="0"/>
      <w:marTop w:val="0"/>
      <w:marBottom w:val="0"/>
      <w:divBdr>
        <w:top w:val="none" w:sz="0" w:space="0" w:color="auto"/>
        <w:left w:val="none" w:sz="0" w:space="0" w:color="auto"/>
        <w:bottom w:val="none" w:sz="0" w:space="0" w:color="auto"/>
        <w:right w:val="none" w:sz="0" w:space="0" w:color="auto"/>
      </w:divBdr>
      <w:divsChild>
        <w:div w:id="1885480156">
          <w:marLeft w:val="0"/>
          <w:marRight w:val="0"/>
          <w:marTop w:val="60"/>
          <w:marBottom w:val="0"/>
          <w:divBdr>
            <w:top w:val="none" w:sz="0" w:space="0" w:color="auto"/>
            <w:left w:val="none" w:sz="0" w:space="0" w:color="auto"/>
            <w:bottom w:val="none" w:sz="0" w:space="0" w:color="auto"/>
            <w:right w:val="none" w:sz="0" w:space="0" w:color="auto"/>
          </w:divBdr>
        </w:div>
      </w:divsChild>
    </w:div>
    <w:div w:id="1025861588">
      <w:bodyDiv w:val="1"/>
      <w:marLeft w:val="0"/>
      <w:marRight w:val="0"/>
      <w:marTop w:val="0"/>
      <w:marBottom w:val="0"/>
      <w:divBdr>
        <w:top w:val="none" w:sz="0" w:space="0" w:color="auto"/>
        <w:left w:val="none" w:sz="0" w:space="0" w:color="auto"/>
        <w:bottom w:val="none" w:sz="0" w:space="0" w:color="auto"/>
        <w:right w:val="none" w:sz="0" w:space="0" w:color="auto"/>
      </w:divBdr>
    </w:div>
    <w:div w:id="1565289038">
      <w:bodyDiv w:val="1"/>
      <w:marLeft w:val="0"/>
      <w:marRight w:val="0"/>
      <w:marTop w:val="0"/>
      <w:marBottom w:val="0"/>
      <w:divBdr>
        <w:top w:val="none" w:sz="0" w:space="0" w:color="auto"/>
        <w:left w:val="none" w:sz="0" w:space="0" w:color="auto"/>
        <w:bottom w:val="none" w:sz="0" w:space="0" w:color="auto"/>
        <w:right w:val="none" w:sz="0" w:space="0" w:color="auto"/>
      </w:divBdr>
    </w:div>
    <w:div w:id="1569267558">
      <w:bodyDiv w:val="1"/>
      <w:marLeft w:val="0"/>
      <w:marRight w:val="0"/>
      <w:marTop w:val="0"/>
      <w:marBottom w:val="0"/>
      <w:divBdr>
        <w:top w:val="none" w:sz="0" w:space="0" w:color="auto"/>
        <w:left w:val="none" w:sz="0" w:space="0" w:color="auto"/>
        <w:bottom w:val="none" w:sz="0" w:space="0" w:color="auto"/>
        <w:right w:val="none" w:sz="0" w:space="0" w:color="auto"/>
      </w:divBdr>
    </w:div>
    <w:div w:id="1621573854">
      <w:bodyDiv w:val="1"/>
      <w:marLeft w:val="0"/>
      <w:marRight w:val="0"/>
      <w:marTop w:val="0"/>
      <w:marBottom w:val="0"/>
      <w:divBdr>
        <w:top w:val="none" w:sz="0" w:space="0" w:color="auto"/>
        <w:left w:val="none" w:sz="0" w:space="0" w:color="auto"/>
        <w:bottom w:val="none" w:sz="0" w:space="0" w:color="auto"/>
        <w:right w:val="none" w:sz="0" w:space="0" w:color="auto"/>
      </w:divBdr>
    </w:div>
    <w:div w:id="1633630841">
      <w:bodyDiv w:val="1"/>
      <w:marLeft w:val="0"/>
      <w:marRight w:val="0"/>
      <w:marTop w:val="0"/>
      <w:marBottom w:val="0"/>
      <w:divBdr>
        <w:top w:val="none" w:sz="0" w:space="0" w:color="auto"/>
        <w:left w:val="none" w:sz="0" w:space="0" w:color="auto"/>
        <w:bottom w:val="none" w:sz="0" w:space="0" w:color="auto"/>
        <w:right w:val="none" w:sz="0" w:space="0" w:color="auto"/>
      </w:divBdr>
    </w:div>
    <w:div w:id="1842157423">
      <w:bodyDiv w:val="1"/>
      <w:marLeft w:val="0"/>
      <w:marRight w:val="0"/>
      <w:marTop w:val="0"/>
      <w:marBottom w:val="0"/>
      <w:divBdr>
        <w:top w:val="none" w:sz="0" w:space="0" w:color="auto"/>
        <w:left w:val="none" w:sz="0" w:space="0" w:color="auto"/>
        <w:bottom w:val="none" w:sz="0" w:space="0" w:color="auto"/>
        <w:right w:val="none" w:sz="0" w:space="0" w:color="auto"/>
      </w:divBdr>
    </w:div>
    <w:div w:id="1910649460">
      <w:bodyDiv w:val="1"/>
      <w:marLeft w:val="0"/>
      <w:marRight w:val="0"/>
      <w:marTop w:val="0"/>
      <w:marBottom w:val="0"/>
      <w:divBdr>
        <w:top w:val="none" w:sz="0" w:space="0" w:color="auto"/>
        <w:left w:val="none" w:sz="0" w:space="0" w:color="auto"/>
        <w:bottom w:val="none" w:sz="0" w:space="0" w:color="auto"/>
        <w:right w:val="none" w:sz="0" w:space="0" w:color="auto"/>
      </w:divBdr>
    </w:div>
    <w:div w:id="195797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doi.org/10.16995/labphon.17746"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doi.org/10.1515/lingvan-2022-0158"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osf.io/zcu5m/?view_only=db0d37ea2cc74bf7b9a4de5532238e70" TargetMode="External"/><Relationship Id="rId29" Type="http://schemas.openxmlformats.org/officeDocument/2006/relationships/hyperlink" Target="https://doi.org/10.1007/s11265-015-100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tggl.naer.edu.tw/"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i.org/10.1007/s11265-015-1008-2"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tggl.naer.edu.t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i.org/10.1121/10.0038965" TargetMode="External"/><Relationship Id="rId30" Type="http://schemas.openxmlformats.org/officeDocument/2006/relationships/hyperlink" Target="https://cran.r-project.org/package=emmeans" TargetMode="External"/><Relationship Id="rId35" Type="http://schemas.openxmlformats.org/officeDocument/2006/relationships/hyperlink" Target="https://doi.org/10.1016/j.wocn.2020.101018" TargetMode="External"/><Relationship Id="rId8" Type="http://schemas.openxmlformats.org/officeDocument/2006/relationships/header" Target="head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osf.io/zcu5m/?view_only=db0d37ea2cc74bf7b9a4de5532238e70" TargetMode="External"/><Relationship Id="rId2" Type="http://schemas.openxmlformats.org/officeDocument/2006/relationships/hyperlink" Target="https://osf.io/cv2fb" TargetMode="External"/><Relationship Id="rId1" Type="http://schemas.openxmlformats.org/officeDocument/2006/relationships/hyperlink" Target="https://osf.io/cv2f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ohsuan/Downloads/2023-10%20JASA%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BD1AA-24A0-9F49-B0D2-6F8E15607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2023-10 JASA Word Template.dotx</Template>
  <TotalTime>39</TotalTime>
  <Pages>85</Pages>
  <Words>19866</Words>
  <Characters>109264</Characters>
  <Application>Microsoft Office Word</Application>
  <DocSecurity>0</DocSecurity>
  <Lines>910</Lines>
  <Paragraphs>257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黃柏瑄</dc:creator>
  <cp:keywords/>
  <dc:description/>
  <cp:lastModifiedBy>Po-Hsuan Huang</cp:lastModifiedBy>
  <cp:revision>14</cp:revision>
  <cp:lastPrinted>2026-10-05T17:39:00Z</cp:lastPrinted>
  <dcterms:created xsi:type="dcterms:W3CDTF">2026-10-05T17:39:00Z</dcterms:created>
  <dcterms:modified xsi:type="dcterms:W3CDTF">2026-10-05T19:11:00Z</dcterms:modified>
</cp:coreProperties>
</file>