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834"/>
        <w:gridCol w:w="2120"/>
        <w:gridCol w:w="1418"/>
        <w:gridCol w:w="1843"/>
        <w:gridCol w:w="1964"/>
      </w:tblGrid>
      <w:tr w:rsidR="00806E69" w:rsidRPr="00AB17F3" w14:paraId="4E723987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2398E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/>
              </w:rPr>
              <w:t>課程名稱</w:t>
            </w:r>
          </w:p>
        </w:tc>
        <w:tc>
          <w:tcPr>
            <w:tcW w:w="1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702DB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</w:p>
        </w:tc>
        <w:tc>
          <w:tcPr>
            <w:tcW w:w="21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57894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/>
              </w:rPr>
              <w:t>課程類型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FAAB3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43BEA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/>
              </w:rPr>
              <w:t>授課教師</w:t>
            </w:r>
          </w:p>
        </w:tc>
        <w:tc>
          <w:tcPr>
            <w:tcW w:w="19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B6443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</w:p>
        </w:tc>
      </w:tr>
      <w:tr w:rsidR="00806E69" w:rsidRPr="00AB17F3" w14:paraId="043DD2E6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5CC0F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/>
              </w:rPr>
              <w:t>項次</w:t>
            </w:r>
          </w:p>
        </w:tc>
        <w:tc>
          <w:tcPr>
            <w:tcW w:w="537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21106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/>
              </w:rPr>
              <w:t>學習表現</w:t>
            </w:r>
          </w:p>
        </w:tc>
        <w:tc>
          <w:tcPr>
            <w:tcW w:w="38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3E826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資優課程調整方式</w:t>
            </w:r>
          </w:p>
        </w:tc>
      </w:tr>
      <w:tr w:rsidR="00806E69" w:rsidRPr="00AB17F3" w14:paraId="5F3C1D37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073E8" w14:textId="3B5B7C7B" w:rsidR="00806E69" w:rsidRPr="00AB17F3" w:rsidRDefault="00806E69" w:rsidP="00B21BC6">
            <w:pPr>
              <w:jc w:val="center"/>
              <w:rPr>
                <w:rFonts w:ascii="華康細圓體" w:eastAsia="華康細圓體" w:hAnsi="華康細圓體" w:hint="eastAsia"/>
              </w:rPr>
            </w:pPr>
            <w:r>
              <w:rPr>
                <w:rFonts w:ascii="華康細圓體" w:eastAsia="華康細圓體" w:hAnsi="華康細圓體"/>
              </w:rPr>
              <w:t>1</w:t>
            </w:r>
          </w:p>
        </w:tc>
        <w:tc>
          <w:tcPr>
            <w:tcW w:w="5372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r/>
            <w:r>
              <w:t>{#IndRuns}{#isAdd}</w:t>
            </w:r>
            <w:r>
              <w:rPr>
                <w:color w:val="FF0000"/>
              </w:rPr>
              <w:t>{text}</w:t>
            </w:r>
            <w:r>
              <w:t>{/isAdd}{#isDel}</w:t>
            </w:r>
            <w:r>
              <w:rPr>
                <w:strike/>
                <w:color w:val="FF0000"/>
              </w:rPr>
              <w:t>{text}</w:t>
            </w:r>
            <w:r>
              <w:t>{/isDel}{^isAdd}{^isDel}{text}{/isDel}{/isAdd}{/IndRuns}</w:t>
            </w:r>
          </w:p>
        </w:tc>
        <w:tc>
          <w:tcPr>
            <w:tcW w:w="38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F23CC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學習內容調整策略：</w:t>
            </w:r>
          </w:p>
          <w:p w14:paraId="73CD11B6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□重組 □加深 □加廣</w:t>
            </w:r>
          </w:p>
          <w:p w14:paraId="1D2D73B2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□濃縮 □加速</w:t>
            </w:r>
          </w:p>
          <w:p w14:paraId="73BC41D0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□跨領域/科目統整教學主題</w:t>
            </w:r>
          </w:p>
          <w:p w14:paraId="1835B3B6" w14:textId="77777777" w:rsidR="00806E69" w:rsidRPr="00AB17F3" w:rsidRDefault="00806E69" w:rsidP="00B21BC6">
            <w:pPr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□其他:</w:t>
            </w:r>
          </w:p>
        </w:tc>
      </w:tr>
      <w:tr w:rsidR="00806E69" w:rsidRPr="00AB17F3" w14:paraId="2147FC81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9A77E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  <w:szCs w:val="24"/>
              </w:rPr>
            </w:pPr>
          </w:p>
        </w:tc>
        <w:tc>
          <w:tcPr>
            <w:tcW w:w="5372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B3E73" w14:textId="77777777" w:rsidR="00806E69" w:rsidRPr="00AB17F3" w:rsidRDefault="00806E69" w:rsidP="00B21BC6">
            <w:pPr>
              <w:rPr>
                <w:rFonts w:ascii="華康細圓體" w:eastAsia="華康細圓體" w:hAnsi="華康細圓體"/>
                <w:color w:val="0000FF"/>
              </w:rPr>
            </w:pPr>
          </w:p>
        </w:tc>
        <w:tc>
          <w:tcPr>
            <w:tcW w:w="38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7AC07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學習歷程調整策略：</w:t>
            </w:r>
          </w:p>
          <w:p w14:paraId="078F51C0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□高層次思考 □開放式問題</w:t>
            </w:r>
          </w:p>
          <w:p w14:paraId="203FF7FC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□發現式學習 □推理的證據</w:t>
            </w:r>
          </w:p>
          <w:p w14:paraId="51195217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□選擇的自由 □團體式的互動</w:t>
            </w:r>
          </w:p>
          <w:p w14:paraId="536F2A80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□彈性的教學進度</w:t>
            </w:r>
          </w:p>
          <w:p w14:paraId="6ABE4AC9" w14:textId="77777777" w:rsidR="00806E69" w:rsidRPr="00AB17F3" w:rsidRDefault="00806E69" w:rsidP="00B21BC6">
            <w:pPr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□多樣性的歷程  □其他：</w:t>
            </w:r>
          </w:p>
        </w:tc>
      </w:tr>
      <w:tr w:rsidR="00806E69" w:rsidRPr="00AB17F3" w14:paraId="051C7390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EA186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  <w:szCs w:val="24"/>
              </w:rPr>
            </w:pPr>
          </w:p>
        </w:tc>
        <w:tc>
          <w:tcPr>
            <w:tcW w:w="5372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78885" w14:textId="77777777" w:rsidR="00806E69" w:rsidRPr="00AB17F3" w:rsidRDefault="00806E69" w:rsidP="00B21BC6">
            <w:pPr>
              <w:rPr>
                <w:rFonts w:ascii="華康細圓體" w:eastAsia="華康細圓體" w:hAnsi="華康細圓體"/>
                <w:color w:val="FF0000"/>
              </w:rPr>
            </w:pPr>
          </w:p>
        </w:tc>
        <w:tc>
          <w:tcPr>
            <w:tcW w:w="38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D0CF1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學習環境調整策略:</w:t>
            </w:r>
          </w:p>
          <w:p w14:paraId="3EA63CFD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□調整物理的學習環境</w:t>
            </w:r>
          </w:p>
          <w:p w14:paraId="0A7E7BAC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□營造社會-情緒的學習環境</w:t>
            </w:r>
          </w:p>
          <w:p w14:paraId="315B2D15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□規劃有回應的學習環境</w:t>
            </w:r>
          </w:p>
          <w:p w14:paraId="11DD4FEE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□有挑戰性的學習環境</w:t>
            </w:r>
          </w:p>
          <w:p w14:paraId="72501402" w14:textId="77777777" w:rsidR="00806E69" w:rsidRPr="00AB17F3" w:rsidRDefault="00806E69" w:rsidP="00B21BC6">
            <w:pPr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□調查與運用社區資源 □其他</w:t>
            </w:r>
          </w:p>
        </w:tc>
      </w:tr>
      <w:tr w:rsidR="00806E69" w:rsidRPr="00AB17F3" w14:paraId="70D88647" w14:textId="77777777" w:rsidTr="00B21BC6">
        <w:tblPrEx>
          <w:tblCellMar>
            <w:top w:w="0" w:type="dxa"/>
            <w:bottom w:w="0" w:type="dxa"/>
          </w:tblCellMar>
        </w:tblPrEx>
        <w:trPr>
          <w:trHeight w:val="781"/>
        </w:trPr>
        <w:tc>
          <w:tcPr>
            <w:tcW w:w="12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9FEE8" w14:textId="77777777" w:rsidR="00806E69" w:rsidRPr="00AB17F3" w:rsidRDefault="00806E69" w:rsidP="00B21BC6">
            <w:pPr>
              <w:jc w:val="center"/>
              <w:rPr>
                <w:rFonts w:ascii="華康細圓體" w:eastAsia="華康細圓體" w:hAnsi="華康細圓體"/>
                <w:szCs w:val="24"/>
              </w:rPr>
            </w:pPr>
          </w:p>
        </w:tc>
        <w:tc>
          <w:tcPr>
            <w:tcW w:w="5372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4C878" w14:textId="77777777" w:rsidR="00806E69" w:rsidRPr="00AB17F3" w:rsidRDefault="00806E69" w:rsidP="00B21BC6">
            <w:pPr>
              <w:rPr>
                <w:rFonts w:ascii="華康細圓體" w:eastAsia="華康細圓體" w:hAnsi="華康細圓體"/>
                <w:color w:val="0000FF"/>
              </w:rPr>
            </w:pPr>
          </w:p>
        </w:tc>
        <w:tc>
          <w:tcPr>
            <w:tcW w:w="38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B9AA8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學習評量調整策略：</w:t>
            </w:r>
          </w:p>
          <w:p w14:paraId="0CB8EA90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□發展合適的評量工具</w:t>
            </w:r>
          </w:p>
          <w:p w14:paraId="2D0B4D63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□訂定區分性的評量標準</w:t>
            </w:r>
          </w:p>
          <w:p w14:paraId="25A495D9" w14:textId="77777777" w:rsidR="00806E69" w:rsidRPr="00AB17F3" w:rsidRDefault="00806E69" w:rsidP="00B21BC6">
            <w:pPr>
              <w:pStyle w:val="Standard"/>
              <w:snapToGrid w:val="0"/>
              <w:spacing w:line="240" w:lineRule="atLeast"/>
              <w:rPr>
                <w:rFonts w:ascii="華康細圓體" w:eastAsia="華康細圓體" w:hAnsi="華康細圓體" w:cs="標楷體"/>
                <w:sz w:val="22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□呈現多元的實作與作品</w:t>
            </w:r>
          </w:p>
          <w:p w14:paraId="3615793A" w14:textId="77777777" w:rsidR="00806E69" w:rsidRPr="00AB17F3" w:rsidRDefault="00806E69" w:rsidP="00B21BC6">
            <w:pPr>
              <w:rPr>
                <w:rFonts w:ascii="華康細圓體" w:eastAsia="華康細圓體" w:hAnsi="華康細圓體"/>
              </w:rPr>
            </w:pPr>
            <w:r w:rsidRPr="00AB17F3">
              <w:rPr>
                <w:rFonts w:ascii="華康細圓體" w:eastAsia="華康細圓體" w:hAnsi="華康細圓體" w:cs="標楷體"/>
                <w:sz w:val="22"/>
              </w:rPr>
              <w:t>□其他：</w:t>
            </w:r>
          </w:p>
        </w:tc>
      </w:tr>
    </w:tbl>
    <w:p w14:paraId="6FD3F9C8" w14:textId="77777777" w:rsidR="008A6700" w:rsidRDefault="008A6700"/>
    <w:sectPr w:rsidR="008A6700" w:rsidSect="00806E6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, PMingLiU">
    <w:altName w:val="新細明體"/>
    <w:panose1 w:val="020B0604020202020204"/>
    <w:charset w:val="00"/>
    <w:family w:val="roman"/>
    <w:pitch w:val="variable"/>
  </w:font>
  <w:font w:name="華康細圓體">
    <w:panose1 w:val="020F0309000000000000"/>
    <w:charset w:val="88"/>
    <w:family w:val="modern"/>
    <w:pitch w:val="fixed"/>
    <w:sig w:usb0="A000023F" w:usb1="3A4F9C38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69"/>
    <w:rsid w:val="001B5189"/>
    <w:rsid w:val="00395547"/>
    <w:rsid w:val="00516898"/>
    <w:rsid w:val="00806E69"/>
    <w:rsid w:val="008A6700"/>
    <w:rsid w:val="00AC58E9"/>
    <w:rsid w:val="00C75C51"/>
    <w:rsid w:val="00DB6178"/>
    <w:rsid w:val="00E1371D"/>
    <w:rsid w:val="00E4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273A4"/>
  <w15:chartTrackingRefBased/>
  <w15:docId w15:val="{5A4A604A-BD1F-E44B-9B3C-CF72C645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06E69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6E69"/>
    <w:pPr>
      <w:keepNext/>
      <w:keepLines/>
      <w:suppressAutoHyphens w:val="0"/>
      <w:autoSpaceDN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E69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E69"/>
    <w:pPr>
      <w:keepNext/>
      <w:keepLines/>
      <w:suppressAutoHyphens w:val="0"/>
      <w:autoSpaceDN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E69"/>
    <w:pPr>
      <w:keepNext/>
      <w:keepLines/>
      <w:suppressAutoHyphens w:val="0"/>
      <w:autoSpaceDN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E69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E69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E69"/>
    <w:pPr>
      <w:keepNext/>
      <w:keepLines/>
      <w:suppressAutoHyphens w:val="0"/>
      <w:autoSpaceDN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E69"/>
    <w:pPr>
      <w:keepNext/>
      <w:keepLines/>
      <w:suppressAutoHyphens w:val="0"/>
      <w:autoSpaceDN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E69"/>
    <w:pPr>
      <w:keepNext/>
      <w:keepLines/>
      <w:suppressAutoHyphens w:val="0"/>
      <w:autoSpaceDN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6E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6E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6E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6E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6E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6E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6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E69"/>
    <w:pPr>
      <w:suppressAutoHyphens w:val="0"/>
      <w:autoSpaceDN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80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E69"/>
    <w:pPr>
      <w:numPr>
        <w:ilvl w:val="1"/>
      </w:numPr>
      <w:suppressAutoHyphens w:val="0"/>
      <w:autoSpaceDN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806E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E69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806E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E69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06E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806E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E6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806E69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, PMingLiU" w:hAnsi="Calibri" w:cs="Times New Roman"/>
      <w:kern w:val="3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271223-53F5-284F-8DFE-3965FC765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政緯 林</dc:creator>
  <cp:keywords/>
  <dc:description/>
  <cp:lastModifiedBy>政緯 林</cp:lastModifiedBy>
  <cp:revision>1</cp:revision>
  <dcterms:created xsi:type="dcterms:W3CDTF">2026-03-28T13:30:00Z</dcterms:created>
  <dcterms:modified xsi:type="dcterms:W3CDTF">2026-03-28T13:31:00Z</dcterms:modified>
</cp:coreProperties>
</file>