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7"/>
        <w:gridCol w:w="1834"/>
        <w:gridCol w:w="2120"/>
        <w:gridCol w:w="1418"/>
        <w:gridCol w:w="1843"/>
        <w:gridCol w:w="1964"/>
      </w:tblGrid>
      <w:tr w:rsidR="00806E69" w:rsidRPr="00AB17F3" w14:paraId="4E723987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E2398E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課程名稱</w:t>
            </w:r>
          </w:p>
        </w:tc>
        <w:tc>
          <w:tcPr>
            <w:tcW w:w="1834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C702DB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</w:p>
        </w:tc>
        <w:tc>
          <w:tcPr>
            <w:tcW w:w="212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C57894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課程類型</w:t>
            </w:r>
          </w:p>
        </w:tc>
        <w:tc>
          <w:tcPr>
            <w:tcW w:w="1418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AFAAB3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</w:p>
        </w:tc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343BEA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授課教師</w:t>
            </w:r>
          </w:p>
        </w:tc>
        <w:tc>
          <w:tcPr>
            <w:tcW w:w="1964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EB6443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</w:p>
        </w:tc>
      </w:tr>
      <w:tr w:rsidR="00806E69" w:rsidRPr="00AB17F3" w14:paraId="043DD2E6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15CC0F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項次</w:t>
            </w:r>
          </w:p>
        </w:tc>
        <w:tc>
          <w:tcPr>
            <w:tcW w:w="5372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421106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/>
              </w:rPr>
              <w:t>學習表現</w:t>
            </w:r>
          </w:p>
        </w:tc>
        <w:tc>
          <w:tcPr>
            <w:tcW w:w="38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93E826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資優課程調整方式</w:t>
            </w:r>
          </w:p>
        </w:tc>
      </w:tr>
      <w:tr w:rsidR="00806E69" w:rsidRPr="00AB17F3" w14:paraId="5F3C1D37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D073E8" w14:textId="3B5B7C7B" w:rsidR="00806E69" w:rsidRPr="00AB17F3" w:rsidRDefault="00806E69" w:rsidP="00B21BC6">
            <w:pPr>
              <w:jc w:val="center"/>
              <w:rPr>
                <w:rFonts w:ascii="華康細圓體" w:eastAsia="華康細圓體" w:hAnsi="華康細圓體" w:hint="eastAsia"/>
              </w:rPr>
            </w:pPr>
            <w:r>
              <w:rPr>
                <w:rFonts w:ascii="華康細圓體" w:eastAsia="華康細圓體" w:hAnsi="華康細圓體"/>
              </w:rPr>
              <w:t>1</w:t>
            </w:r>
          </w:p>
        </w:tc>
        <w:tc>
          <w:tcPr>
            <w:tcW w:w="5372" w:type="dxa"/>
            <w:gridSpan w:val="3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r/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38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BF23CC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學習內容調整策略：</w:t>
            </w:r>
          </w:p>
          <w:p w14:paraId="73CD11B6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□重組 □加深 □加廣</w:t>
            </w:r>
          </w:p>
          <w:p w14:paraId="1D2D73B2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□濃縮 □加速</w:t>
            </w:r>
          </w:p>
          <w:p w14:paraId="73BC41D0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□跨領域/科目統整教學主題</w:t>
            </w:r>
          </w:p>
          <w:p w14:paraId="1835B3B6" w14:textId="77777777" w:rsidR="00806E69" w:rsidRPr="00AB17F3" w:rsidRDefault="00806E69" w:rsidP="00B21BC6">
            <w:pPr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□其他:</w:t>
            </w:r>
          </w:p>
        </w:tc>
      </w:tr>
      <w:tr w:rsidR="00806E69" w:rsidRPr="00AB17F3" w14:paraId="2147FC81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39A77E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  <w:szCs w:val="24"/>
              </w:rPr>
            </w:pPr>
          </w:p>
        </w:tc>
        <w:tc>
          <w:tcPr>
            <w:tcW w:w="5372" w:type="dxa"/>
            <w:gridSpan w:val="3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DB3E73" w14:textId="77777777" w:rsidR="00806E69" w:rsidRPr="00AB17F3" w:rsidRDefault="00806E69" w:rsidP="00B21BC6">
            <w:pPr>
              <w:rPr>
                <w:rFonts w:ascii="華康細圓體" w:eastAsia="華康細圓體" w:hAnsi="華康細圓體"/>
                <w:color w:val="0000FF"/>
              </w:rPr>
            </w:pPr>
          </w:p>
        </w:tc>
        <w:tc>
          <w:tcPr>
            <w:tcW w:w="38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F7AC07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學習歷程調整策略：</w:t>
            </w:r>
          </w:p>
          <w:p w14:paraId="078F51C0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□高層次思考 □開放式問題</w:t>
            </w:r>
          </w:p>
          <w:p w14:paraId="203FF7FC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□發現式學習 □推理的證據</w:t>
            </w:r>
          </w:p>
          <w:p w14:paraId="51195217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□選擇的自由 □團體式的互動</w:t>
            </w:r>
          </w:p>
          <w:p w14:paraId="536F2A80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□彈性的教學進度</w:t>
            </w:r>
          </w:p>
          <w:p w14:paraId="6ABE4AC9" w14:textId="77777777" w:rsidR="00806E69" w:rsidRPr="00AB17F3" w:rsidRDefault="00806E69" w:rsidP="00B21BC6">
            <w:pPr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□多樣性的歷程  □其他：</w:t>
            </w:r>
          </w:p>
        </w:tc>
      </w:tr>
      <w:tr w:rsidR="00806E69" w:rsidRPr="00AB17F3" w14:paraId="051C7390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AEA186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  <w:szCs w:val="24"/>
              </w:rPr>
            </w:pPr>
          </w:p>
        </w:tc>
        <w:tc>
          <w:tcPr>
            <w:tcW w:w="5372" w:type="dxa"/>
            <w:gridSpan w:val="3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3778885" w14:textId="77777777" w:rsidR="00806E69" w:rsidRPr="00AB17F3" w:rsidRDefault="00806E69" w:rsidP="00B21BC6">
            <w:pPr>
              <w:rPr>
                <w:rFonts w:ascii="華康細圓體" w:eastAsia="華康細圓體" w:hAnsi="華康細圓體"/>
                <w:color w:val="FF0000"/>
              </w:rPr>
            </w:pPr>
          </w:p>
        </w:tc>
        <w:tc>
          <w:tcPr>
            <w:tcW w:w="38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BD0CF1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學習環境調整策略:</w:t>
            </w:r>
          </w:p>
          <w:p w14:paraId="3EA63CFD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□調整物理的學習環境</w:t>
            </w:r>
          </w:p>
          <w:p w14:paraId="0A7E7BAC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□營造社會-情緒的學習環境</w:t>
            </w:r>
          </w:p>
          <w:p w14:paraId="315B2D15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□規劃有回應的學習環境</w:t>
            </w:r>
          </w:p>
          <w:p w14:paraId="11DD4FEE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□有挑戰性的學習環境</w:t>
            </w:r>
          </w:p>
          <w:p w14:paraId="72501402" w14:textId="77777777" w:rsidR="00806E69" w:rsidRPr="00AB17F3" w:rsidRDefault="00806E69" w:rsidP="00B21BC6">
            <w:pPr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□調查與運用社區資源 □其他</w:t>
            </w:r>
          </w:p>
        </w:tc>
      </w:tr>
      <w:tr w:rsidR="00806E69" w:rsidRPr="00AB17F3" w14:paraId="70D88647" w14:textId="77777777" w:rsidTr="00B21BC6">
        <w:tblPrEx>
          <w:tblCellMar>
            <w:top w:w="0" w:type="dxa"/>
            <w:bottom w:w="0" w:type="dxa"/>
          </w:tblCellMar>
        </w:tblPrEx>
        <w:trPr>
          <w:trHeight w:val="781"/>
        </w:trPr>
        <w:tc>
          <w:tcPr>
            <w:tcW w:w="1257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89FEE8" w14:textId="77777777" w:rsidR="00806E69" w:rsidRPr="00AB17F3" w:rsidRDefault="00806E69" w:rsidP="00B21BC6">
            <w:pPr>
              <w:jc w:val="center"/>
              <w:rPr>
                <w:rFonts w:ascii="華康細圓體" w:eastAsia="華康細圓體" w:hAnsi="華康細圓體"/>
                <w:szCs w:val="24"/>
              </w:rPr>
            </w:pPr>
          </w:p>
        </w:tc>
        <w:tc>
          <w:tcPr>
            <w:tcW w:w="5372" w:type="dxa"/>
            <w:gridSpan w:val="3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04C878" w14:textId="77777777" w:rsidR="00806E69" w:rsidRPr="00AB17F3" w:rsidRDefault="00806E69" w:rsidP="00B21BC6">
            <w:pPr>
              <w:rPr>
                <w:rFonts w:ascii="華康細圓體" w:eastAsia="華康細圓體" w:hAnsi="華康細圓體"/>
                <w:color w:val="0000FF"/>
              </w:rPr>
            </w:pPr>
          </w:p>
        </w:tc>
        <w:tc>
          <w:tcPr>
            <w:tcW w:w="3807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8B9AA8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學習評量調整策略：</w:t>
            </w:r>
          </w:p>
          <w:p w14:paraId="0CB8EA90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□發展合適的評量工具</w:t>
            </w:r>
          </w:p>
          <w:p w14:paraId="2D0B4D63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□訂定區分性的評量標準</w:t>
            </w:r>
          </w:p>
          <w:p w14:paraId="25A495D9" w14:textId="77777777" w:rsidR="00806E69" w:rsidRPr="00AB17F3" w:rsidRDefault="00806E69" w:rsidP="00B21BC6">
            <w:pPr>
              <w:pStyle w:val="Standard"/>
              <w:snapToGrid w:val="0"/>
              <w:spacing w:line="240" w:lineRule="atLeast"/>
              <w:rPr>
                <w:rFonts w:ascii="華康細圓體" w:eastAsia="華康細圓體" w:hAnsi="華康細圓體" w:cs="標楷體"/>
                <w:sz w:val="22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□呈現多元的實作與作品</w:t>
            </w:r>
          </w:p>
          <w:p w14:paraId="3615793A" w14:textId="77777777" w:rsidR="00806E69" w:rsidRPr="00AB17F3" w:rsidRDefault="00806E69" w:rsidP="00B21BC6">
            <w:pPr>
              <w:rPr>
                <w:rFonts w:ascii="華康細圓體" w:eastAsia="華康細圓體" w:hAnsi="華康細圓體"/>
              </w:rPr>
            </w:pPr>
            <w:r w:rsidRPr="00AB17F3">
              <w:rPr>
                <w:rFonts w:ascii="華康細圓體" w:eastAsia="華康細圓體" w:hAnsi="華康細圓體" w:cs="標楷體"/>
                <w:sz w:val="22"/>
              </w:rPr>
              <w:t>□其他：</w:t>
            </w:r>
          </w:p>
        </w:tc>
      </w:tr>
    </w:tbl>
    <w:p w14:paraId="6FD3F9C8" w14:textId="77777777" w:rsidR="008A6700" w:rsidRDefault="008A6700"/>
    <w:sectPr w:rsidR="008A6700" w:rsidSect="00806E69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, PMingLiU">
    <w:altName w:val="新細明體"/>
    <w:panose1 w:val="020B0604020202020204"/>
    <w:charset w:val="00"/>
    <w:family w:val="roman"/>
    <w:pitch w:val="variable"/>
  </w:font>
  <w:font w:name="華康細圓體">
    <w:panose1 w:val="020F0309000000000000"/>
    <w:charset w:val="88"/>
    <w:family w:val="modern"/>
    <w:pitch w:val="fixed"/>
    <w:sig w:usb0="A000023F" w:usb1="3A4F9C38" w:usb2="00000016" w:usb3="00000000" w:csb0="00100001" w:csb1="00000000"/>
  </w:font>
  <w:font w:name="標楷體">
    <w:altName w:val="微軟正黑體"/>
    <w:panose1 w:val="02010601000101010101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E69"/>
    <w:rsid w:val="001B5189"/>
    <w:rsid w:val="00395547"/>
    <w:rsid w:val="00516898"/>
    <w:rsid w:val="00806E69"/>
    <w:rsid w:val="008A6700"/>
    <w:rsid w:val="00AC58E9"/>
    <w:rsid w:val="00C75C51"/>
    <w:rsid w:val="00DB6178"/>
    <w:rsid w:val="00E1371D"/>
    <w:rsid w:val="00E47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3273A4"/>
  <w15:chartTrackingRefBased/>
  <w15:docId w15:val="{5A4A604A-BD1F-E44B-9B3C-CF72C6451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806E69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新細明體" w:hAnsi="Calibri" w:cs="Times New Roman"/>
      <w:kern w:val="3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06E69"/>
    <w:pPr>
      <w:keepNext/>
      <w:keepLines/>
      <w:suppressAutoHyphens w:val="0"/>
      <w:autoSpaceDN/>
      <w:spacing w:before="480" w:after="80" w:line="278" w:lineRule="auto"/>
      <w:textAlignment w:val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6E69"/>
    <w:pPr>
      <w:keepNext/>
      <w:keepLines/>
      <w:suppressAutoHyphens w:val="0"/>
      <w:autoSpaceDN/>
      <w:spacing w:before="160" w:after="80" w:line="278" w:lineRule="auto"/>
      <w:textAlignment w:val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6E69"/>
    <w:pPr>
      <w:keepNext/>
      <w:keepLines/>
      <w:suppressAutoHyphens w:val="0"/>
      <w:autoSpaceDN/>
      <w:spacing w:before="160" w:after="40" w:line="278" w:lineRule="auto"/>
      <w:textAlignment w:val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6E69"/>
    <w:pPr>
      <w:keepNext/>
      <w:keepLines/>
      <w:suppressAutoHyphens w:val="0"/>
      <w:autoSpaceDN/>
      <w:spacing w:before="160" w:after="40" w:line="278" w:lineRule="auto"/>
      <w:textAlignment w:val="auto"/>
      <w:outlineLvl w:val="3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6E69"/>
    <w:pPr>
      <w:keepNext/>
      <w:keepLines/>
      <w:suppressAutoHyphens w:val="0"/>
      <w:autoSpaceDN/>
      <w:spacing w:before="80" w:after="40" w:line="278" w:lineRule="auto"/>
      <w:textAlignment w:val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textAlignment w:val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ind w:leftChars="100" w:left="100"/>
      <w:textAlignment w:val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ind w:leftChars="200" w:left="200"/>
      <w:textAlignment w:val="auto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6E69"/>
    <w:pPr>
      <w:keepNext/>
      <w:keepLines/>
      <w:suppressAutoHyphens w:val="0"/>
      <w:autoSpaceDN/>
      <w:spacing w:before="40" w:line="278" w:lineRule="auto"/>
      <w:ind w:leftChars="300" w:left="300"/>
      <w:textAlignment w:val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06E6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06E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06E6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06E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06E6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06E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06E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06E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06E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06E69"/>
    <w:pPr>
      <w:suppressAutoHyphens w:val="0"/>
      <w:autoSpaceDN/>
      <w:spacing w:after="80"/>
      <w:contextualSpacing/>
      <w:jc w:val="center"/>
      <w:textAlignment w:val="auto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806E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06E69"/>
    <w:pPr>
      <w:numPr>
        <w:ilvl w:val="1"/>
      </w:numPr>
      <w:suppressAutoHyphens w:val="0"/>
      <w:autoSpaceDN/>
      <w:spacing w:after="160" w:line="278" w:lineRule="auto"/>
      <w:jc w:val="center"/>
      <w:textAlignment w:val="auto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806E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06E69"/>
    <w:pPr>
      <w:suppressAutoHyphens w:val="0"/>
      <w:autoSpaceDN/>
      <w:spacing w:before="160" w:after="160" w:line="278" w:lineRule="auto"/>
      <w:jc w:val="center"/>
      <w:textAlignment w:val="auto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806E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06E69"/>
    <w:pPr>
      <w:suppressAutoHyphens w:val="0"/>
      <w:autoSpaceDN/>
      <w:spacing w:after="160" w:line="278" w:lineRule="auto"/>
      <w:ind w:left="720"/>
      <w:contextualSpacing/>
      <w:textAlignment w:val="auto"/>
    </w:pPr>
    <w:rPr>
      <w:rFonts w:asciiTheme="minorHAnsi" w:eastAsiaTheme="minorEastAsia" w:hAnsiTheme="minorHAnsi" w:cstheme="minorBidi"/>
      <w:kern w:val="2"/>
      <w:szCs w:val="24"/>
      <w14:ligatures w14:val="standardContextual"/>
    </w:rPr>
  </w:style>
  <w:style w:type="character" w:styleId="aa">
    <w:name w:val="Intense Emphasis"/>
    <w:basedOn w:val="a0"/>
    <w:uiPriority w:val="21"/>
    <w:qFormat/>
    <w:rsid w:val="00806E6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06E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autoSpaceDN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806E6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06E69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806E69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新細明體, PMingLiU" w:hAnsi="Calibri" w:cs="Times New Roman"/>
      <w:kern w:val="3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E271223-53F5-284F-8DFE-3965FC7652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</Words>
  <Characters>255</Characters>
  <Application>Microsoft Office Word</Application>
  <DocSecurity>0</DocSecurity>
  <Lines>2</Lines>
  <Paragraphs>1</Paragraphs>
  <ScaleCrop>false</ScaleCrop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政緯 林</dc:creator>
  <cp:keywords/>
  <dc:description/>
  <cp:lastModifiedBy>政緯 林</cp:lastModifiedBy>
  <cp:revision>1</cp:revision>
  <dcterms:created xsi:type="dcterms:W3CDTF">2026-03-28T13:30:00Z</dcterms:created>
  <dcterms:modified xsi:type="dcterms:W3CDTF">2026-03-28T13:31:00Z</dcterms:modified>
</cp:coreProperties>
</file>