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ChronoSync 后端项目亮点速览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为“离线优先”而生：跨设备同步的个人效率后端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ChronoSync 是一套为现代个人效率工具打造的后端服务，让用户的日程与备忘能在手机、平板、电脑间无缝流转，即使在地铁里没网也能安心记录，联网后自动同步一切。</w:t>
      </w:r>
      <w:r>
        <w:rPr>
          <w:rFonts w:eastAsia="等线" w:ascii="Arial" w:cs="Arial" w:hAnsi="Arial"/>
          <w:sz w:val="22"/>
        </w:rPr>
        <w:t xml:space="preserve"> 它不仅是数据存储中心，更是一个具备实时感知和智能交互能力的大脑。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为什么它很重要：可感知的用户价值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我们聚焦于四个能被用户直接体验到的核心价值：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随时随地记录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独有的离线优先同步机制</w:t>
      </w:r>
      <w:r>
        <w:rPr>
          <w:rFonts w:eastAsia="等线" w:ascii="Arial" w:cs="Arial" w:hAnsi="Arial"/>
          <w:sz w:val="22"/>
        </w:rPr>
        <w:t>，确保用户在任何网络环境下（甚至无网）都能创建和修改内容。所有操作先保存在本地，一旦联网，数据便会自动、增量地与云端对齐，无需用户操心。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多端秒级同步</w:t>
      </w:r>
      <w:r>
        <w:rPr>
          <w:rFonts w:eastAsia="等线" w:ascii="Arial" w:cs="Arial" w:hAnsi="Arial"/>
          <w:sz w:val="22"/>
        </w:rPr>
        <w:t>：当用户同时在线使用多个设备时（例如，在电脑上改日程，手机会立刻收到提醒），</w:t>
      </w:r>
      <w:r>
        <w:rPr>
          <w:rFonts w:eastAsia="等线" w:ascii="Arial" w:cs="Arial" w:hAnsi="Arial"/>
          <w:b w:val="true"/>
          <w:sz w:val="22"/>
        </w:rPr>
        <w:t>基于 WebSocket 的实时推送</w:t>
      </w:r>
      <w:r>
        <w:rPr>
          <w:rFonts w:eastAsia="等线" w:ascii="Arial" w:cs="Arial" w:hAnsi="Arial"/>
          <w:sz w:val="22"/>
        </w:rPr>
        <w:t>能确保任何一处改动都能在 1 秒内推送到所有其他设备，带来“零时差”的协同体验。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解放双手的智能</w:t>
      </w:r>
      <w:r>
        <w:rPr>
          <w:rFonts w:eastAsia="等线" w:ascii="Arial" w:cs="Arial" w:hAnsi="Arial"/>
          <w:sz w:val="22"/>
        </w:rPr>
        <w:t>：内置的“随想助手”（WanjiAgent）能理解用户的自然语言指令。用户只需说一句“</w:t>
      </w:r>
      <w:r>
        <w:rPr>
          <w:rFonts w:eastAsia="等线" w:ascii="Arial" w:cs="Arial" w:hAnsi="Arial"/>
          <w:b w:val="true"/>
          <w:sz w:val="22"/>
        </w:rPr>
        <w:t>把周二下午三点的会推迟一小时</w:t>
      </w:r>
      <w:r>
        <w:rPr>
          <w:rFonts w:eastAsia="等线" w:ascii="Arial" w:cs="Arial" w:hAnsi="Arial"/>
          <w:sz w:val="22"/>
        </w:rPr>
        <w:t>”，系统就能自动完成日程修改并同步到所有设备，将复杂操作简化为一句话沟通。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稳定可靠的服务</w:t>
      </w:r>
      <w:r>
        <w:rPr>
          <w:rFonts w:eastAsia="等线" w:ascii="Arial" w:cs="Arial" w:hAnsi="Arial"/>
          <w:sz w:val="22"/>
        </w:rPr>
        <w:t>：我们采用业界成熟的 FastAPI 框架和分层架构，确保代码清晰、易于维护。</w:t>
      </w:r>
      <w:r>
        <w:rPr>
          <w:rFonts w:eastAsia="等线" w:ascii="Arial" w:cs="Arial" w:hAnsi="Arial"/>
          <w:b w:val="true"/>
          <w:sz w:val="22"/>
        </w:rPr>
        <w:t>完备的自动化测试脚本</w:t>
      </w:r>
      <w:r>
        <w:rPr>
          <w:rFonts w:eastAsia="等线" w:ascii="Arial" w:cs="Arial" w:hAnsi="Arial"/>
          <w:sz w:val="22"/>
        </w:rPr>
        <w:t>和数据库迁移管理，为服务的长期稳定运行提供了坚实保障。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项目亮点清单：技术如何创造价值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我们将复杂的技术转化为简洁、高效的用户体验。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对评审的价值解读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离线优先的增量同步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核心解决了移动场景下网络不稳的痛点。用户在离线时产生的数据，我们用一个叫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SyncRecord</w:t>
            </w:r>
            <w:r>
              <w:rPr>
                <w:rFonts w:eastAsia="等线" w:ascii="Arial" w:cs="Arial" w:hAnsi="Arial"/>
                <w:sz w:val="22"/>
              </w:rPr>
              <w:t xml:space="preserve"> 的“变更日志”来追踪，联网后只同步变化的部分，而非全量同步，</w:t>
            </w:r>
            <w:r>
              <w:rPr>
                <w:rFonts w:eastAsia="等线" w:ascii="Arial" w:cs="Arial" w:hAnsi="Arial"/>
                <w:b w:val="true"/>
                <w:sz w:val="22"/>
              </w:rPr>
              <w:t>既快又省流量</w:t>
            </w:r>
            <w:r>
              <w:rPr>
                <w:rFonts w:eastAsia="等线" w:ascii="Arial" w:cs="Arial" w:hAnsi="Arial"/>
                <w:sz w:val="22"/>
              </w:rPr>
              <w:t>。系统还能自动处理多端编辑时可能出现的冲突，并提供一键全量恢复的“后悔药”。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轻量高效的实时推送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当用户在一台设备上操作时，其他设备能“秒级”响应，这背后是 WebSocket 技术。我们为每个用户维护了一个</w:t>
            </w:r>
            <w:r>
              <w:rPr>
                <w:rFonts w:eastAsia="等线" w:ascii="Arial" w:cs="Arial" w:hAnsi="Arial"/>
                <w:b w:val="true"/>
                <w:sz w:val="22"/>
              </w:rPr>
              <w:t>离线消息队列</w:t>
            </w:r>
            <w:r>
              <w:rPr>
                <w:rFonts w:eastAsia="等线" w:ascii="Arial" w:cs="Arial" w:hAnsi="Arial"/>
                <w:sz w:val="22"/>
              </w:rPr>
              <w:t>，确保即使某个设备当时不在线，也能在下次连接时收到所有错过的通知。心跳和“挤下线”机制保证了连接的稳定与安全。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与智能体无缝联动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当用户说出自然语言指令时，智能体（Agent）可以直接调用我们后端最核心的服务层，跳过繁琐的接口转换。这意味着</w:t>
            </w:r>
            <w:r>
              <w:rPr>
                <w:rFonts w:eastAsia="等线" w:ascii="Arial" w:cs="Arial" w:hAnsi="Arial"/>
                <w:b w:val="true"/>
                <w:sz w:val="22"/>
              </w:rPr>
              <w:t>指令执行的路径更短、响应更快</w:t>
            </w:r>
            <w:r>
              <w:rPr>
                <w:rFonts w:eastAsia="等线" w:ascii="Arial" w:cs="Arial" w:hAnsi="Arial"/>
                <w:sz w:val="22"/>
              </w:rPr>
              <w:t>，也更容易扩展新的智能指令，例如未来支持“帮我总结一下本周的所有会议纪要”。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坚实的工程化基石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项目采用现代 Python 框架（FastAPI）和异步数据库操作，保证了高并发下的性能。我们通过 </w:t>
            </w:r>
            <w:r>
              <w:rPr>
                <w:rFonts w:eastAsia="等线" w:ascii="Arial" w:cs="Arial" w:hAnsi="Arial"/>
                <w:b w:val="true"/>
                <w:sz w:val="22"/>
              </w:rPr>
              <w:t>Alembic 工具管理数据库的每一次演进</w:t>
            </w:r>
            <w:r>
              <w:rPr>
                <w:rFonts w:eastAsia="等线" w:ascii="Arial" w:cs="Arial" w:hAnsi="Arial"/>
                <w:sz w:val="22"/>
              </w:rPr>
              <w:t>，确保升级平滑无感。每次代码提交前，都有“烟雾测试”自动运行，提前发现潜在问题。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企业级的安全与权限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用户数据安全是第一位。我们采用标准的 </w:t>
            </w:r>
            <w:r>
              <w:rPr>
                <w:rFonts w:eastAsia="等线" w:ascii="Arial" w:cs="Arial" w:hAnsi="Arial"/>
                <w:b w:val="true"/>
                <w:sz w:val="22"/>
              </w:rPr>
              <w:t>OAuth2 协议和 JWT 令牌</w:t>
            </w:r>
            <w:r>
              <w:rPr>
                <w:rFonts w:eastAsia="等线" w:ascii="Arial" w:cs="Arial" w:hAnsi="Arial"/>
                <w:sz w:val="22"/>
              </w:rPr>
              <w:t>进行身份认证，确保只有授权用户才能访问自己的数据。这套机制贯穿所有接口，从源头杜绝了越权风险。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灵活的部署与配置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项目被打包成 </w:t>
            </w:r>
            <w:r>
              <w:rPr>
                <w:rFonts w:eastAsia="等线" w:ascii="Arial" w:cs="Arial" w:hAnsi="Arial"/>
                <w:b w:val="true"/>
                <w:sz w:val="22"/>
              </w:rPr>
              <w:t>Docker 容器</w:t>
            </w:r>
            <w:r>
              <w:rPr>
                <w:rFonts w:eastAsia="等线" w:ascii="Arial" w:cs="Arial" w:hAnsi="Arial"/>
                <w:sz w:val="22"/>
              </w:rPr>
              <w:t>，无论是部署在公司内网服务器还是公有云，都只需一条命令即可启动。更重要的是，底层的 AI 模型（如用于自然语言理解的大模型）可以</w:t>
            </w:r>
            <w:r>
              <w:rPr>
                <w:rFonts w:eastAsia="等线" w:ascii="Arial" w:cs="Arial" w:hAnsi="Arial"/>
                <w:b w:val="true"/>
                <w:sz w:val="22"/>
              </w:rPr>
              <w:t>像换电池一样轻松切换</w:t>
            </w:r>
            <w:r>
              <w:rPr>
                <w:rFonts w:eastAsia="等线" w:ascii="Arial" w:cs="Arial" w:hAnsi="Arial"/>
                <w:sz w:val="22"/>
              </w:rPr>
              <w:t>，灵活适应不同成本和性能需求。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三个可现场演示的场景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为了让您直观感受，我们准备了三个一分钟内即可完成的演示：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 A：断网→联网的无感同步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在手机上断开网络。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创建一个新的会议日程，点击保存。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重新连接网络。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在电脑或平板上，会看到这个新会议</w:t>
      </w:r>
      <w:r>
        <w:rPr>
          <w:rFonts w:eastAsia="等线" w:ascii="Arial" w:cs="Arial" w:hAnsi="Arial"/>
          <w:b w:val="true"/>
          <w:sz w:val="22"/>
        </w:rPr>
        <w:t>在几秒内自动出现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 B：多设备实时广播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同时打开手机和电脑端的应用，并保持在线。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在电脑上将一个备忘录标记为“已完成”。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手机屏幕上，该备忘录的状态</w:t>
      </w:r>
      <w:r>
        <w:rPr>
          <w:rFonts w:eastAsia="等线" w:ascii="Arial" w:cs="Arial" w:hAnsi="Arial"/>
          <w:b w:val="true"/>
          <w:sz w:val="22"/>
        </w:rPr>
        <w:t>几乎同时变为“已完成”</w:t>
      </w:r>
      <w:r>
        <w:rPr>
          <w:rFonts w:eastAsia="等线" w:ascii="Arial" w:cs="Arial" w:hAnsi="Arial"/>
          <w:sz w:val="22"/>
        </w:rPr>
        <w:t>，并可能伴有轻微的视觉提示。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 C：一句话驱动的智能操作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对着应用的麦克风（或输入框）说：“提醒我明天下午四点给王总打电话”。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系统界面上会</w:t>
      </w:r>
      <w:r>
        <w:rPr>
          <w:rFonts w:eastAsia="等线" w:ascii="Arial" w:cs="Arial" w:hAnsi="Arial"/>
          <w:b w:val="true"/>
          <w:sz w:val="22"/>
        </w:rPr>
        <w:t>自动创建一个新的提醒事项</w:t>
      </w:r>
      <w:r>
        <w:rPr>
          <w:rFonts w:eastAsia="等线" w:ascii="Arial" w:cs="Arial" w:hAnsi="Arial"/>
          <w:sz w:val="22"/>
        </w:rPr>
        <w:t>，并同步到所有设备。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如何衡量项目的成功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我们关注以下四个维度的成果，它们共同构成了项目的核心价值：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同步正确性</w:t>
      </w:r>
      <w:r>
        <w:rPr>
          <w:rFonts w:eastAsia="等线" w:ascii="Arial" w:cs="Arial" w:hAnsi="Arial"/>
          <w:sz w:val="22"/>
        </w:rPr>
        <w:t>：确保在各种网络条件和操作序列下，所有设备的数据最终能 100% 保持一致。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推送到达率</w:t>
      </w:r>
      <w:r>
        <w:rPr>
          <w:rFonts w:eastAsia="等线" w:ascii="Arial" w:cs="Arial" w:hAnsi="Arial"/>
          <w:sz w:val="22"/>
        </w:rPr>
        <w:t>：在线设备接收到变更通知的成功率应接近 100%。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接口可用性</w:t>
      </w:r>
      <w:r>
        <w:rPr>
          <w:rFonts w:eastAsia="等线" w:ascii="Arial" w:cs="Arial" w:hAnsi="Arial"/>
          <w:sz w:val="22"/>
        </w:rPr>
        <w:t>：核心 API 的健康状态和响应时间，是服务稳定性的直接体现。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端到端用例覆盖</w:t>
      </w:r>
      <w:r>
        <w:rPr>
          <w:rFonts w:eastAsia="等线" w:ascii="Arial" w:cs="Arial" w:hAnsi="Arial"/>
          <w:sz w:val="22"/>
        </w:rPr>
        <w:t>：通过自动化测试，确保上述三个演示场景及更多复杂场景始终能按预期工作。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下一步演进路线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我们的目标是持续提升产品的智能与体验，后续规划清晰：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智能检索落地</w:t>
      </w:r>
      <w:r>
        <w:rPr>
          <w:rFonts w:eastAsia="等线" w:ascii="Arial" w:cs="Arial" w:hAnsi="Arial"/>
          <w:sz w:val="22"/>
        </w:rPr>
        <w:t>：让用户能用自然语言提问，例如“我上周和市场部开了几次会？”，系统能通过检索增强生成（RAG）技术，精准回答。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可观测性体系完善</w:t>
      </w:r>
      <w:r>
        <w:rPr>
          <w:rFonts w:eastAsia="等线" w:ascii="Arial" w:cs="Arial" w:hAnsi="Arial"/>
          <w:sz w:val="22"/>
        </w:rPr>
        <w:t>：建立完整的监控、日志和追踪系统，使我们能实时掌握服务健康度，并在问题发生前就做出预警。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灰度上线与用户验证</w:t>
      </w:r>
      <w:r>
        <w:rPr>
          <w:rFonts w:eastAsia="等线" w:ascii="Arial" w:cs="Arial" w:hAnsi="Arial"/>
          <w:sz w:val="22"/>
        </w:rPr>
        <w:t>：逐步向小范围真实用户开放，收集反馈，持续打磨产品，为全面推广做准备。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对接与落地准备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项目已为正式部署做好充分准备：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接口稳定性</w:t>
      </w:r>
      <w:r>
        <w:rPr>
          <w:rFonts w:eastAsia="等线" w:ascii="Arial" w:cs="Arial" w:hAnsi="Arial"/>
          <w:sz w:val="22"/>
        </w:rPr>
        <w:t>：所有核心 API 均已稳定，并提供了清晰的文档。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部署方案</w:t>
      </w:r>
      <w:r>
        <w:rPr>
          <w:rFonts w:eastAsia="等线" w:ascii="Arial" w:cs="Arial" w:hAnsi="Arial"/>
          <w:sz w:val="22"/>
        </w:rPr>
        <w:t>：提供一键式的 Docker Compose 部署方案，并可为不同环境提供定制化配置。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安全管理</w:t>
      </w:r>
      <w:r>
        <w:rPr>
          <w:rFonts w:eastAsia="等线" w:ascii="Arial" w:cs="Arial" w:hAnsi="Arial"/>
          <w:sz w:val="22"/>
        </w:rPr>
        <w:t>：提供了明确的账号密钥管理指南，确保生产环境安全可控。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我们相信，ChronoSync 项目不仅技术扎实，更重要的是，它所提供的价值能被每一位用户真实地感知到。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26824">
    <w:lvl>
      <w:numFmt w:val="bullet"/>
      <w:suff w:val="tab"/>
      <w:lvlText w:val="•"/>
      <w:rPr>
        <w:color w:val="3370ff"/>
      </w:rPr>
    </w:lvl>
  </w:abstractNum>
  <w:abstractNum w:abstractNumId="226825">
    <w:lvl>
      <w:numFmt w:val="bullet"/>
      <w:suff w:val="tab"/>
      <w:lvlText w:val="•"/>
      <w:rPr>
        <w:color w:val="3370ff"/>
      </w:rPr>
    </w:lvl>
  </w:abstractNum>
  <w:abstractNum w:abstractNumId="226826">
    <w:lvl>
      <w:numFmt w:val="bullet"/>
      <w:suff w:val="tab"/>
      <w:lvlText w:val="•"/>
      <w:rPr>
        <w:color w:val="3370ff"/>
      </w:rPr>
    </w:lvl>
  </w:abstractNum>
  <w:abstractNum w:abstractNumId="226827">
    <w:lvl>
      <w:numFmt w:val="bullet"/>
      <w:suff w:val="tab"/>
      <w:lvlText w:val="•"/>
      <w:rPr>
        <w:color w:val="3370ff"/>
      </w:rPr>
    </w:lvl>
  </w:abstractNum>
  <w:abstractNum w:abstractNumId="226828">
    <w:lvl>
      <w:numFmt w:val="bullet"/>
      <w:suff w:val="tab"/>
      <w:lvlText w:val="•"/>
      <w:rPr>
        <w:color w:val="3370ff"/>
      </w:rPr>
    </w:lvl>
  </w:abstractNum>
  <w:abstractNum w:abstractNumId="226829">
    <w:lvl>
      <w:start w:val="1"/>
      <w:numFmt w:val="lowerLetter"/>
      <w:suff w:val="tab"/>
      <w:lvlText w:val="%1."/>
      <w:rPr>
        <w:color w:val="3370ff"/>
      </w:rPr>
    </w:lvl>
  </w:abstractNum>
  <w:abstractNum w:abstractNumId="226830">
    <w:lvl>
      <w:start w:val="2"/>
      <w:numFmt w:val="lowerLetter"/>
      <w:suff w:val="tab"/>
      <w:lvlText w:val="%1."/>
      <w:rPr>
        <w:color w:val="3370ff"/>
      </w:rPr>
    </w:lvl>
  </w:abstractNum>
  <w:abstractNum w:abstractNumId="226831">
    <w:lvl>
      <w:start w:val="3"/>
      <w:numFmt w:val="lowerLetter"/>
      <w:suff w:val="tab"/>
      <w:lvlText w:val="%1."/>
      <w:rPr>
        <w:color w:val="3370ff"/>
      </w:rPr>
    </w:lvl>
  </w:abstractNum>
  <w:abstractNum w:abstractNumId="226832">
    <w:lvl>
      <w:start w:val="4"/>
      <w:numFmt w:val="lowerLetter"/>
      <w:suff w:val="tab"/>
      <w:lvlText w:val="%1."/>
      <w:rPr>
        <w:color w:val="3370ff"/>
      </w:rPr>
    </w:lvl>
  </w:abstractNum>
  <w:abstractNum w:abstractNumId="226833">
    <w:lvl>
      <w:numFmt w:val="bullet"/>
      <w:suff w:val="tab"/>
      <w:lvlText w:val="•"/>
      <w:rPr>
        <w:color w:val="3370ff"/>
      </w:rPr>
    </w:lvl>
  </w:abstractNum>
  <w:abstractNum w:abstractNumId="226834">
    <w:lvl>
      <w:start w:val="1"/>
      <w:numFmt w:val="lowerLetter"/>
      <w:suff w:val="tab"/>
      <w:lvlText w:val="%1."/>
      <w:rPr>
        <w:color w:val="3370ff"/>
      </w:rPr>
    </w:lvl>
  </w:abstractNum>
  <w:abstractNum w:abstractNumId="226835">
    <w:lvl>
      <w:start w:val="2"/>
      <w:numFmt w:val="lowerLetter"/>
      <w:suff w:val="tab"/>
      <w:lvlText w:val="%1."/>
      <w:rPr>
        <w:color w:val="3370ff"/>
      </w:rPr>
    </w:lvl>
  </w:abstractNum>
  <w:abstractNum w:abstractNumId="226836">
    <w:lvl>
      <w:start w:val="3"/>
      <w:numFmt w:val="lowerLetter"/>
      <w:suff w:val="tab"/>
      <w:lvlText w:val="%1."/>
      <w:rPr>
        <w:color w:val="3370ff"/>
      </w:rPr>
    </w:lvl>
  </w:abstractNum>
  <w:abstractNum w:abstractNumId="226837">
    <w:lvl>
      <w:numFmt w:val="bullet"/>
      <w:suff w:val="tab"/>
      <w:lvlText w:val="•"/>
      <w:rPr>
        <w:color w:val="3370ff"/>
      </w:rPr>
    </w:lvl>
  </w:abstractNum>
  <w:abstractNum w:abstractNumId="226838">
    <w:lvl>
      <w:start w:val="1"/>
      <w:numFmt w:val="lowerLetter"/>
      <w:suff w:val="tab"/>
      <w:lvlText w:val="%1."/>
      <w:rPr>
        <w:color w:val="3370ff"/>
      </w:rPr>
    </w:lvl>
  </w:abstractNum>
  <w:abstractNum w:abstractNumId="226839">
    <w:lvl>
      <w:start w:val="2"/>
      <w:numFmt w:val="lowerLetter"/>
      <w:suff w:val="tab"/>
      <w:lvlText w:val="%1."/>
      <w:rPr>
        <w:color w:val="3370ff"/>
      </w:rPr>
    </w:lvl>
  </w:abstractNum>
  <w:abstractNum w:abstractNumId="226840">
    <w:lvl>
      <w:numFmt w:val="bullet"/>
      <w:suff w:val="tab"/>
      <w:lvlText w:val="•"/>
      <w:rPr>
        <w:color w:val="3370ff"/>
      </w:rPr>
    </w:lvl>
  </w:abstractNum>
  <w:abstractNum w:abstractNumId="226841">
    <w:lvl>
      <w:numFmt w:val="bullet"/>
      <w:suff w:val="tab"/>
      <w:lvlText w:val="•"/>
      <w:rPr>
        <w:color w:val="3370ff"/>
      </w:rPr>
    </w:lvl>
  </w:abstractNum>
  <w:abstractNum w:abstractNumId="226842">
    <w:lvl>
      <w:numFmt w:val="bullet"/>
      <w:suff w:val="tab"/>
      <w:lvlText w:val="•"/>
      <w:rPr>
        <w:color w:val="3370ff"/>
      </w:rPr>
    </w:lvl>
  </w:abstractNum>
  <w:abstractNum w:abstractNumId="226843">
    <w:lvl>
      <w:numFmt w:val="bullet"/>
      <w:suff w:val="tab"/>
      <w:lvlText w:val="•"/>
      <w:rPr>
        <w:color w:val="3370ff"/>
      </w:rPr>
    </w:lvl>
  </w:abstractNum>
  <w:abstractNum w:abstractNumId="226844">
    <w:lvl>
      <w:start w:val="1"/>
      <w:numFmt w:val="decimal"/>
      <w:suff w:val="tab"/>
      <w:lvlText w:val="%1."/>
      <w:rPr>
        <w:color w:val="3370ff"/>
      </w:rPr>
    </w:lvl>
  </w:abstractNum>
  <w:abstractNum w:abstractNumId="226845">
    <w:lvl>
      <w:start w:val="2"/>
      <w:numFmt w:val="decimal"/>
      <w:suff w:val="tab"/>
      <w:lvlText w:val="%1."/>
      <w:rPr>
        <w:color w:val="3370ff"/>
      </w:rPr>
    </w:lvl>
  </w:abstractNum>
  <w:abstractNum w:abstractNumId="226846">
    <w:lvl>
      <w:start w:val="3"/>
      <w:numFmt w:val="decimal"/>
      <w:suff w:val="tab"/>
      <w:lvlText w:val="%1."/>
      <w:rPr>
        <w:color w:val="3370ff"/>
      </w:rPr>
    </w:lvl>
  </w:abstractNum>
  <w:abstractNum w:abstractNumId="226847">
    <w:lvl>
      <w:numFmt w:val="bullet"/>
      <w:suff w:val="tab"/>
      <w:lvlText w:val="•"/>
      <w:rPr>
        <w:color w:val="3370ff"/>
      </w:rPr>
    </w:lvl>
  </w:abstractNum>
  <w:abstractNum w:abstractNumId="226848">
    <w:lvl>
      <w:numFmt w:val="bullet"/>
      <w:suff w:val="tab"/>
      <w:lvlText w:val="•"/>
      <w:rPr>
        <w:color w:val="3370ff"/>
      </w:rPr>
    </w:lvl>
  </w:abstractNum>
  <w:abstractNum w:abstractNumId="226849">
    <w:lvl>
      <w:numFmt w:val="bullet"/>
      <w:suff w:val="tab"/>
      <w:lvlText w:val="•"/>
      <w:rPr>
        <w:color w:val="3370ff"/>
      </w:rPr>
    </w:lvl>
  </w:abstractNum>
  <w:num w:numId="1">
    <w:abstractNumId w:val="226824"/>
  </w:num>
  <w:num w:numId="2">
    <w:abstractNumId w:val="226825"/>
  </w:num>
  <w:num w:numId="3">
    <w:abstractNumId w:val="226826"/>
  </w:num>
  <w:num w:numId="4">
    <w:abstractNumId w:val="226827"/>
  </w:num>
  <w:num w:numId="5">
    <w:abstractNumId w:val="226828"/>
  </w:num>
  <w:num w:numId="6">
    <w:abstractNumId w:val="226829"/>
  </w:num>
  <w:num w:numId="7">
    <w:abstractNumId w:val="226830"/>
  </w:num>
  <w:num w:numId="8">
    <w:abstractNumId w:val="226831"/>
  </w:num>
  <w:num w:numId="9">
    <w:abstractNumId w:val="226832"/>
  </w:num>
  <w:num w:numId="10">
    <w:abstractNumId w:val="226833"/>
  </w:num>
  <w:num w:numId="11">
    <w:abstractNumId w:val="226834"/>
  </w:num>
  <w:num w:numId="12">
    <w:abstractNumId w:val="226835"/>
  </w:num>
  <w:num w:numId="13">
    <w:abstractNumId w:val="226836"/>
  </w:num>
  <w:num w:numId="14">
    <w:abstractNumId w:val="226837"/>
  </w:num>
  <w:num w:numId="15">
    <w:abstractNumId w:val="226838"/>
  </w:num>
  <w:num w:numId="16">
    <w:abstractNumId w:val="226839"/>
  </w:num>
  <w:num w:numId="17">
    <w:abstractNumId w:val="226840"/>
  </w:num>
  <w:num w:numId="18">
    <w:abstractNumId w:val="226841"/>
  </w:num>
  <w:num w:numId="19">
    <w:abstractNumId w:val="226842"/>
  </w:num>
  <w:num w:numId="20">
    <w:abstractNumId w:val="226843"/>
  </w:num>
  <w:num w:numId="21">
    <w:abstractNumId w:val="226844"/>
  </w:num>
  <w:num w:numId="22">
    <w:abstractNumId w:val="226845"/>
  </w:num>
  <w:num w:numId="23">
    <w:abstractNumId w:val="226846"/>
  </w:num>
  <w:num w:numId="24">
    <w:abstractNumId w:val="226847"/>
  </w:num>
  <w:num w:numId="25">
    <w:abstractNumId w:val="226848"/>
  </w:num>
  <w:num w:numId="26">
    <w:abstractNumId w:val="2268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2026-03-19T07:32:30Z</dcterms:created>
  <dc:creator>Apache POI</dc:creator>
</cp:coreProperties>
</file>