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黑体" w:hAnsi="黑体" w:eastAsia="黑体"/>
          <w:b w:val="0"/>
        </w:rPr>
      </w:pPr>
      <w:r>
        <w:rPr>
          <w:rFonts w:hint="eastAsia" w:ascii="黑体" w:hAnsi="黑体" w:eastAsia="黑体"/>
          <w:b w:val="0"/>
        </w:rPr>
        <w:t>一研为定产品构思</w:t>
      </w:r>
    </w:p>
    <w:p>
      <w:pPr>
        <w:pStyle w:val="2"/>
        <w:spacing w:before="0" w:after="0" w:line="360" w:lineRule="auto"/>
      </w:pPr>
      <w:r>
        <w:rPr>
          <w:rFonts w:hint="eastAsia"/>
          <w:sz w:val="32"/>
        </w:rPr>
        <w:t>问题描述</w:t>
      </w:r>
      <w:r>
        <w:rPr>
          <w:rFonts w:hint="eastAsia"/>
        </w:rPr>
        <w:t>：</w:t>
      </w:r>
    </w:p>
    <w:p>
      <w:pPr>
        <w:pStyle w:val="13"/>
        <w:numPr>
          <w:ilvl w:val="0"/>
          <w:numId w:val="1"/>
        </w:numPr>
        <w:ind w:firstLineChars="0"/>
        <w:rPr>
          <w:sz w:val="28"/>
          <w:szCs w:val="28"/>
        </w:rPr>
      </w:pPr>
      <w:r>
        <w:rPr>
          <w:rFonts w:hint="eastAsia"/>
          <w:sz w:val="28"/>
          <w:szCs w:val="28"/>
        </w:rPr>
        <w:t>全国大量在校大学生（至少300万以上）每年有院校选择需求，包括考研规划、课程安排、复习指导等；而他们的主要采用各种高校网站、学长学姐经验等，存在主要的问题包括：</w:t>
      </w:r>
    </w:p>
    <w:p>
      <w:pPr>
        <w:pStyle w:val="13"/>
        <w:numPr>
          <w:ilvl w:val="1"/>
          <w:numId w:val="1"/>
        </w:numPr>
        <w:ind w:firstLineChars="0"/>
        <w:rPr>
          <w:sz w:val="28"/>
          <w:szCs w:val="28"/>
        </w:rPr>
      </w:pPr>
      <w:r>
        <w:rPr>
          <w:rFonts w:hint="eastAsia"/>
          <w:color w:val="FF0000"/>
          <w:sz w:val="28"/>
          <w:szCs w:val="28"/>
        </w:rPr>
        <w:t>院校太多</w:t>
      </w:r>
      <w:r>
        <w:rPr>
          <w:rFonts w:hint="eastAsia"/>
          <w:sz w:val="28"/>
          <w:szCs w:val="28"/>
        </w:rPr>
        <w:t>，大多数人不知道要报考哪所学校以及该校的报录比和分数线等都需要自己去查耗费大量时间；</w:t>
      </w:r>
    </w:p>
    <w:p>
      <w:pPr>
        <w:pStyle w:val="13"/>
        <w:numPr>
          <w:ilvl w:val="1"/>
          <w:numId w:val="1"/>
        </w:numPr>
        <w:ind w:firstLineChars="0"/>
        <w:rPr>
          <w:sz w:val="28"/>
          <w:szCs w:val="28"/>
        </w:rPr>
      </w:pPr>
      <w:r>
        <w:rPr>
          <w:rFonts w:hint="eastAsia"/>
          <w:sz w:val="28"/>
          <w:szCs w:val="28"/>
        </w:rPr>
        <w:t>学长学姐们的</w:t>
      </w:r>
      <w:r>
        <w:rPr>
          <w:rFonts w:hint="eastAsia"/>
          <w:color w:val="FF0000"/>
          <w:sz w:val="28"/>
          <w:szCs w:val="28"/>
        </w:rPr>
        <w:t>学习方法</w:t>
      </w:r>
      <w:r>
        <w:rPr>
          <w:rFonts w:hint="eastAsia"/>
          <w:sz w:val="28"/>
          <w:szCs w:val="28"/>
        </w:rPr>
        <w:t>不一定适合自己；</w:t>
      </w:r>
    </w:p>
    <w:p>
      <w:pPr>
        <w:pStyle w:val="13"/>
        <w:numPr>
          <w:ilvl w:val="1"/>
          <w:numId w:val="1"/>
        </w:numPr>
        <w:ind w:firstLineChars="0"/>
        <w:rPr>
          <w:sz w:val="28"/>
          <w:szCs w:val="28"/>
        </w:rPr>
      </w:pPr>
      <w:r>
        <w:rPr>
          <w:rFonts w:hint="eastAsia"/>
          <w:sz w:val="28"/>
          <w:szCs w:val="28"/>
        </w:rPr>
        <w:t>盲目跟风没有自己的</w:t>
      </w:r>
      <w:r>
        <w:rPr>
          <w:rFonts w:hint="eastAsia"/>
          <w:color w:val="FF0000"/>
          <w:sz w:val="28"/>
          <w:szCs w:val="28"/>
        </w:rPr>
        <w:t>计划</w:t>
      </w:r>
      <w:r>
        <w:rPr>
          <w:rFonts w:hint="eastAsia"/>
          <w:sz w:val="28"/>
          <w:szCs w:val="28"/>
        </w:rPr>
        <w:t>；</w:t>
      </w:r>
    </w:p>
    <w:p>
      <w:pPr>
        <w:pStyle w:val="13"/>
        <w:numPr>
          <w:ilvl w:val="0"/>
          <w:numId w:val="1"/>
        </w:numPr>
        <w:ind w:firstLineChars="0"/>
        <w:rPr>
          <w:sz w:val="28"/>
          <w:szCs w:val="28"/>
        </w:rPr>
      </w:pPr>
      <w:r>
        <w:rPr>
          <w:rFonts w:hint="eastAsia"/>
          <w:sz w:val="28"/>
          <w:szCs w:val="28"/>
        </w:rPr>
        <w:t>某些网站已经能查高校专业目录但是没有</w:t>
      </w:r>
      <w:r>
        <w:rPr>
          <w:rFonts w:hint="eastAsia"/>
          <w:color w:val="FF0000"/>
          <w:sz w:val="28"/>
          <w:szCs w:val="28"/>
        </w:rPr>
        <w:t>报录比</w:t>
      </w:r>
      <w:r>
        <w:rPr>
          <w:rFonts w:hint="eastAsia"/>
          <w:sz w:val="28"/>
          <w:szCs w:val="28"/>
        </w:rPr>
        <w:t>，复习计划等信息，比较单一。</w:t>
      </w:r>
    </w:p>
    <w:p>
      <w:pPr>
        <w:pStyle w:val="13"/>
        <w:numPr>
          <w:ilvl w:val="0"/>
          <w:numId w:val="1"/>
        </w:numPr>
        <w:ind w:firstLineChars="0"/>
        <w:rPr>
          <w:sz w:val="28"/>
          <w:szCs w:val="28"/>
        </w:rPr>
      </w:pPr>
      <w:r>
        <w:rPr>
          <w:rFonts w:hint="eastAsia"/>
          <w:sz w:val="28"/>
          <w:szCs w:val="28"/>
        </w:rPr>
        <w:t>目前很多学生选择去报考研的培训班，或者花费大量时间去查阅信息，向学长学姐们询问等方式，但还是存在下列的不足：</w:t>
      </w:r>
    </w:p>
    <w:p>
      <w:pPr>
        <w:pStyle w:val="13"/>
        <w:numPr>
          <w:ilvl w:val="1"/>
          <w:numId w:val="1"/>
        </w:numPr>
        <w:ind w:firstLineChars="0"/>
        <w:rPr>
          <w:sz w:val="28"/>
          <w:szCs w:val="28"/>
        </w:rPr>
      </w:pPr>
      <w:r>
        <w:rPr>
          <w:rFonts w:hint="eastAsia"/>
          <w:color w:val="FF0000"/>
          <w:sz w:val="28"/>
          <w:szCs w:val="28"/>
        </w:rPr>
        <w:t>报班的花销的太贵</w:t>
      </w:r>
      <w:r>
        <w:rPr>
          <w:rFonts w:hint="eastAsia"/>
          <w:sz w:val="28"/>
          <w:szCs w:val="28"/>
        </w:rPr>
        <w:t>很多人承受不起；</w:t>
      </w:r>
    </w:p>
    <w:p>
      <w:pPr>
        <w:pStyle w:val="13"/>
        <w:numPr>
          <w:ilvl w:val="1"/>
          <w:numId w:val="1"/>
        </w:numPr>
        <w:ind w:firstLineChars="0"/>
        <w:rPr>
          <w:sz w:val="28"/>
          <w:szCs w:val="28"/>
        </w:rPr>
      </w:pPr>
      <w:r>
        <w:rPr>
          <w:rFonts w:hint="eastAsia"/>
          <w:sz w:val="28"/>
          <w:szCs w:val="28"/>
        </w:rPr>
        <w:t>学生没有自己的计划，不能很好的</w:t>
      </w:r>
      <w:r>
        <w:rPr>
          <w:rFonts w:hint="eastAsia"/>
          <w:color w:val="FF0000"/>
          <w:sz w:val="28"/>
          <w:szCs w:val="28"/>
        </w:rPr>
        <w:t>克制自己</w:t>
      </w:r>
      <w:r>
        <w:rPr>
          <w:rFonts w:hint="eastAsia"/>
          <w:sz w:val="28"/>
          <w:szCs w:val="28"/>
        </w:rPr>
        <w:t>；</w:t>
      </w:r>
    </w:p>
    <w:p>
      <w:pPr>
        <w:pStyle w:val="13"/>
        <w:numPr>
          <w:ilvl w:val="1"/>
          <w:numId w:val="1"/>
        </w:numPr>
        <w:ind w:firstLineChars="0"/>
        <w:rPr>
          <w:sz w:val="28"/>
          <w:szCs w:val="28"/>
        </w:rPr>
      </w:pPr>
      <w:r>
        <w:rPr>
          <w:rFonts w:hint="eastAsia"/>
          <w:sz w:val="28"/>
          <w:szCs w:val="28"/>
        </w:rPr>
        <w:t>花费大量的时间去</w:t>
      </w:r>
      <w:r>
        <w:rPr>
          <w:rFonts w:hint="eastAsia"/>
          <w:color w:val="FF0000"/>
          <w:sz w:val="28"/>
          <w:szCs w:val="28"/>
        </w:rPr>
        <w:t>查阅信息</w:t>
      </w:r>
      <w:r>
        <w:rPr>
          <w:rFonts w:hint="eastAsia"/>
          <w:sz w:val="28"/>
          <w:szCs w:val="28"/>
        </w:rPr>
        <w:t>，依旧不能找到自己最适合的；</w:t>
      </w:r>
    </w:p>
    <w:p>
      <w:pPr>
        <w:pStyle w:val="2"/>
        <w:spacing w:before="0" w:after="0" w:line="360" w:lineRule="auto"/>
        <w:rPr>
          <w:sz w:val="32"/>
        </w:rPr>
      </w:pPr>
      <w:r>
        <w:rPr>
          <w:rFonts w:hint="eastAsia"/>
          <w:sz w:val="32"/>
        </w:rPr>
        <w:t>产品愿景和商业机会</w:t>
      </w:r>
    </w:p>
    <w:p>
      <w:pPr>
        <w:ind w:left="424" w:leftChars="202"/>
        <w:jc w:val="left"/>
        <w:rPr>
          <w:b/>
          <w:sz w:val="28"/>
          <w:szCs w:val="28"/>
        </w:rPr>
      </w:pPr>
      <w:r>
        <w:rPr>
          <w:rFonts w:hint="eastAsia" w:ascii="黑体" w:hAnsi="黑体" w:eastAsia="黑体"/>
          <w:bCs/>
          <w:sz w:val="28"/>
          <w:szCs w:val="28"/>
        </w:rPr>
        <w:t>定位：</w:t>
      </w:r>
      <w:r>
        <w:rPr>
          <w:rFonts w:hint="eastAsia"/>
          <w:sz w:val="28"/>
          <w:szCs w:val="28"/>
        </w:rPr>
        <w:t>为考研的学生提供信息资料，课程规划，经验分享，以及售卖课程等；</w:t>
      </w:r>
    </w:p>
    <w:p>
      <w:pPr>
        <w:ind w:left="424" w:leftChars="202"/>
        <w:jc w:val="left"/>
        <w:rPr>
          <w:rFonts w:ascii="黑体" w:hAnsi="黑体" w:eastAsia="黑体"/>
          <w:bCs/>
          <w:sz w:val="28"/>
          <w:szCs w:val="28"/>
        </w:rPr>
      </w:pPr>
      <w:r>
        <w:rPr>
          <w:rFonts w:hint="eastAsia" w:ascii="黑体" w:hAnsi="黑体" w:eastAsia="黑体"/>
          <w:bCs/>
          <w:sz w:val="28"/>
          <w:szCs w:val="28"/>
        </w:rPr>
        <w:t>商业机会：</w:t>
      </w:r>
    </w:p>
    <w:p>
      <w:pPr>
        <w:pStyle w:val="13"/>
        <w:numPr>
          <w:ilvl w:val="1"/>
          <w:numId w:val="2"/>
        </w:numPr>
        <w:ind w:left="424" w:leftChars="202" w:firstLineChars="0"/>
        <w:jc w:val="left"/>
        <w:rPr>
          <w:sz w:val="28"/>
          <w:szCs w:val="28"/>
        </w:rPr>
      </w:pPr>
      <w:r>
        <w:rPr>
          <w:rFonts w:hint="eastAsia"/>
          <w:sz w:val="28"/>
          <w:szCs w:val="28"/>
        </w:rPr>
        <w:t>每年考研的学生足够多，受众足够多；</w:t>
      </w:r>
    </w:p>
    <w:p>
      <w:pPr>
        <w:pStyle w:val="13"/>
        <w:numPr>
          <w:ilvl w:val="1"/>
          <w:numId w:val="2"/>
        </w:numPr>
        <w:ind w:left="424" w:leftChars="202" w:firstLineChars="0"/>
        <w:jc w:val="left"/>
        <w:rPr>
          <w:sz w:val="28"/>
          <w:szCs w:val="28"/>
        </w:rPr>
      </w:pPr>
      <w:r>
        <w:rPr>
          <w:rFonts w:hint="eastAsia"/>
          <w:sz w:val="28"/>
          <w:szCs w:val="28"/>
        </w:rPr>
        <w:t>减少学生查阅信息的时间；</w:t>
      </w:r>
    </w:p>
    <w:p>
      <w:pPr>
        <w:pStyle w:val="13"/>
        <w:numPr>
          <w:ilvl w:val="1"/>
          <w:numId w:val="2"/>
        </w:numPr>
        <w:ind w:left="424" w:leftChars="202" w:firstLineChars="0"/>
        <w:jc w:val="left"/>
        <w:rPr>
          <w:sz w:val="28"/>
          <w:szCs w:val="28"/>
        </w:rPr>
      </w:pPr>
      <w:r>
        <w:rPr>
          <w:rFonts w:hint="eastAsia"/>
          <w:sz w:val="28"/>
          <w:szCs w:val="28"/>
        </w:rPr>
        <w:t>经验分享，可以到社区直接查看；</w:t>
      </w:r>
    </w:p>
    <w:p>
      <w:pPr>
        <w:pStyle w:val="13"/>
        <w:numPr>
          <w:ilvl w:val="1"/>
          <w:numId w:val="2"/>
        </w:numPr>
        <w:ind w:left="424" w:leftChars="202" w:firstLineChars="0"/>
        <w:jc w:val="left"/>
        <w:rPr>
          <w:sz w:val="28"/>
          <w:szCs w:val="28"/>
        </w:rPr>
      </w:pPr>
      <w:r>
        <w:rPr>
          <w:rFonts w:hint="eastAsia"/>
          <w:sz w:val="28"/>
          <w:szCs w:val="28"/>
        </w:rPr>
        <w:t>售卖课程，针对不同的学生售卖不同课程；</w:t>
      </w:r>
    </w:p>
    <w:p>
      <w:pPr>
        <w:ind w:left="424" w:leftChars="202"/>
        <w:jc w:val="left"/>
        <w:rPr>
          <w:sz w:val="28"/>
          <w:szCs w:val="28"/>
        </w:rPr>
      </w:pPr>
    </w:p>
    <w:p>
      <w:pPr>
        <w:ind w:left="424" w:leftChars="202"/>
        <w:jc w:val="left"/>
        <w:rPr>
          <w:rFonts w:ascii="黑体" w:hAnsi="黑体" w:eastAsia="黑体"/>
          <w:bCs/>
          <w:sz w:val="28"/>
          <w:szCs w:val="28"/>
        </w:rPr>
      </w:pPr>
      <w:r>
        <w:rPr>
          <w:rFonts w:hint="eastAsia" w:ascii="黑体" w:hAnsi="黑体" w:eastAsia="黑体"/>
          <w:bCs/>
          <w:sz w:val="28"/>
          <w:szCs w:val="28"/>
        </w:rPr>
        <w:t>商业模式：</w:t>
      </w:r>
    </w:p>
    <w:p>
      <w:pPr>
        <w:pStyle w:val="13"/>
        <w:numPr>
          <w:ilvl w:val="0"/>
          <w:numId w:val="3"/>
        </w:numPr>
        <w:ind w:left="424" w:leftChars="202" w:firstLineChars="0"/>
        <w:jc w:val="left"/>
        <w:rPr>
          <w:sz w:val="28"/>
          <w:szCs w:val="28"/>
        </w:rPr>
      </w:pPr>
      <w:r>
        <w:rPr>
          <w:rFonts w:hint="eastAsia"/>
          <w:sz w:val="28"/>
          <w:szCs w:val="28"/>
        </w:rPr>
        <w:t>监管模式；</w:t>
      </w:r>
    </w:p>
    <w:p>
      <w:pPr>
        <w:pStyle w:val="13"/>
        <w:numPr>
          <w:ilvl w:val="0"/>
          <w:numId w:val="3"/>
        </w:numPr>
        <w:ind w:left="424" w:leftChars="202" w:firstLineChars="0"/>
        <w:jc w:val="left"/>
        <w:rPr>
          <w:sz w:val="28"/>
          <w:szCs w:val="28"/>
        </w:rPr>
      </w:pPr>
      <w:r>
        <w:rPr>
          <w:rFonts w:hint="eastAsia"/>
          <w:sz w:val="28"/>
          <w:szCs w:val="28"/>
        </w:rPr>
        <w:t>各种考研机构课程的广告；</w:t>
      </w:r>
    </w:p>
    <w:p>
      <w:pPr>
        <w:pStyle w:val="2"/>
        <w:spacing w:before="0" w:after="0" w:line="360" w:lineRule="auto"/>
        <w:rPr>
          <w:sz w:val="32"/>
        </w:rPr>
      </w:pPr>
      <w:r>
        <w:rPr>
          <w:rFonts w:hint="eastAsia"/>
          <w:sz w:val="32"/>
        </w:rPr>
        <w:t>用户分析</w:t>
      </w:r>
    </w:p>
    <w:p>
      <w:pPr>
        <w:ind w:left="424" w:leftChars="202"/>
        <w:rPr>
          <w:sz w:val="28"/>
          <w:szCs w:val="28"/>
        </w:rPr>
      </w:pPr>
      <w:r>
        <w:rPr>
          <w:rFonts w:hint="eastAsia"/>
          <w:sz w:val="28"/>
          <w:szCs w:val="28"/>
        </w:rPr>
        <w:t>《一研为定》主要服务一类用户：</w:t>
      </w:r>
    </w:p>
    <w:p>
      <w:pPr>
        <w:pStyle w:val="13"/>
        <w:widowControl/>
        <w:numPr>
          <w:ilvl w:val="0"/>
          <w:numId w:val="4"/>
        </w:numPr>
        <w:spacing w:line="360" w:lineRule="auto"/>
        <w:ind w:left="424" w:leftChars="202" w:firstLineChars="0"/>
        <w:rPr>
          <w:sz w:val="28"/>
          <w:szCs w:val="28"/>
        </w:rPr>
      </w:pPr>
      <w:r>
        <w:rPr>
          <w:rFonts w:hint="eastAsia"/>
          <w:sz w:val="28"/>
          <w:szCs w:val="28"/>
        </w:rPr>
        <w:t>有考研意愿的学生（简称考研人）。</w:t>
      </w:r>
    </w:p>
    <w:p>
      <w:pPr>
        <w:pStyle w:val="13"/>
        <w:widowControl/>
        <w:numPr>
          <w:ilvl w:val="1"/>
          <w:numId w:val="4"/>
        </w:numPr>
        <w:spacing w:line="360" w:lineRule="auto"/>
        <w:ind w:firstLineChars="0"/>
        <w:rPr>
          <w:sz w:val="28"/>
          <w:szCs w:val="28"/>
        </w:rPr>
      </w:pPr>
      <w:r>
        <w:rPr>
          <w:rFonts w:hint="eastAsia"/>
          <w:sz w:val="28"/>
          <w:szCs w:val="28"/>
        </w:rPr>
        <w:t>愿望：能够查找和推荐考研信息，下资料，做真题，交研友，做计划，交流考研经验等；</w:t>
      </w:r>
    </w:p>
    <w:p>
      <w:pPr>
        <w:pStyle w:val="13"/>
        <w:widowControl/>
        <w:numPr>
          <w:ilvl w:val="1"/>
          <w:numId w:val="4"/>
        </w:numPr>
        <w:spacing w:line="360" w:lineRule="auto"/>
        <w:ind w:firstLineChars="0"/>
        <w:rPr>
          <w:sz w:val="28"/>
          <w:szCs w:val="28"/>
        </w:rPr>
      </w:pPr>
      <w:r>
        <w:rPr>
          <w:rFonts w:hint="eastAsia"/>
          <w:sz w:val="28"/>
          <w:szCs w:val="28"/>
        </w:rPr>
        <w:t>痛点：信息资料查不全或者查不到，信息单一；不知道该怎样制定复习计划；定院校定专业迷茫，学校太多，不知如何选择；缺少志同道合的研友；</w:t>
      </w:r>
    </w:p>
    <w:p>
      <w:pPr>
        <w:pStyle w:val="13"/>
        <w:widowControl/>
        <w:numPr>
          <w:ilvl w:val="1"/>
          <w:numId w:val="4"/>
        </w:numPr>
        <w:spacing w:line="360" w:lineRule="auto"/>
        <w:ind w:firstLineChars="0"/>
        <w:rPr>
          <w:sz w:val="28"/>
          <w:szCs w:val="28"/>
        </w:rPr>
      </w:pPr>
      <w:r>
        <w:rPr>
          <w:rFonts w:hint="eastAsia"/>
          <w:sz w:val="28"/>
          <w:szCs w:val="28"/>
        </w:rPr>
        <w:t xml:space="preserve">受众人数：每年考研人数足够多； </w:t>
      </w:r>
    </w:p>
    <w:p>
      <w:pPr>
        <w:pStyle w:val="13"/>
        <w:widowControl/>
        <w:numPr>
          <w:ilvl w:val="1"/>
          <w:numId w:val="4"/>
        </w:numPr>
        <w:spacing w:line="360" w:lineRule="auto"/>
        <w:ind w:firstLineChars="0"/>
        <w:rPr>
          <w:sz w:val="28"/>
          <w:szCs w:val="28"/>
        </w:rPr>
      </w:pPr>
      <w:r>
        <w:rPr>
          <w:rFonts w:hint="eastAsia"/>
          <w:sz w:val="28"/>
          <w:szCs w:val="28"/>
        </w:rPr>
        <w:t>经济能力：资金虽不多，但愿意为考研投资，帮助自己考研；</w:t>
      </w:r>
    </w:p>
    <w:p>
      <w:pPr>
        <w:pStyle w:val="13"/>
        <w:widowControl/>
        <w:numPr>
          <w:ilvl w:val="1"/>
          <w:numId w:val="4"/>
        </w:numPr>
        <w:spacing w:line="360" w:lineRule="auto"/>
        <w:ind w:firstLineChars="0"/>
        <w:rPr>
          <w:sz w:val="28"/>
          <w:szCs w:val="28"/>
        </w:rPr>
      </w:pPr>
      <w:r>
        <w:rPr>
          <w:rFonts w:hint="eastAsia"/>
          <w:sz w:val="28"/>
          <w:szCs w:val="28"/>
        </w:rPr>
        <w:t>计算机能力：熟练上网，笔记本电脑和手机的普及度也相当高；</w:t>
      </w:r>
    </w:p>
    <w:p>
      <w:pPr>
        <w:pStyle w:val="2"/>
        <w:spacing w:before="0" w:after="0" w:line="360" w:lineRule="auto"/>
        <w:rPr>
          <w:sz w:val="32"/>
        </w:rPr>
      </w:pPr>
      <w:r>
        <w:rPr>
          <w:rFonts w:hint="eastAsia"/>
          <w:sz w:val="32"/>
        </w:rPr>
        <w:t>技术分析</w:t>
      </w:r>
    </w:p>
    <w:p>
      <w:pPr>
        <w:pStyle w:val="6"/>
      </w:pPr>
      <w:r>
        <w:rPr>
          <w:rFonts w:hint="eastAsia"/>
          <w:sz w:val="28"/>
          <w:szCs w:val="28"/>
        </w:rPr>
        <w:t xml:space="preserve"> </w:t>
      </w:r>
      <w:r>
        <w:rPr>
          <w:rFonts w:hint="eastAsia"/>
        </w:rPr>
        <w:t>采用的技术架构</w:t>
      </w:r>
    </w:p>
    <w:p>
      <w:pPr>
        <w:ind w:firstLine="420"/>
        <w:rPr>
          <w:sz w:val="28"/>
          <w:szCs w:val="28"/>
        </w:rPr>
      </w:pPr>
      <w:r>
        <w:rPr>
          <w:rFonts w:hint="eastAsia"/>
          <w:sz w:val="28"/>
          <w:szCs w:val="28"/>
        </w:rPr>
        <w:t>以基于互联网的</w:t>
      </w:r>
      <w:r>
        <w:rPr>
          <w:rFonts w:hint="default"/>
          <w:sz w:val="28"/>
          <w:szCs w:val="28"/>
        </w:rPr>
        <w:t>移动</w:t>
      </w:r>
      <w:r>
        <w:rPr>
          <w:rFonts w:hint="eastAsia"/>
          <w:sz w:val="28"/>
          <w:szCs w:val="28"/>
        </w:rPr>
        <w:t>应用方式提供服务。前端技术主要采用</w:t>
      </w:r>
      <w:r>
        <w:rPr>
          <w:sz w:val="28"/>
          <w:szCs w:val="28"/>
        </w:rPr>
        <w:t>Flutter、EventBus、OKHttp、Glide</w:t>
      </w:r>
      <w:r>
        <w:rPr>
          <w:rFonts w:hint="eastAsia"/>
          <w:sz w:val="28"/>
          <w:szCs w:val="28"/>
        </w:rPr>
        <w:t>，后端技术采用</w:t>
      </w:r>
      <w:r>
        <w:rPr>
          <w:rFonts w:hint="default"/>
          <w:sz w:val="28"/>
          <w:szCs w:val="28"/>
        </w:rPr>
        <w:t>SpringBoot、Mybatis、SpringMVC、ElasticSearch、Spring Security、Redis</w:t>
      </w:r>
      <w:r>
        <w:rPr>
          <w:rFonts w:hint="eastAsia"/>
          <w:sz w:val="28"/>
          <w:szCs w:val="28"/>
        </w:rPr>
        <w:t>，可免费快速完成开发；</w:t>
      </w:r>
    </w:p>
    <w:p>
      <w:pPr>
        <w:pStyle w:val="6"/>
      </w:pPr>
      <w:r>
        <w:rPr>
          <w:rFonts w:hint="eastAsia"/>
        </w:rPr>
        <w:t>平台</w:t>
      </w:r>
    </w:p>
    <w:p>
      <w:pPr>
        <w:rPr>
          <w:sz w:val="28"/>
          <w:szCs w:val="28"/>
        </w:rPr>
      </w:pPr>
      <w:r>
        <w:rPr>
          <w:rFonts w:hint="eastAsia"/>
          <w:sz w:val="28"/>
          <w:szCs w:val="28"/>
        </w:rPr>
        <w:tab/>
      </w:r>
      <w:r>
        <w:rPr>
          <w:rFonts w:hint="eastAsia"/>
          <w:sz w:val="28"/>
          <w:szCs w:val="28"/>
        </w:rPr>
        <w:t>初步计划采用</w:t>
      </w:r>
      <w:r>
        <w:rPr>
          <w:rFonts w:hint="default"/>
          <w:sz w:val="28"/>
          <w:szCs w:val="28"/>
        </w:rPr>
        <w:t>阿里</w:t>
      </w:r>
      <w:r>
        <w:rPr>
          <w:rFonts w:hint="eastAsia"/>
          <w:sz w:val="28"/>
          <w:szCs w:val="28"/>
        </w:rPr>
        <w:t>的云服务平台支撑应用软件，</w:t>
      </w:r>
      <w:r>
        <w:rPr>
          <w:rFonts w:hint="default"/>
          <w:sz w:val="28"/>
          <w:szCs w:val="28"/>
        </w:rPr>
        <w:t>稳定且高效</w:t>
      </w:r>
    </w:p>
    <w:p>
      <w:pPr>
        <w:pStyle w:val="6"/>
      </w:pPr>
      <w:r>
        <w:rPr>
          <w:rFonts w:hint="eastAsia"/>
        </w:rPr>
        <w:t>软硬件、网络支持</w:t>
      </w:r>
    </w:p>
    <w:p>
      <w:pPr>
        <w:ind w:firstLine="420"/>
        <w:rPr>
          <w:sz w:val="28"/>
          <w:szCs w:val="28"/>
        </w:rPr>
      </w:pPr>
      <w:r>
        <w:rPr>
          <w:rFonts w:hint="eastAsia"/>
          <w:sz w:val="28"/>
          <w:szCs w:val="28"/>
        </w:rPr>
        <w:t>由于所选支撑平台均是强大的服务商，能满足早期的</w:t>
      </w:r>
      <w:r>
        <w:rPr>
          <w:rFonts w:hint="default"/>
          <w:sz w:val="28"/>
          <w:szCs w:val="28"/>
        </w:rPr>
        <w:t>硬件网络</w:t>
      </w:r>
      <w:r>
        <w:rPr>
          <w:rFonts w:hint="eastAsia"/>
          <w:sz w:val="28"/>
          <w:szCs w:val="28"/>
        </w:rPr>
        <w:t>需求，</w:t>
      </w:r>
      <w:r>
        <w:rPr>
          <w:rFonts w:hint="default"/>
          <w:sz w:val="28"/>
          <w:szCs w:val="28"/>
        </w:rPr>
        <w:t>软件则需要jdk1.8、Mysql5.5、redis等</w:t>
      </w:r>
    </w:p>
    <w:p>
      <w:pPr>
        <w:pStyle w:val="6"/>
      </w:pPr>
      <w:r>
        <w:rPr>
          <w:rFonts w:hint="eastAsia"/>
        </w:rPr>
        <w:t>技术难点</w:t>
      </w:r>
    </w:p>
    <w:p>
      <w:pPr>
        <w:rPr>
          <w:rFonts w:hint="default"/>
          <w:sz w:val="28"/>
          <w:szCs w:val="28"/>
        </w:rPr>
      </w:pPr>
      <w:r>
        <w:rPr>
          <w:rFonts w:hint="eastAsia"/>
          <w:sz w:val="28"/>
          <w:szCs w:val="28"/>
        </w:rPr>
        <w:tab/>
      </w:r>
      <w:r>
        <w:rPr>
          <w:rFonts w:hint="default"/>
          <w:sz w:val="28"/>
          <w:szCs w:val="28"/>
        </w:rPr>
        <w:t>针对不同考生的情况作出考研院校推荐</w:t>
      </w:r>
    </w:p>
    <w:p>
      <w:pPr>
        <w:ind w:firstLine="420" w:firstLineChars="0"/>
        <w:rPr>
          <w:rFonts w:hint="default"/>
          <w:sz w:val="28"/>
          <w:szCs w:val="28"/>
        </w:rPr>
      </w:pPr>
      <w:r>
        <w:rPr>
          <w:rFonts w:hint="default"/>
          <w:sz w:val="28"/>
          <w:szCs w:val="28"/>
        </w:rPr>
        <w:t>信息资源的加密防泄漏</w:t>
      </w:r>
    </w:p>
    <w:p>
      <w:pPr>
        <w:ind w:firstLine="420" w:firstLineChars="0"/>
        <w:rPr>
          <w:rFonts w:hint="default"/>
          <w:sz w:val="28"/>
          <w:szCs w:val="28"/>
        </w:rPr>
      </w:pPr>
      <w:r>
        <w:rPr>
          <w:rFonts w:hint="default"/>
          <w:sz w:val="28"/>
          <w:szCs w:val="28"/>
        </w:rPr>
        <w:t>重要资源备份防丢失</w:t>
      </w:r>
    </w:p>
    <w:p>
      <w:pPr>
        <w:ind w:firstLine="420" w:firstLineChars="0"/>
        <w:rPr>
          <w:rFonts w:hint="default"/>
          <w:sz w:val="28"/>
          <w:szCs w:val="28"/>
        </w:rPr>
      </w:pPr>
    </w:p>
    <w:p>
      <w:pPr>
        <w:ind w:left="424" w:leftChars="202" w:firstLine="427"/>
        <w:rPr>
          <w:sz w:val="28"/>
          <w:szCs w:val="28"/>
        </w:rPr>
      </w:pPr>
      <w:bookmarkStart w:id="0" w:name="_GoBack"/>
      <w:bookmarkEnd w:id="0"/>
    </w:p>
    <w:p>
      <w:pPr>
        <w:pStyle w:val="2"/>
        <w:spacing w:before="0" w:after="0" w:line="360" w:lineRule="auto"/>
        <w:rPr>
          <w:rFonts w:hint="eastAsia"/>
          <w:sz w:val="32"/>
        </w:rPr>
      </w:pPr>
      <w:r>
        <w:rPr>
          <w:rFonts w:hint="eastAsia"/>
          <w:sz w:val="32"/>
        </w:rPr>
        <w:t>收益分析</w:t>
      </w:r>
    </w:p>
    <w:p>
      <w:pPr>
        <w:spacing w:line="360" w:lineRule="auto"/>
        <w:ind w:left="720"/>
        <w:rPr>
          <w:rFonts w:asciiTheme="minorEastAsia" w:hAnsiTheme="minorEastAsia"/>
          <w:sz w:val="28"/>
          <w:szCs w:val="28"/>
        </w:rPr>
      </w:pPr>
      <w:r>
        <w:rPr>
          <w:rFonts w:hint="eastAsia" w:asciiTheme="minorEastAsia" w:hAnsiTheme="minorEastAsia"/>
          <w:sz w:val="28"/>
          <w:szCs w:val="28"/>
        </w:rPr>
        <w:t>财务分析的估算结果如下，几项重要参数说明：</w:t>
      </w:r>
    </w:p>
    <w:p>
      <w:pPr>
        <w:numPr>
          <w:ilvl w:val="0"/>
          <w:numId w:val="5"/>
        </w:numPr>
        <w:spacing w:line="360" w:lineRule="auto"/>
        <w:jc w:val="left"/>
        <w:rPr>
          <w:rFonts w:asciiTheme="minorEastAsia" w:hAnsiTheme="minorEastAsia"/>
          <w:sz w:val="28"/>
          <w:szCs w:val="28"/>
        </w:rPr>
      </w:pPr>
      <w:r>
        <w:rPr>
          <w:rFonts w:hint="eastAsia" w:asciiTheme="minorEastAsia" w:hAnsiTheme="minorEastAsia"/>
          <w:sz w:val="28"/>
          <w:szCs w:val="28"/>
        </w:rPr>
        <w:t>折现率假设为10%，这是比较通用的一个值；</w:t>
      </w:r>
    </w:p>
    <w:p>
      <w:pPr>
        <w:numPr>
          <w:ilvl w:val="0"/>
          <w:numId w:val="5"/>
        </w:numPr>
        <w:spacing w:line="360" w:lineRule="auto"/>
        <w:jc w:val="left"/>
        <w:rPr>
          <w:rFonts w:asciiTheme="minorEastAsia" w:hAnsiTheme="minorEastAsia"/>
          <w:sz w:val="28"/>
          <w:szCs w:val="28"/>
        </w:rPr>
      </w:pPr>
      <w:r>
        <w:rPr>
          <w:rFonts w:hint="eastAsia" w:asciiTheme="minorEastAsia" w:hAnsiTheme="minorEastAsia"/>
          <w:sz w:val="28"/>
          <w:szCs w:val="28"/>
        </w:rPr>
        <w:t>项目长周期设为5年；</w:t>
      </w:r>
    </w:p>
    <w:p>
      <w:pPr>
        <w:numPr>
          <w:ilvl w:val="0"/>
          <w:numId w:val="5"/>
        </w:numPr>
        <w:spacing w:line="360" w:lineRule="auto"/>
        <w:jc w:val="left"/>
        <w:rPr>
          <w:rFonts w:eastAsiaTheme="minorHAnsi"/>
          <w:sz w:val="28"/>
          <w:szCs w:val="28"/>
        </w:rPr>
      </w:pPr>
      <w:r>
        <w:rPr>
          <w:rFonts w:hint="eastAsia" w:asciiTheme="minorEastAsia" w:hAnsiTheme="minorEastAsia"/>
          <w:sz w:val="28"/>
          <w:szCs w:val="28"/>
        </w:rPr>
        <w:t>首年成本为上面资源分析中的成本加10万元推广成本，以后四年假设升级维护费</w:t>
      </w:r>
      <w:r>
        <w:rPr>
          <w:rFonts w:hint="eastAsia" w:eastAsiaTheme="minorHAnsi"/>
          <w:sz w:val="28"/>
          <w:szCs w:val="28"/>
        </w:rPr>
        <w:t>和推广为每年20万；</w:t>
      </w:r>
    </w:p>
    <w:p>
      <w:pPr>
        <w:numPr>
          <w:ilvl w:val="0"/>
          <w:numId w:val="5"/>
        </w:numPr>
        <w:spacing w:line="360" w:lineRule="auto"/>
        <w:jc w:val="left"/>
        <w:rPr>
          <w:rFonts w:eastAsiaTheme="minorHAnsi"/>
          <w:sz w:val="28"/>
          <w:szCs w:val="28"/>
        </w:rPr>
      </w:pPr>
      <w:r>
        <w:rPr>
          <w:rFonts w:hint="eastAsia" w:eastAsiaTheme="minorHAnsi"/>
          <w:sz w:val="28"/>
          <w:szCs w:val="28"/>
        </w:rPr>
        <w:t>收益假设第一年为10万，第2年为30万，第3年为60万，第4年为100万，第5年为150万；</w:t>
      </w:r>
    </w:p>
    <w:tbl>
      <w:tblPr>
        <w:tblStyle w:val="9"/>
        <w:tblpPr w:leftFromText="180" w:rightFromText="180" w:horzAnchor="margin" w:tblpXSpec="center" w:tblpY="-13100"/>
        <w:tblW w:w="10402" w:type="dxa"/>
        <w:tblInd w:w="0" w:type="dxa"/>
        <w:tblLayout w:type="fixed"/>
        <w:tblCellMar>
          <w:top w:w="0" w:type="dxa"/>
          <w:left w:w="108" w:type="dxa"/>
          <w:bottom w:w="0" w:type="dxa"/>
          <w:right w:w="108" w:type="dxa"/>
        </w:tblCellMar>
      </w:tblPr>
      <w:tblGrid>
        <w:gridCol w:w="1583"/>
        <w:gridCol w:w="1417"/>
        <w:gridCol w:w="1559"/>
        <w:gridCol w:w="1276"/>
        <w:gridCol w:w="1559"/>
        <w:gridCol w:w="1196"/>
        <w:gridCol w:w="1812"/>
      </w:tblGrid>
      <w:tr>
        <w:tblPrEx>
          <w:tblLayout w:type="fixed"/>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折现率</w:t>
            </w:r>
          </w:p>
        </w:tc>
        <w:tc>
          <w:tcPr>
            <w:tcW w:w="1417" w:type="dxa"/>
            <w:tcBorders>
              <w:top w:val="double" w:color="auto" w:sz="6" w:space="0"/>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10%</w:t>
            </w:r>
          </w:p>
        </w:tc>
        <w:tc>
          <w:tcPr>
            <w:tcW w:w="1559" w:type="dxa"/>
            <w:tcBorders>
              <w:top w:val="double" w:color="auto" w:sz="6" w:space="0"/>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double" w:color="auto" w:sz="6" w:space="0"/>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double" w:color="auto" w:sz="6" w:space="0"/>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double" w:color="auto" w:sz="6" w:space="0"/>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double" w:color="auto" w:sz="6" w:space="0"/>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405" w:hRule="atLeast"/>
        </w:trPr>
        <w:tc>
          <w:tcPr>
            <w:tcW w:w="1583" w:type="dxa"/>
            <w:tcBorders>
              <w:top w:val="double" w:color="auto" w:sz="6" w:space="0"/>
              <w:left w:val="double" w:color="auto" w:sz="6" w:space="0"/>
              <w:bottom w:val="single" w:color="auto" w:sz="8" w:space="0"/>
              <w:right w:val="single" w:color="auto" w:sz="8" w:space="0"/>
            </w:tcBorders>
            <w:shd w:val="clear" w:color="auto" w:fill="auto"/>
            <w:vAlign w:val="center"/>
          </w:tcPr>
          <w:p>
            <w:pPr>
              <w:widowControl/>
              <w:rPr>
                <w:rFonts w:hint="eastAsia" w:cs="宋体" w:asciiTheme="minorEastAsia" w:hAnsiTheme="minorEastAsia"/>
                <w:color w:val="000000"/>
                <w:sz w:val="28"/>
                <w:szCs w:val="28"/>
              </w:rPr>
            </w:pPr>
          </w:p>
        </w:tc>
        <w:tc>
          <w:tcPr>
            <w:tcW w:w="1417" w:type="dxa"/>
            <w:tcBorders>
              <w:top w:val="double" w:color="auto" w:sz="6" w:space="0"/>
              <w:left w:val="nil"/>
              <w:bottom w:val="single" w:color="auto" w:sz="8" w:space="0"/>
              <w:right w:val="single" w:color="auto" w:sz="8" w:space="0"/>
            </w:tcBorders>
            <w:shd w:val="clear" w:color="auto" w:fill="auto"/>
            <w:vAlign w:val="center"/>
          </w:tcPr>
          <w:p>
            <w:pPr>
              <w:widowControl/>
              <w:jc w:val="right"/>
              <w:rPr>
                <w:rFonts w:hint="eastAsia" w:cs="宋体" w:asciiTheme="minorEastAsia" w:hAnsiTheme="minorEastAsia"/>
                <w:color w:val="000000"/>
                <w:sz w:val="28"/>
                <w:szCs w:val="28"/>
              </w:rPr>
            </w:pPr>
          </w:p>
        </w:tc>
        <w:tc>
          <w:tcPr>
            <w:tcW w:w="1559" w:type="dxa"/>
            <w:tcBorders>
              <w:top w:val="double" w:color="auto" w:sz="6" w:space="0"/>
              <w:left w:val="nil"/>
              <w:bottom w:val="single" w:color="auto" w:sz="8" w:space="0"/>
              <w:right w:val="single" w:color="auto" w:sz="8" w:space="0"/>
            </w:tcBorders>
            <w:shd w:val="clear" w:color="auto" w:fill="auto"/>
            <w:vAlign w:val="center"/>
          </w:tcPr>
          <w:p>
            <w:pPr>
              <w:widowControl/>
              <w:rPr>
                <w:rFonts w:hint="eastAsia" w:cs="宋体" w:asciiTheme="minorEastAsia" w:hAnsiTheme="minorEastAsia"/>
                <w:color w:val="000000"/>
                <w:sz w:val="28"/>
                <w:szCs w:val="28"/>
              </w:rPr>
            </w:pPr>
          </w:p>
        </w:tc>
        <w:tc>
          <w:tcPr>
            <w:tcW w:w="1276" w:type="dxa"/>
            <w:tcBorders>
              <w:top w:val="double" w:color="auto" w:sz="6" w:space="0"/>
              <w:left w:val="nil"/>
              <w:bottom w:val="single" w:color="auto" w:sz="8" w:space="0"/>
              <w:right w:val="single" w:color="auto" w:sz="8" w:space="0"/>
            </w:tcBorders>
            <w:shd w:val="clear" w:color="auto" w:fill="auto"/>
            <w:vAlign w:val="center"/>
          </w:tcPr>
          <w:p>
            <w:pPr>
              <w:widowControl/>
              <w:rPr>
                <w:rFonts w:hint="eastAsia" w:cs="宋体" w:asciiTheme="minorEastAsia" w:hAnsiTheme="minorEastAsia"/>
                <w:color w:val="000000"/>
                <w:sz w:val="28"/>
                <w:szCs w:val="28"/>
              </w:rPr>
            </w:pPr>
          </w:p>
        </w:tc>
        <w:tc>
          <w:tcPr>
            <w:tcW w:w="1559" w:type="dxa"/>
            <w:tcBorders>
              <w:top w:val="double" w:color="auto" w:sz="6" w:space="0"/>
              <w:left w:val="nil"/>
              <w:bottom w:val="single" w:color="auto" w:sz="8" w:space="0"/>
              <w:right w:val="single" w:color="auto" w:sz="8" w:space="0"/>
            </w:tcBorders>
            <w:shd w:val="clear" w:color="auto" w:fill="auto"/>
            <w:vAlign w:val="center"/>
          </w:tcPr>
          <w:p>
            <w:pPr>
              <w:widowControl/>
              <w:rPr>
                <w:rFonts w:hint="eastAsia" w:cs="宋体" w:asciiTheme="minorEastAsia" w:hAnsiTheme="minorEastAsia"/>
                <w:color w:val="000000"/>
                <w:sz w:val="28"/>
                <w:szCs w:val="28"/>
              </w:rPr>
            </w:pPr>
          </w:p>
        </w:tc>
        <w:tc>
          <w:tcPr>
            <w:tcW w:w="1196" w:type="dxa"/>
            <w:tcBorders>
              <w:top w:val="double" w:color="auto" w:sz="6" w:space="0"/>
              <w:left w:val="nil"/>
              <w:bottom w:val="single" w:color="auto" w:sz="8" w:space="0"/>
              <w:right w:val="single" w:color="auto" w:sz="8" w:space="0"/>
            </w:tcBorders>
            <w:shd w:val="clear" w:color="auto" w:fill="auto"/>
            <w:vAlign w:val="center"/>
          </w:tcPr>
          <w:p>
            <w:pPr>
              <w:widowControl/>
              <w:rPr>
                <w:rFonts w:hint="eastAsia" w:cs="宋体" w:asciiTheme="minorEastAsia" w:hAnsiTheme="minorEastAsia"/>
                <w:color w:val="000000"/>
                <w:sz w:val="28"/>
                <w:szCs w:val="28"/>
              </w:rPr>
            </w:pPr>
          </w:p>
        </w:tc>
        <w:tc>
          <w:tcPr>
            <w:tcW w:w="1812" w:type="dxa"/>
            <w:tcBorders>
              <w:top w:val="double" w:color="auto" w:sz="6" w:space="0"/>
              <w:left w:val="nil"/>
              <w:bottom w:val="single" w:color="auto" w:sz="8" w:space="0"/>
              <w:right w:val="double" w:color="auto" w:sz="6" w:space="0"/>
            </w:tcBorders>
            <w:shd w:val="clear" w:color="auto" w:fill="auto"/>
            <w:vAlign w:val="center"/>
          </w:tcPr>
          <w:p>
            <w:pPr>
              <w:widowControl/>
              <w:rPr>
                <w:rFonts w:hint="eastAsia" w:cs="宋体" w:asciiTheme="minorEastAsia" w:hAnsiTheme="minorEastAsia"/>
                <w:color w:val="000000"/>
                <w:sz w:val="28"/>
                <w:szCs w:val="28"/>
              </w:rPr>
            </w:pP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417"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4</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5</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汇总</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成本</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396000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200000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200000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200000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200000</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折现因子</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0.91</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0.83</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0.75</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0.68</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0.62</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折现成本</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360360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166000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150000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136000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124000</w:t>
            </w:r>
          </w:p>
        </w:tc>
        <w:tc>
          <w:tcPr>
            <w:tcW w:w="1812" w:type="dxa"/>
            <w:tcBorders>
              <w:top w:val="nil"/>
              <w:left w:val="nil"/>
              <w:bottom w:val="single" w:color="auto" w:sz="8" w:space="0"/>
              <w:right w:val="double" w:color="auto" w:sz="6"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936360</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累计成本</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360360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526360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676360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812360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936360</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417"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收益</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100000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300000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600000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1000000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1500000</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折现因子</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0.91</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0.83</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0.75</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0.68</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0.62</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折现收益</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91000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249000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450000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680000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930000</w:t>
            </w:r>
          </w:p>
        </w:tc>
        <w:tc>
          <w:tcPr>
            <w:tcW w:w="1812" w:type="dxa"/>
            <w:tcBorders>
              <w:top w:val="nil"/>
              <w:left w:val="nil"/>
              <w:bottom w:val="single" w:color="auto" w:sz="8" w:space="0"/>
              <w:right w:val="double" w:color="auto" w:sz="6"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2400000</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累计收益</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91000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340000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790000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1470000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2400000</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417"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折现收益-折现成本</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-269360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83000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300000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544000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806000</w:t>
            </w:r>
          </w:p>
        </w:tc>
        <w:tc>
          <w:tcPr>
            <w:tcW w:w="1812" w:type="dxa"/>
            <w:tcBorders>
              <w:top w:val="nil"/>
              <w:left w:val="nil"/>
              <w:bottom w:val="single" w:color="auto" w:sz="8" w:space="0"/>
              <w:right w:val="double" w:color="auto" w:sz="6"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1463640</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累计收益-累计成本</w:t>
            </w:r>
          </w:p>
        </w:tc>
        <w:tc>
          <w:tcPr>
            <w:tcW w:w="1417"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-269360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-186360</w:t>
            </w:r>
          </w:p>
        </w:tc>
        <w:tc>
          <w:tcPr>
            <w:tcW w:w="127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113640</w:t>
            </w:r>
          </w:p>
        </w:tc>
        <w:tc>
          <w:tcPr>
            <w:tcW w:w="1559"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657640</w:t>
            </w:r>
          </w:p>
        </w:tc>
        <w:tc>
          <w:tcPr>
            <w:tcW w:w="1196" w:type="dxa"/>
            <w:tcBorders>
              <w:top w:val="nil"/>
              <w:left w:val="nil"/>
              <w:bottom w:val="single" w:color="auto" w:sz="8" w:space="0"/>
              <w:right w:val="single" w:color="auto" w:sz="8" w:space="0"/>
            </w:tcBorders>
            <w:shd w:val="clear" w:color="auto" w:fill="auto"/>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1463640</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417"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r>
        <w:tblPrEx>
          <w:tblLayout w:type="fixed"/>
        </w:tblPrEx>
        <w:trPr>
          <w:trHeight w:val="390" w:hRule="atLeast"/>
        </w:trPr>
        <w:tc>
          <w:tcPr>
            <w:tcW w:w="1583" w:type="dxa"/>
            <w:tcBorders>
              <w:top w:val="nil"/>
              <w:left w:val="double" w:color="auto" w:sz="6" w:space="0"/>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净现值</w:t>
            </w:r>
          </w:p>
        </w:tc>
        <w:tc>
          <w:tcPr>
            <w:tcW w:w="1417" w:type="dxa"/>
            <w:tcBorders>
              <w:top w:val="nil"/>
              <w:left w:val="nil"/>
              <w:bottom w:val="single" w:color="auto" w:sz="8" w:space="0"/>
              <w:right w:val="single" w:color="auto" w:sz="8" w:space="0"/>
            </w:tcBorders>
            <w:shd w:val="clear" w:color="000000" w:fill="FFFFFF"/>
            <w:vAlign w:val="center"/>
          </w:tcPr>
          <w:p>
            <w:pPr>
              <w:widowControl/>
              <w:jc w:val="right"/>
              <w:rPr>
                <w:rFonts w:cs="宋体" w:asciiTheme="minorEastAsia" w:hAnsiTheme="minorEastAsia"/>
                <w:color w:val="000000"/>
                <w:sz w:val="28"/>
                <w:szCs w:val="28"/>
              </w:rPr>
            </w:pPr>
            <w:r>
              <w:rPr>
                <w:rFonts w:hint="eastAsia" w:cs="宋体" w:asciiTheme="minorEastAsia" w:hAnsiTheme="minorEastAsia"/>
                <w:color w:val="000000"/>
                <w:sz w:val="28"/>
                <w:szCs w:val="28"/>
              </w:rPr>
              <w:t>1463640</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27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559"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196" w:type="dxa"/>
            <w:tcBorders>
              <w:top w:val="nil"/>
              <w:left w:val="nil"/>
              <w:bottom w:val="single" w:color="auto" w:sz="8" w:space="0"/>
              <w:right w:val="single" w:color="auto" w:sz="8"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c>
          <w:tcPr>
            <w:tcW w:w="1812" w:type="dxa"/>
            <w:tcBorders>
              <w:top w:val="nil"/>
              <w:left w:val="nil"/>
              <w:bottom w:val="single" w:color="auto" w:sz="8" w:space="0"/>
              <w:right w:val="double" w:color="auto" w:sz="6" w:space="0"/>
            </w:tcBorders>
            <w:shd w:val="clear" w:color="auto" w:fill="auto"/>
            <w:vAlign w:val="center"/>
          </w:tcPr>
          <w:p>
            <w:pPr>
              <w:widowControl/>
              <w:rPr>
                <w:rFonts w:cs="宋体" w:asciiTheme="minorEastAsia" w:hAnsiTheme="minorEastAsia"/>
                <w:color w:val="000000"/>
                <w:sz w:val="28"/>
                <w:szCs w:val="28"/>
              </w:rPr>
            </w:pPr>
            <w:r>
              <w:rPr>
                <w:rFonts w:hint="eastAsia" w:cs="宋体" w:asciiTheme="minorEastAsia" w:hAnsiTheme="minorEastAsia"/>
                <w:color w:val="000000"/>
                <w:sz w:val="28"/>
                <w:szCs w:val="28"/>
              </w:rPr>
              <w:t>　</w:t>
            </w:r>
          </w:p>
        </w:tc>
      </w:tr>
    </w:tbl>
    <w:p>
      <w:pPr>
        <w:ind w:left="424" w:leftChars="202"/>
      </w:pPr>
    </w:p>
    <w:p>
      <w:pPr>
        <w:ind w:left="424" w:leftChars="202"/>
        <w:jc w:val="left"/>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rial Unicode MS"/>
    <w:panose1 w:val="02000000000000000000"/>
    <w:charset w:val="86"/>
    <w:family w:val="auto"/>
    <w:pitch w:val="default"/>
    <w:sig w:usb0="00000001" w:usb1="08000000" w:usb2="00000000" w:usb3="00000000" w:csb0="00040000" w:csb1="00000000"/>
  </w:font>
  <w:font w:name="方正黑体_GBK">
    <w:altName w:val="Arial Unicode MS"/>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Arial Unicode MS">
    <w:panose1 w:val="020B0604020202020204"/>
    <w:charset w:val="86"/>
    <w:family w:val="auto"/>
    <w:pitch w:val="default"/>
    <w:sig w:usb0="FFFFFFFF" w:usb1="E9FFFFFF" w:usb2="0000003F" w:usb3="00000000" w:csb0="603F01FF" w:csb1="FFFF0000"/>
  </w:font>
  <w:font w:name="Arial Rounded MT Bold">
    <w:panose1 w:val="020F0704030504030204"/>
    <w:charset w:val="00"/>
    <w:family w:val="auto"/>
    <w:pitch w:val="default"/>
    <w:sig w:usb0="00000003" w:usb1="00000000" w:usb2="00000000" w:usb3="00000000" w:csb0="20000001"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黑体">
    <w:altName w:val="汉仪中黑KW"/>
    <w:panose1 w:val="02010609060101010101"/>
    <w:charset w:val="86"/>
    <w:family w:val="modern"/>
    <w:pitch w:val="default"/>
    <w:sig w:usb0="00000000" w:usb1="00000000" w:usb2="00000016" w:usb3="00000000" w:csb0="00040001"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汉仪中黑KW">
    <w:panose1 w:val="00020600040101010101"/>
    <w:charset w:val="86"/>
    <w:family w:val="auto"/>
    <w:pitch w:val="default"/>
    <w:sig w:usb0="A00002BF" w:usb1="18EF7CFA" w:usb2="00000016" w:usb3="00000000" w:csb0="00040000" w:csb1="00000000"/>
  </w:font>
  <w:font w:name="等线 Light">
    <w:altName w:val="汉仪中等线KW"/>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5251E"/>
    <w:multiLevelType w:val="multilevel"/>
    <w:tmpl w:val="14A5251E"/>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316E08D1"/>
    <w:multiLevelType w:val="multilevel"/>
    <w:tmpl w:val="316E08D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452D0543"/>
    <w:multiLevelType w:val="multilevel"/>
    <w:tmpl w:val="452D054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5F0D492B"/>
    <w:multiLevelType w:val="multilevel"/>
    <w:tmpl w:val="5F0D49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7833A83"/>
    <w:multiLevelType w:val="multilevel"/>
    <w:tmpl w:val="77833A83"/>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BCA"/>
    <w:rsid w:val="00142667"/>
    <w:rsid w:val="001C7E29"/>
    <w:rsid w:val="00232C87"/>
    <w:rsid w:val="002D4B6E"/>
    <w:rsid w:val="007D2BCA"/>
    <w:rsid w:val="00924DE4"/>
    <w:rsid w:val="00981B04"/>
    <w:rsid w:val="00B36CF8"/>
    <w:rsid w:val="00B86EAF"/>
    <w:rsid w:val="00CA67B9"/>
    <w:rsid w:val="00DF125F"/>
    <w:rsid w:val="00EA4766"/>
    <w:rsid w:val="CFFFC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qFormat/>
    <w:uiPriority w:val="1"/>
  </w:style>
  <w:style w:type="table" w:default="1" w:styleId="9">
    <w:name w:val="Normal Table"/>
    <w:unhideWhenUsed/>
    <w:qFormat/>
    <w:uiPriority w:val="99"/>
    <w:tblPr>
      <w:tblLayout w:type="fixed"/>
      <w:tblCellMar>
        <w:top w:w="0" w:type="dxa"/>
        <w:left w:w="108" w:type="dxa"/>
        <w:bottom w:w="0" w:type="dxa"/>
        <w:right w:w="108" w:type="dxa"/>
      </w:tblCellMar>
    </w:tblPr>
  </w:style>
  <w:style w:type="paragraph" w:styleId="4">
    <w:name w:val="footer"/>
    <w:basedOn w:val="1"/>
    <w:link w:val="11"/>
    <w:unhideWhenUsed/>
    <w:qFormat/>
    <w:uiPriority w:val="99"/>
    <w:pPr>
      <w:tabs>
        <w:tab w:val="center" w:pos="4153"/>
        <w:tab w:val="right" w:pos="8306"/>
      </w:tabs>
      <w:snapToGrid w:val="0"/>
      <w:jc w:val="left"/>
    </w:pPr>
    <w:rPr>
      <w:sz w:val="18"/>
      <w:szCs w:val="18"/>
    </w:rPr>
  </w:style>
  <w:style w:type="paragraph" w:styleId="5">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Subtitle"/>
    <w:basedOn w:val="1"/>
    <w:next w:val="1"/>
    <w:link w:val="16"/>
    <w:qFormat/>
    <w:uiPriority w:val="11"/>
    <w:pPr>
      <w:spacing w:before="240" w:after="60" w:line="312" w:lineRule="auto"/>
      <w:jc w:val="center"/>
      <w:outlineLvl w:val="1"/>
    </w:pPr>
    <w:rPr>
      <w:rFonts w:eastAsia="宋体" w:asciiTheme="majorHAnsi" w:hAnsiTheme="majorHAnsi" w:cstheme="majorBidi"/>
      <w:b/>
      <w:bCs/>
      <w:kern w:val="28"/>
      <w:sz w:val="32"/>
      <w:szCs w:val="32"/>
    </w:rPr>
  </w:style>
  <w:style w:type="paragraph" w:styleId="7">
    <w:name w:val="Title"/>
    <w:basedOn w:val="1"/>
    <w:next w:val="1"/>
    <w:link w:val="12"/>
    <w:qFormat/>
    <w:uiPriority w:val="10"/>
    <w:pPr>
      <w:spacing w:before="240" w:after="60"/>
      <w:jc w:val="center"/>
      <w:outlineLvl w:val="0"/>
    </w:pPr>
    <w:rPr>
      <w:rFonts w:asciiTheme="majorHAnsi" w:hAnsiTheme="majorHAnsi" w:eastAsiaTheme="majorEastAsia" w:cstheme="majorBidi"/>
      <w:b/>
      <w:bCs/>
      <w:sz w:val="32"/>
      <w:szCs w:val="32"/>
    </w:rPr>
  </w:style>
  <w:style w:type="character" w:customStyle="1" w:styleId="10">
    <w:name w:val="页眉 字符"/>
    <w:basedOn w:val="8"/>
    <w:link w:val="5"/>
    <w:qFormat/>
    <w:uiPriority w:val="99"/>
    <w:rPr>
      <w:sz w:val="18"/>
      <w:szCs w:val="18"/>
    </w:rPr>
  </w:style>
  <w:style w:type="character" w:customStyle="1" w:styleId="11">
    <w:name w:val="页脚 字符"/>
    <w:basedOn w:val="8"/>
    <w:link w:val="4"/>
    <w:qFormat/>
    <w:uiPriority w:val="99"/>
    <w:rPr>
      <w:sz w:val="18"/>
      <w:szCs w:val="18"/>
    </w:rPr>
  </w:style>
  <w:style w:type="character" w:customStyle="1" w:styleId="12">
    <w:name w:val="标题 字符"/>
    <w:basedOn w:val="8"/>
    <w:link w:val="7"/>
    <w:qFormat/>
    <w:uiPriority w:val="10"/>
    <w:rPr>
      <w:rFonts w:asciiTheme="majorHAnsi" w:hAnsiTheme="majorHAnsi" w:eastAsiaTheme="majorEastAsia" w:cstheme="majorBidi"/>
      <w:b/>
      <w:bCs/>
      <w:sz w:val="32"/>
      <w:szCs w:val="32"/>
    </w:rPr>
  </w:style>
  <w:style w:type="paragraph" w:customStyle="1" w:styleId="13">
    <w:name w:val="List Paragraph"/>
    <w:basedOn w:val="1"/>
    <w:qFormat/>
    <w:uiPriority w:val="34"/>
    <w:pPr>
      <w:ind w:firstLine="420" w:firstLineChars="200"/>
    </w:pPr>
  </w:style>
  <w:style w:type="character" w:customStyle="1" w:styleId="14">
    <w:name w:val="标题 2 字符"/>
    <w:basedOn w:val="8"/>
    <w:link w:val="3"/>
    <w:qFormat/>
    <w:uiPriority w:val="9"/>
    <w:rPr>
      <w:rFonts w:asciiTheme="majorHAnsi" w:hAnsiTheme="majorHAnsi" w:eastAsiaTheme="majorEastAsia" w:cstheme="majorBidi"/>
      <w:b/>
      <w:bCs/>
      <w:sz w:val="32"/>
      <w:szCs w:val="32"/>
    </w:rPr>
  </w:style>
  <w:style w:type="character" w:customStyle="1" w:styleId="15">
    <w:name w:val="标题 1 字符"/>
    <w:basedOn w:val="8"/>
    <w:link w:val="2"/>
    <w:qFormat/>
    <w:uiPriority w:val="9"/>
    <w:rPr>
      <w:b/>
      <w:bCs/>
      <w:kern w:val="44"/>
      <w:sz w:val="44"/>
      <w:szCs w:val="44"/>
    </w:rPr>
  </w:style>
  <w:style w:type="character" w:customStyle="1" w:styleId="16">
    <w:name w:val="副标题 字符"/>
    <w:basedOn w:val="8"/>
    <w:link w:val="6"/>
    <w:qFormat/>
    <w:uiPriority w:val="11"/>
    <w:rPr>
      <w:rFonts w:eastAsia="宋体" w:asciiTheme="majorHAnsi" w:hAnsiTheme="majorHAnsi" w:cstheme="majorBidi"/>
      <w:b/>
      <w:bCs/>
      <w:kern w:val="28"/>
      <w:sz w:val="32"/>
      <w:szCs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248</Words>
  <Characters>1414</Characters>
  <Lines>11</Lines>
  <Paragraphs>3</Paragraphs>
  <TotalTime>0</TotalTime>
  <ScaleCrop>false</ScaleCrop>
  <LinksUpToDate>false</LinksUpToDate>
  <CharactersWithSpaces>1659</CharactersWithSpaces>
  <Application>WPS Office_1.6.1.2429_F1E327BC-269C-435d-A152-05C5408002CA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2020-03-06T14:50:00Z</dcterms:created>
  <dc:creator>卓 张</dc:creator>
  <cp:lastModifiedBy>lijiantao</cp:lastModifiedBy>
  <dcterms:modified xsi:type="dcterms:W3CDTF">2020-03-08T11:15:00Z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2052-1.6.1.2429</vt:lpwstr>
  </property>
</Properties>
</file>