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First-Layer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Fixed-initial-condition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focuses on the manuscript's time-dependent control strategy u_theta(t): [0,T] -&gt; [0,u_max] for the fixed initial condition. The state-dependent feedback extension u(t,N) is not included here.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below uses the total population across all 21 subpopulations.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239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39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 using the total population across the 21 subpopulations.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First-Layer Benchmark and Related Work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For this first-layer experiment, all numerical comparisons keep the same fixed initial condition and compare time-dependent controls u(t). Several related-work papers in the manuscript target value-function or feedback formulations; those are important method references, but they are not the same numerical task as this u(t) reproduction.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232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5"/>
              </w:rPr>
              <w:t>reference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5"/>
              </w:rPr>
              <w:t>learned object / formulation</w:t>
            </w:r>
          </w:p>
        </w:tc>
        <w:tc>
          <w:tcPr>
            <w:tcW w:type="dxa" w:w="37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5"/>
              </w:rPr>
              <w:t>relation to this report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HJB / BSDE methods [1,2,7]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value function V(t,N) or HJB PDE solution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state-domain feedback/value formulation; not a direct u(t) baseline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Neural-PMP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control sequence via forward rollout, backward costate recursion, and Hamiltonian-gradient updates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closest related-work baseline for the present u(t) experiment; implemented numerically below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DeepONet / PINN policy iteration [5,6]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policy evaluation and improvement for HJB-type equations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methodological reference for feedback/value learning; separate from this fixed-trajectory u(t) layer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classical chemotherapy OC [4]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PMP and singular-control structure</w:t>
            </w:r>
          </w:p>
        </w:tc>
        <w:tc>
          <w:tcPr>
            <w:tcW w:type="dxa" w:w="374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5"/>
              </w:rPr>
              <w:t>source of the singular-control condition used in the manuscript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Among these, [3] is the closest apples-to-apples numerical comparison. Here [3] refers to Gu, Xiong, and Chen, Pontryagin Optimal Control via Neural Networks (arXiv:2212.14566). Their Neural-PMP method first learns a differentiable dynamics model and then updates a control sequence using PMP gradients. Since the dynamics are already known in the manuscript setting, we compare against the oracle-dynamics controller stage: forward state integration, backward costate recursion, and Hamiltonian-gradient updates of a discrete control sequence.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872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method</w:t>
            </w:r>
          </w:p>
        </w:tc>
        <w:tc>
          <w:tcPr>
            <w:tcW w:type="dxa" w:w="28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training / update criterion</w:t>
            </w:r>
          </w:p>
        </w:tc>
        <w:tc>
          <w:tcPr>
            <w:tcW w:type="dxa" w:w="1152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objective J</w:t>
            </w:r>
          </w:p>
        </w:tc>
        <w:tc>
          <w:tcPr>
            <w:tcW w:type="dxa" w:w="1152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J - direct</w:t>
            </w:r>
          </w:p>
        </w:tc>
        <w:tc>
          <w:tcPr>
            <w:tcW w:type="dxa" w:w="1152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PMP/KKT gap</w:t>
            </w:r>
          </w:p>
        </w:tc>
        <w:tc>
          <w:tcPr>
            <w:tcW w:type="dxa" w:w="144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4"/>
              </w:rPr>
              <w:t>note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direct grid reference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direct minimization of discretized J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386.438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0.000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1.016</w:t>
            </w:r>
          </w:p>
        </w:tc>
        <w:tc>
          <w:tcPr>
            <w:tcW w:type="dxa" w:w="1440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cost reference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Transformer u(t), 6 runs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paper PMP/KKT optimality-gap loss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386.738 +/- 0.045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0.300 +/- 0.045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0.463 +/- 0.148</w:t>
            </w:r>
          </w:p>
        </w:tc>
        <w:tc>
          <w:tcPr>
            <w:tcW w:type="dxa" w:w="1440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main reproduction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best Transformer run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same as above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386.695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0.257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0.207</w:t>
            </w:r>
          </w:p>
        </w:tc>
        <w:tc>
          <w:tcPr>
            <w:tcW w:type="dxa" w:w="1440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best reported run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Neural-PMP [3]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Hamiltonian-gradient update with known dynamics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386.986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0.548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8.574</w:t>
            </w:r>
          </w:p>
        </w:tc>
        <w:tc>
          <w:tcPr>
            <w:tcW w:type="dxa" w:w="1440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related-work baseline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constant u=1.5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fixed control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400.403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13.965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76.556</w:t>
            </w:r>
          </w:p>
        </w:tc>
        <w:tc>
          <w:tcPr>
            <w:tcW w:type="dxa" w:w="1440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scale check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repository demo output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provided s.csv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422.670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36.232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433.349</w:t>
            </w:r>
          </w:p>
        </w:tc>
        <w:tc>
          <w:tcPr>
            <w:tcW w:type="dxa" w:w="1440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4"/>
              </w:rPr>
              <w:t>original demo artifact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Objective J is computed after fixing u(t), reintegrating N(t) with the same fine-step fourth-order Runge-Kutta evaluator, and applying the manuscript objective definition. The direct row is a numerical cost reference, not a neural model.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Transformer runs are stable across random seeds and remain close to the direct cost reference. Compared with the Neural-PMP controller-stage baseline [3], the Transformer has both lower objective J and a smaller PMP/KKT diagnostic gap in this fixed-initial-condition u(t) experiment.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637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ormer_seed_loss_trajectori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63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Multi-seed convergence of the Transformer u(t) PMP/KKT training loss.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915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layer_objective_gap_close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1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Objective gap relative to the direct cost reference for the main u(t) comparison.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8. Neural-PMP controller-stage baseline [3]: selected-run training trajectories.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first-layer u(t) reproduction is complete. The Transformer control trained with the manuscript's PMP/KKT optimality-gap loss is smooth, satisfies the control bounds, and reduces the training optimality gap from about 76 to 0.026 in the best run. Across six Transformer runs, the common-evaluator objective is 386.738 +/- 0.045, close to the direct cost reference 386.438 and better than the Neural-PMP [3] controller-stage baseline in this setting. The state-dependent extension u(t,N) is left for separate work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