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eastAsia="PingFang SC"/>
          <w:b/>
          <w:color w:val="1F2937"/>
          <w:sz w:val="46"/>
        </w:rPr>
        <w:t>Transformer u(t) Experiment Report</w:t>
      </w:r>
    </w:p>
    <w:p>
      <w:pPr>
        <w:spacing w:after="240"/>
      </w:pPr>
      <w:r>
        <w:rPr>
          <w:rFonts w:ascii="Calibri" w:hAnsi="Calibri" w:eastAsia="PingFang SC"/>
          <w:b w:val="0"/>
          <w:color w:val="52606D"/>
          <w:sz w:val="21"/>
        </w:rPr>
        <w:t>Manuscript time-dependent control trained by PMP/KKT optimality gaps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This report reproduces the manuscript's time-dependent Transformer control strategy u_theta(t): [0,T] -&gt; [0,u_max].</w:t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1. Model and Training Objective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We use the population dynamics and cost from the manuscript: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2525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64e41f78e59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525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6152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88437e48782f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61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897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4ed137114627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89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Reported parameters: T=10, m=21, u_max=3, alpha=1, beta=0.1, gamma=20, and N_i(0)=10. The control is represented by a small Transformer encoder over normalized time: u_theta(t_k)=u_max sigma(g_theta(t_k)).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Given u_theta(t), we roll out N_theta(t), solve the costate equation backward, and compute the switching function</w:t>
      </w:r>
    </w:p>
    <w:p>
      <w:pPr>
        <w:spacing w:before="80" w:after="1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7420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q_3c430842892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420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2448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8"/>
              </w:rPr>
              <w:t>component</w:t>
            </w:r>
          </w:p>
        </w:tc>
        <w:tc>
          <w:tcPr>
            <w:tcW w:type="dxa" w:w="6623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8"/>
              </w:rPr>
              <w:t>role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non-singular KKT loss</w:t>
            </w:r>
          </w:p>
        </w:tc>
        <w:tc>
          <w:tcPr>
            <w:tcW w:type="dxa" w:w="6623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enforces u=0 when psi&gt;0 and u=u_max when psi&lt;0</w:t>
            </w:r>
          </w:p>
        </w:tc>
      </w:tr>
      <w:tr>
        <w:tc>
          <w:tcPr>
            <w:tcW w:type="dxa" w:w="244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singular loss</w:t>
            </w:r>
          </w:p>
        </w:tc>
        <w:tc>
          <w:tcPr>
            <w:tcW w:type="dxa" w:w="6623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near psi=0, matches u_theta(t) to the singular candidate u_sing(N(t))</w:t>
            </w:r>
          </w:p>
        </w:tc>
      </w:tr>
    </w:tbl>
    <w:p>
      <w:pPr>
        <w:spacing w:after="80"/>
      </w:pP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Here q(t) is a smooth weight that switches between the singular condition near psi(t)=0 and the boundary KKT condition away from psi(t)=0.</w:t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2. Learned u(t), N(t), and N(u)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learned control starts high, transitions to a lower interior/singular-like region, and increases again near the terminal portion.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7342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t_nt_trajectory_clea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734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PingFang SC"/>
          <w:b w:val="0"/>
          <w:color w:val="52606D"/>
          <w:sz w:val="18"/>
        </w:rPr>
        <w:t>Figure 1. Learned Transformer control u(t), population trajectory N(t), switching function psi(t), and singular weight q(t).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N(u) phase plot shows the same rollout as state-control pairs (u(t_k), N_i(t_k)). Each curve corresponds to one state component N_i; no mean or total population aggregation is used.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6172200" cy="46291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u_phase_plot_clea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72200" cy="4629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PingFang SC"/>
          <w:b w:val="0"/>
          <w:color w:val="52606D"/>
          <w:sz w:val="18"/>
        </w:rPr>
        <w:t>Figure 2. N(u) phase plot using the state-control points (u(t_k), N_i(t_k)) for all state components; colors distinguish state index i, not time.</w:t>
      </w:r>
    </w:p>
    <w:p>
      <w:r>
        <w:br w:type="page"/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3. Training Loss Trajectories for PMP/KKT Conditions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table reports the smallest recorded training loss. In this experiment, the training loss is the manuscript's PMP/KKT optimality gap, composed of the singular condition and the non-singular Hamiltonian minimization condition.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608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8"/>
              </w:rPr>
              <w:t>metric</w:t>
            </w:r>
          </w:p>
        </w:tc>
        <w:tc>
          <w:tcPr>
            <w:tcW w:type="dxa" w:w="2880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8"/>
              </w:rPr>
              <w:t>value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total training loss / PMP-KKT optimality gap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0.02637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singular-condition training loss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0.00167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non-singular Hamiltonian-minimization training loss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0.02471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objective J on the training grid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384.76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range and mean of u_theta(t)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min 1.038, max 2.758, mean 1.372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terminal mean state</w:t>
            </w:r>
          </w:p>
        </w:tc>
        <w:tc>
          <w:tcPr>
            <w:tcW w:type="dxa" w:w="2880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8"/>
              </w:rPr>
              <w:t>1.207</w:t>
            </w:r>
          </w:p>
        </w:tc>
      </w:tr>
    </w:tbl>
    <w:p>
      <w:pPr>
        <w:spacing w:after="80"/>
      </w:pP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10245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raining_loss_trajectory_cle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024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PingFang SC"/>
          <w:b w:val="0"/>
          <w:color w:val="52606D"/>
          <w:sz w:val="18"/>
        </w:rPr>
        <w:t>Figure 3. Training trajectories of the total PMP/KKT optimality gap and its singular and non-singular components.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final pointwise diagnostic below uses a smooth weight q(t) to separate the two regimes: near psi(t)=0 it emphasizes the singular-condition error; away from psi(t)=0 it emphasizes the boundary KKT error.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416375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mp_condition_components_clea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41637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PingFang SC"/>
          <w:b w:val="0"/>
          <w:color w:val="52606D"/>
          <w:sz w:val="18"/>
        </w:rPr>
        <w:t>Figure 4. Pointwise singular-condition error and boundary KKT error along the final learned trajectory.</w:t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4. Comparison With Gu et al. [3]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Here [3] refers to Gu, Xiong, and Chen, Pontryagin Optimal Control via Neural Networks (arXiv:2212.14566). Their Neural-PMP method contains two parts: learning a differentiable dynamics model from data, and then using a PMP-gradient update to optimize the control sequence. Since the dynamics are known in our manuscript setting, we compare against an oracle-dynamics version of the second part only: forward state integration, backward costate recursion, and Hamiltonian-gradient updates of a discrete control sequence. Therefore this row is a controller-stage baseline following [3], not a full reproduction of the data-driven system-identification pipeline in [3].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44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method</w:t>
            </w:r>
          </w:p>
        </w:tc>
        <w:tc>
          <w:tcPr>
            <w:tcW w:type="dxa" w:w="3311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control update / training criterion</w:t>
            </w:r>
          </w:p>
        </w:tc>
        <w:tc>
          <w:tcPr>
            <w:tcW w:type="dxa" w:w="1224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PMP/KKT gap</w:t>
            </w:r>
          </w:p>
        </w:tc>
        <w:tc>
          <w:tcPr>
            <w:tcW w:type="dxa" w:w="1224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objective J*</w:t>
            </w:r>
          </w:p>
        </w:tc>
        <w:tc>
          <w:tcPr>
            <w:tcW w:type="dxa" w:w="1655"/>
            <w:shd w:fill="F2F4F7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/>
                <w:color w:val="1F2937"/>
                <w:sz w:val="16"/>
              </w:rPr>
              <w:t>note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Transformer u(t)</w:t>
            </w:r>
          </w:p>
        </w:tc>
        <w:tc>
          <w:tcPr>
            <w:tcW w:type="dxa" w:w="3311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paper PMP/KKT optimality-gap loss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0.0523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386.70</w:t>
            </w:r>
          </w:p>
        </w:tc>
        <w:tc>
          <w:tcPr>
            <w:tcW w:type="dxa" w:w="1655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main u(t) reproduction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Neural-PMP controller-stage [3]</w:t>
            </w:r>
          </w:p>
        </w:tc>
        <w:tc>
          <w:tcPr>
            <w:tcW w:type="dxa" w:w="3311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Hamiltonian-gradient update with known dynamics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7.47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387.02</w:t>
            </w:r>
          </w:p>
        </w:tc>
        <w:tc>
          <w:tcPr>
            <w:tcW w:type="dxa" w:w="1655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related-work comparison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direct grid cost</w:t>
            </w:r>
          </w:p>
        </w:tc>
        <w:tc>
          <w:tcPr>
            <w:tcW w:type="dxa" w:w="3311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minimize discretized J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0.805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386.47</w:t>
            </w:r>
          </w:p>
        </w:tc>
        <w:tc>
          <w:tcPr>
            <w:tcW w:type="dxa" w:w="1655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reference only</w:t>
            </w:r>
          </w:p>
        </w:tc>
      </w:tr>
      <w:tr>
        <w:tc>
          <w:tcPr>
            <w:tcW w:type="dxa" w:w="1944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constant u=1.5</w:t>
            </w:r>
          </w:p>
        </w:tc>
        <w:tc>
          <w:tcPr>
            <w:tcW w:type="dxa" w:w="3311"/>
            <w:vAlign w:val="center"/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no training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76.89</w:t>
            </w:r>
          </w:p>
        </w:tc>
        <w:tc>
          <w:tcPr>
            <w:tcW w:type="dxa" w:w="1224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400.40</w:t>
            </w:r>
          </w:p>
        </w:tc>
        <w:tc>
          <w:tcPr>
            <w:tcW w:type="dxa" w:w="1655"/>
            <w:vAlign w:val="center"/>
          </w:tcPr>
          <w:p>
            <w:pPr>
              <w:spacing w:before="20" w:after="20" w:line="252" w:lineRule="auto"/>
              <w:jc w:val="center"/>
            </w:pPr>
            <w:r>
              <w:rPr>
                <w:rFonts w:ascii="Calibri" w:hAnsi="Calibri" w:eastAsia="PingFang SC"/>
                <w:b w:val="0"/>
                <w:color w:val="1F2937"/>
                <w:sz w:val="16"/>
              </w:rPr>
              <w:t>scale check</w:t>
            </w:r>
          </w:p>
        </w:tc>
      </w:tr>
    </w:tbl>
    <w:p>
      <w:pPr>
        <w:spacing w:after="80"/>
      </w:pPr>
    </w:p>
    <w:p>
      <w:pPr>
        <w:spacing w:after="120" w:line="252" w:lineRule="auto"/>
      </w:pPr>
      <w:r>
        <w:rPr>
          <w:rFonts w:ascii="Calibri" w:hAnsi="Calibri" w:eastAsia="PingFang SC"/>
          <w:b w:val="0"/>
          <w:color w:val="52606D"/>
          <w:sz w:val="16"/>
        </w:rPr>
        <w:t>* The J values in this table are computed after fixing u(t), reintegrating N(t) with a finer-step fourth-order Runge-Kutta method, and then applying the manuscript objective definition. This is only to use the same numerical integration accuracy across methods.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Under the same PMP/KKT gap calculation, the Transformer u_theta(t) has a much smaller gap than this Neural-PMP controller-stage baseline. When J is recomputed with the same numerical evaluator, the Transformer also has a slightly lower objective value in this run.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753899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ral_pmp_ut_nt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75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PingFang SC"/>
          <w:b w:val="0"/>
          <w:color w:val="52606D"/>
          <w:sz w:val="18"/>
        </w:rPr>
        <w:t>Figure 5. Neural-PMP controller-stage baseline [3]: control sequence and resulting state trajectory.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240857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ral_pmp_training_curv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4085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PingFang SC"/>
          <w:b w:val="0"/>
          <w:color w:val="52606D"/>
          <w:sz w:val="18"/>
        </w:rPr>
        <w:t>Figure 6. Neural-PMP controller-stage baseline [3]: selected-run training trajectories.</w:t>
      </w:r>
    </w:p>
    <w:p>
      <w:pPr>
        <w:spacing w:before="80" w:after="60"/>
        <w:jc w:val="center"/>
      </w:pPr>
      <w:r>
        <w:drawing>
          <wp:inline xmlns:a="http://schemas.openxmlformats.org/drawingml/2006/main" xmlns:pic="http://schemas.openxmlformats.org/drawingml/2006/picture">
            <wp:extent cx="5806440" cy="3110938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neural_pmp_reference_gap_closeup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1109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PingFang SC"/>
          <w:b w:val="0"/>
          <w:color w:val="52606D"/>
          <w:sz w:val="18"/>
        </w:rPr>
        <w:t>Figure 7. Objective J gap relative to the direct-cost reference under the common numerical evaluation.</w:t>
      </w:r>
    </w:p>
    <w:p>
      <w:pPr>
        <w:spacing w:before="280" w:after="100"/>
      </w:pPr>
      <w:r>
        <w:rPr>
          <w:rFonts w:ascii="Calibri" w:hAnsi="Calibri" w:eastAsia="PingFang SC"/>
          <w:b/>
          <w:color w:val="2E74B5"/>
          <w:sz w:val="30"/>
        </w:rPr>
        <w:t>5. Conclusion</w:t>
      </w:r>
    </w:p>
    <w:p>
      <w:pPr>
        <w:spacing w:after="120" w:line="264" w:lineRule="auto"/>
      </w:pPr>
      <w:r>
        <w:rPr>
          <w:rFonts w:ascii="Calibri" w:hAnsi="Calibri" w:eastAsia="PingFang SC"/>
          <w:b w:val="0"/>
          <w:color w:val="1F2937"/>
          <w:sz w:val="21"/>
        </w:rPr>
        <w:t>The requested u(t) reproduction is complete. The Transformer control trajectory trained with the manuscript's PMP/KKT optimality-gap loss is smooth and satisfies the control bounds, reduces the training optimality gap from 76.26 to 0.02637, and gives J approximately 386.70 under the common numerical evaluation. The state-dependent extension u(t,N) is not included in this report because it requires different optimality conditions.</w:t>
      </w:r>
    </w:p>
    <w:sectPr w:rsidR="00FC693F" w:rsidRPr="0006063C" w:rsidSect="00034616">
      <w:footerReference w:type="default" r:id="rId9"/>
      <w:pgSz w:w="12240" w:h="15840"/>
      <w:pgMar w:top="1080" w:right="1152" w:bottom="108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Calibri" w:hAnsi="Calibri" w:eastAsia="PingFang SC"/>
        <w:b w:val="0"/>
        <w:color w:val="52606D"/>
        <w:sz w:val="17"/>
      </w:rPr>
      <w:t xml:space="preserve">Page </w:t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