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PingFang SC"/>
          <w:b/>
          <w:color w:val="1F2937"/>
          <w:sz w:val="46"/>
        </w:rPr>
        <w:t>Transformer u(t) Reproduction Report</w:t>
      </w:r>
    </w:p>
    <w:p>
      <w:pPr>
        <w:spacing w:after="240"/>
      </w:pPr>
      <w:r>
        <w:rPr>
          <w:rFonts w:ascii="Calibri" w:hAnsi="Calibri" w:eastAsia="PingFang SC"/>
          <w:b w:val="0"/>
          <w:color w:val="52606D"/>
          <w:sz w:val="21"/>
        </w:rPr>
        <w:t>Fixed-initial-condition time-dependent control under PMP/KKT optimality conditions</w:t>
      </w:r>
    </w:p>
    <w:p>
      <w:pPr>
        <w:spacing w:after="120" w:line="264" w:lineRule="auto"/>
      </w:pPr>
      <w:r>
        <w:rPr>
          <w:rFonts w:ascii="Calibri" w:hAnsi="Calibri" w:eastAsia="PingFang SC"/>
          <w:b w:val="0"/>
          <w:color w:val="1F2937"/>
          <w:sz w:val="21"/>
        </w:rPr>
        <w:t>This report focuses on the manuscript's time-dependent control strategy u_theta(t): [0,T] -&gt; [0,u_max] for the fixed initial condition. The state-dependent feedback extension u(t,N) is not included here.</w:t>
      </w:r>
    </w:p>
    <w:p>
      <w:pPr>
        <w:spacing w:before="280" w:after="100"/>
      </w:pPr>
      <w:r>
        <w:rPr>
          <w:rFonts w:ascii="Calibri" w:hAnsi="Calibri" w:eastAsia="PingFang SC"/>
          <w:b/>
          <w:color w:val="2E74B5"/>
          <w:sz w:val="30"/>
        </w:rPr>
        <w:t>1. Model and Training Objective</w:t>
      </w:r>
    </w:p>
    <w:p>
      <w:pPr>
        <w:spacing w:after="120" w:line="264" w:lineRule="auto"/>
      </w:pPr>
      <w:r>
        <w:rPr>
          <w:rFonts w:ascii="Calibri" w:hAnsi="Calibri" w:eastAsia="PingFang SC"/>
          <w:b w:val="0"/>
          <w:color w:val="1F2937"/>
          <w:sz w:val="21"/>
        </w:rPr>
        <w:t>We use the population dynamics and cost from the manuscript:</w:t>
      </w:r>
    </w:p>
    <w:p>
      <w:pPr>
        <w:spacing w:before="80" w:after="160"/>
        <w:jc w:val="center"/>
      </w:pPr>
      <w:r>
        <w:drawing>
          <wp:inline xmlns:a="http://schemas.openxmlformats.org/drawingml/2006/main" xmlns:pic="http://schemas.openxmlformats.org/drawingml/2006/picture">
            <wp:extent cx="5806440" cy="252589"/>
            <wp:docPr id="1" name="Picture 1"/>
            <wp:cNvGraphicFramePr>
              <a:graphicFrameLocks noChangeAspect="1"/>
            </wp:cNvGraphicFramePr>
            <a:graphic>
              <a:graphicData uri="http://schemas.openxmlformats.org/drawingml/2006/picture">
                <pic:pic>
                  <pic:nvPicPr>
                    <pic:cNvPr id="0" name="eq_64e41f78e59a.png"/>
                    <pic:cNvPicPr/>
                  </pic:nvPicPr>
                  <pic:blipFill>
                    <a:blip r:embed="rId10"/>
                    <a:stretch>
                      <a:fillRect/>
                    </a:stretch>
                  </pic:blipFill>
                  <pic:spPr>
                    <a:xfrm>
                      <a:off x="0" y="0"/>
                      <a:ext cx="5806440" cy="252589"/>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461522"/>
            <wp:docPr id="2" name="Picture 2"/>
            <wp:cNvGraphicFramePr>
              <a:graphicFrameLocks noChangeAspect="1"/>
            </wp:cNvGraphicFramePr>
            <a:graphic>
              <a:graphicData uri="http://schemas.openxmlformats.org/drawingml/2006/picture">
                <pic:pic>
                  <pic:nvPicPr>
                    <pic:cNvPr id="0" name="eq_88437e48782f.png"/>
                    <pic:cNvPicPr/>
                  </pic:nvPicPr>
                  <pic:blipFill>
                    <a:blip r:embed="rId11"/>
                    <a:stretch>
                      <a:fillRect/>
                    </a:stretch>
                  </pic:blipFill>
                  <pic:spPr>
                    <a:xfrm>
                      <a:off x="0" y="0"/>
                      <a:ext cx="5806440" cy="461522"/>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389799"/>
            <wp:docPr id="3" name="Picture 3"/>
            <wp:cNvGraphicFramePr>
              <a:graphicFrameLocks noChangeAspect="1"/>
            </wp:cNvGraphicFramePr>
            <a:graphic>
              <a:graphicData uri="http://schemas.openxmlformats.org/drawingml/2006/picture">
                <pic:pic>
                  <pic:nvPicPr>
                    <pic:cNvPr id="0" name="eq_4ed137114627.png"/>
                    <pic:cNvPicPr/>
                  </pic:nvPicPr>
                  <pic:blipFill>
                    <a:blip r:embed="rId12"/>
                    <a:stretch>
                      <a:fillRect/>
                    </a:stretch>
                  </pic:blipFill>
                  <pic:spPr>
                    <a:xfrm>
                      <a:off x="0" y="0"/>
                      <a:ext cx="5806440" cy="389799"/>
                    </a:xfrm>
                    <a:prstGeom prst="rect"/>
                  </pic:spPr>
                </pic:pic>
              </a:graphicData>
            </a:graphic>
          </wp:inline>
        </w:drawing>
      </w:r>
    </w:p>
    <w:p>
      <w:pPr>
        <w:spacing w:after="120" w:line="264" w:lineRule="auto"/>
      </w:pPr>
      <w:r>
        <w:rPr>
          <w:rFonts w:ascii="Calibri" w:hAnsi="Calibri" w:eastAsia="PingFang SC"/>
          <w:b w:val="0"/>
          <w:color w:val="1F2937"/>
          <w:sz w:val="21"/>
        </w:rPr>
        <w:t>Reported parameters: T=10, m=21, u_max=3, alpha=1, beta=0.1, gamma=20, and N_i(0)=10. The control is represented by a small Transformer encoder over normalized time.</w:t>
      </w:r>
    </w:p>
    <w:p>
      <w:pPr>
        <w:spacing w:after="120" w:line="264" w:lineRule="auto"/>
      </w:pPr>
      <w:r>
        <w:rPr>
          <w:rFonts w:ascii="Calibri" w:hAnsi="Calibri" w:eastAsia="PingFang SC"/>
          <w:b w:val="0"/>
          <w:color w:val="1F2937"/>
          <w:sz w:val="21"/>
        </w:rPr>
        <w:t>Given u_theta(t), we roll out N_theta(t), solve the costate equation backward, and compute the switching function</w:t>
      </w:r>
    </w:p>
    <w:p>
      <w:pPr>
        <w:spacing w:before="80" w:after="160"/>
        <w:jc w:val="center"/>
      </w:pPr>
      <w:r>
        <w:drawing>
          <wp:inline xmlns:a="http://schemas.openxmlformats.org/drawingml/2006/main" xmlns:pic="http://schemas.openxmlformats.org/drawingml/2006/picture">
            <wp:extent cx="5806440" cy="374207"/>
            <wp:docPr id="4" name="Picture 4"/>
            <wp:cNvGraphicFramePr>
              <a:graphicFrameLocks noChangeAspect="1"/>
            </wp:cNvGraphicFramePr>
            <a:graphic>
              <a:graphicData uri="http://schemas.openxmlformats.org/drawingml/2006/picture">
                <pic:pic>
                  <pic:nvPicPr>
                    <pic:cNvPr id="0" name="eq_3c4308428921.png"/>
                    <pic:cNvPicPr/>
                  </pic:nvPicPr>
                  <pic:blipFill>
                    <a:blip r:embed="rId13"/>
                    <a:stretch>
                      <a:fillRect/>
                    </a:stretch>
                  </pic:blipFill>
                  <pic:spPr>
                    <a:xfrm>
                      <a:off x="0" y="0"/>
                      <a:ext cx="5806440" cy="374207"/>
                    </a:xfrm>
                    <a:prstGeom prst="rect"/>
                  </pic:spPr>
                </pic:pic>
              </a:graphicData>
            </a:graphic>
          </wp:inline>
        </w:drawing>
      </w:r>
    </w:p>
    <w:tbl>
      <w:tblPr>
        <w:tblStyle w:val="TableGrid"/>
        <w:tblW w:type="auto" w:w="0"/>
        <w:jc w:val="center"/>
        <w:tblLook w:firstColumn="1" w:firstRow="1" w:lastColumn="0" w:lastRow="0" w:noHBand="0" w:noVBand="1" w:val="04A0"/>
      </w:tblPr>
      <w:tblGrid>
        <w:gridCol w:w="4968"/>
        <w:gridCol w:w="4968"/>
      </w:tblGrid>
      <w:tr>
        <w:tc>
          <w:tcPr>
            <w:tcW w:type="dxa" w:w="2448"/>
            <w:shd w:fill="F2F4F7"/>
            <w:vAlign w:val="center"/>
          </w:tcPr>
          <w:p>
            <w:pPr>
              <w:spacing w:before="20" w:after="20" w:line="252" w:lineRule="auto"/>
              <w:jc w:val="center"/>
            </w:pPr>
            <w:r>
              <w:rPr>
                <w:rFonts w:ascii="Calibri" w:hAnsi="Calibri" w:eastAsia="PingFang SC"/>
                <w:b/>
                <w:color w:val="1F2937"/>
                <w:sz w:val="18"/>
              </w:rPr>
              <w:t>component</w:t>
            </w:r>
          </w:p>
        </w:tc>
        <w:tc>
          <w:tcPr>
            <w:tcW w:type="dxa" w:w="6623"/>
            <w:shd w:fill="F2F4F7"/>
            <w:vAlign w:val="center"/>
          </w:tcPr>
          <w:p>
            <w:pPr>
              <w:spacing w:before="20" w:after="20" w:line="252" w:lineRule="auto"/>
              <w:jc w:val="center"/>
            </w:pPr>
            <w:r>
              <w:rPr>
                <w:rFonts w:ascii="Calibri" w:hAnsi="Calibri" w:eastAsia="PingFang SC"/>
                <w:b/>
                <w:color w:val="1F2937"/>
                <w:sz w:val="18"/>
              </w:rPr>
              <w:t>role</w:t>
            </w:r>
          </w:p>
        </w:tc>
      </w:tr>
      <w:tr>
        <w:tc>
          <w:tcPr>
            <w:tcW w:type="dxa" w:w="2448"/>
            <w:vAlign w:val="center"/>
          </w:tcPr>
          <w:p>
            <w:pPr>
              <w:spacing w:before="20" w:after="20" w:line="252" w:lineRule="auto"/>
              <w:jc w:val="left"/>
            </w:pPr>
            <w:r>
              <w:rPr>
                <w:rFonts w:ascii="Calibri" w:hAnsi="Calibri" w:eastAsia="PingFang SC"/>
                <w:b w:val="0"/>
                <w:color w:val="1F2937"/>
                <w:sz w:val="18"/>
              </w:rPr>
              <w:t>non-singular KKT loss</w:t>
            </w:r>
          </w:p>
        </w:tc>
        <w:tc>
          <w:tcPr>
            <w:tcW w:type="dxa" w:w="6623"/>
            <w:vAlign w:val="center"/>
          </w:tcPr>
          <w:p>
            <w:pPr>
              <w:spacing w:before="20" w:after="20" w:line="252" w:lineRule="auto"/>
              <w:jc w:val="left"/>
            </w:pPr>
            <w:r>
              <w:rPr>
                <w:rFonts w:ascii="Calibri" w:hAnsi="Calibri" w:eastAsia="PingFang SC"/>
                <w:b w:val="0"/>
                <w:color w:val="1F2937"/>
                <w:sz w:val="18"/>
              </w:rPr>
              <w:t>enforces u=0 when psi&gt;0 and u=u_max when psi&lt;0</w:t>
            </w:r>
          </w:p>
        </w:tc>
      </w:tr>
      <w:tr>
        <w:tc>
          <w:tcPr>
            <w:tcW w:type="dxa" w:w="2448"/>
            <w:vAlign w:val="center"/>
          </w:tcPr>
          <w:p>
            <w:pPr>
              <w:spacing w:before="20" w:after="20" w:line="252" w:lineRule="auto"/>
              <w:jc w:val="left"/>
            </w:pPr>
            <w:r>
              <w:rPr>
                <w:rFonts w:ascii="Calibri" w:hAnsi="Calibri" w:eastAsia="PingFang SC"/>
                <w:b w:val="0"/>
                <w:color w:val="1F2937"/>
                <w:sz w:val="18"/>
              </w:rPr>
              <w:t>singular loss</w:t>
            </w:r>
          </w:p>
        </w:tc>
        <w:tc>
          <w:tcPr>
            <w:tcW w:type="dxa" w:w="6623"/>
            <w:vAlign w:val="center"/>
          </w:tcPr>
          <w:p>
            <w:pPr>
              <w:spacing w:before="20" w:after="20" w:line="252" w:lineRule="auto"/>
              <w:jc w:val="left"/>
            </w:pPr>
            <w:r>
              <w:rPr>
                <w:rFonts w:ascii="Calibri" w:hAnsi="Calibri" w:eastAsia="PingFang SC"/>
                <w:b w:val="0"/>
                <w:color w:val="1F2937"/>
                <w:sz w:val="18"/>
              </w:rPr>
              <w:t>near psi=0, matches u_theta(t) to the singular candidate u_sing(N(t))</w:t>
            </w:r>
          </w:p>
        </w:tc>
      </w:tr>
    </w:tbl>
    <w:p>
      <w:pPr>
        <w:spacing w:after="80"/>
      </w:pPr>
    </w:p>
    <w:p>
      <w:pPr>
        <w:spacing w:after="120" w:line="264" w:lineRule="auto"/>
      </w:pPr>
      <w:r>
        <w:rPr>
          <w:rFonts w:ascii="Calibri" w:hAnsi="Calibri" w:eastAsia="PingFang SC"/>
          <w:b w:val="0"/>
          <w:color w:val="1F2937"/>
          <w:sz w:val="21"/>
        </w:rPr>
        <w:t>Here q(t) is a smooth weight that switches between the singular condition near psi(t)=0 and the boundary KKT condition away from psi(t)=0.</w:t>
      </w:r>
    </w:p>
    <w:p>
      <w:pPr>
        <w:spacing w:before="280" w:after="100"/>
      </w:pPr>
      <w:r>
        <w:rPr>
          <w:rFonts w:ascii="Calibri" w:hAnsi="Calibri" w:eastAsia="PingFang SC"/>
          <w:b/>
          <w:color w:val="2E74B5"/>
          <w:sz w:val="30"/>
        </w:rPr>
        <w:t>2. Learned u(t), N(t), and N(u)</w:t>
      </w:r>
    </w:p>
    <w:p>
      <w:pPr>
        <w:spacing w:after="120" w:line="264" w:lineRule="auto"/>
      </w:pPr>
      <w:r>
        <w:rPr>
          <w:rFonts w:ascii="Calibri" w:hAnsi="Calibri" w:eastAsia="PingFang SC"/>
          <w:b w:val="0"/>
          <w:color w:val="1F2937"/>
          <w:sz w:val="21"/>
        </w:rPr>
        <w:t>The learned control starts high, transitions to a lower interior/singular-like region, and increases again near the terminal portion.</w:t>
      </w:r>
    </w:p>
    <w:p>
      <w:pPr>
        <w:spacing w:before="80" w:after="60"/>
        <w:jc w:val="center"/>
      </w:pPr>
      <w:r>
        <w:drawing>
          <wp:inline xmlns:a="http://schemas.openxmlformats.org/drawingml/2006/main" xmlns:pic="http://schemas.openxmlformats.org/drawingml/2006/picture">
            <wp:extent cx="5806440" cy="4734219"/>
            <wp:docPr id="5" name="Picture 5"/>
            <wp:cNvGraphicFramePr>
              <a:graphicFrameLocks noChangeAspect="1"/>
            </wp:cNvGraphicFramePr>
            <a:graphic>
              <a:graphicData uri="http://schemas.openxmlformats.org/drawingml/2006/picture">
                <pic:pic>
                  <pic:nvPicPr>
                    <pic:cNvPr id="0" name="ut_nt_trajectory_clean.png"/>
                    <pic:cNvPicPr/>
                  </pic:nvPicPr>
                  <pic:blipFill>
                    <a:blip r:embed="rId14"/>
                    <a:stretch>
                      <a:fillRect/>
                    </a:stretch>
                  </pic:blipFill>
                  <pic:spPr>
                    <a:xfrm>
                      <a:off x="0" y="0"/>
                      <a:ext cx="5806440" cy="4734219"/>
                    </a:xfrm>
                    <a:prstGeom prst="rect"/>
                  </pic:spPr>
                </pic:pic>
              </a:graphicData>
            </a:graphic>
          </wp:inline>
        </w:drawing>
      </w:r>
    </w:p>
    <w:p>
      <w:pPr>
        <w:spacing w:after="160"/>
        <w:jc w:val="center"/>
      </w:pPr>
      <w:r>
        <w:rPr>
          <w:rFonts w:ascii="Calibri" w:hAnsi="Calibri" w:eastAsia="PingFang SC"/>
          <w:b w:val="0"/>
          <w:color w:val="52606D"/>
          <w:sz w:val="18"/>
        </w:rPr>
        <w:t>Figure 1. Learned Transformer control u(t), population trajectory N(t), switching function psi(t), and singular weight q(t).</w:t>
      </w:r>
    </w:p>
    <w:p>
      <w:pPr>
        <w:spacing w:after="120" w:line="264" w:lineRule="auto"/>
      </w:pPr>
      <w:r>
        <w:rPr>
          <w:rFonts w:ascii="Calibri" w:hAnsi="Calibri" w:eastAsia="PingFang SC"/>
          <w:b w:val="0"/>
          <w:color w:val="1F2937"/>
          <w:sz w:val="21"/>
        </w:rPr>
        <w:t>The N(u) phase plot below uses the total population across all 21 subpopulations.</w:t>
      </w:r>
    </w:p>
    <w:p>
      <w:pPr>
        <w:spacing w:before="80" w:after="60"/>
        <w:jc w:val="center"/>
      </w:pPr>
      <w:r>
        <w:drawing>
          <wp:inline xmlns:a="http://schemas.openxmlformats.org/drawingml/2006/main" xmlns:pic="http://schemas.openxmlformats.org/drawingml/2006/picture">
            <wp:extent cx="6172200" cy="4239809"/>
            <wp:docPr id="6" name="Picture 6"/>
            <wp:cNvGraphicFramePr>
              <a:graphicFrameLocks noChangeAspect="1"/>
            </wp:cNvGraphicFramePr>
            <a:graphic>
              <a:graphicData uri="http://schemas.openxmlformats.org/drawingml/2006/picture">
                <pic:pic>
                  <pic:nvPicPr>
                    <pic:cNvPr id="0" name="nu_phase_plot_clean.png"/>
                    <pic:cNvPicPr/>
                  </pic:nvPicPr>
                  <pic:blipFill>
                    <a:blip r:embed="rId15"/>
                    <a:stretch>
                      <a:fillRect/>
                    </a:stretch>
                  </pic:blipFill>
                  <pic:spPr>
                    <a:xfrm>
                      <a:off x="0" y="0"/>
                      <a:ext cx="6172200" cy="4239809"/>
                    </a:xfrm>
                    <a:prstGeom prst="rect"/>
                  </pic:spPr>
                </pic:pic>
              </a:graphicData>
            </a:graphic>
          </wp:inline>
        </w:drawing>
      </w:r>
    </w:p>
    <w:p>
      <w:pPr>
        <w:spacing w:after="160"/>
        <w:jc w:val="center"/>
      </w:pPr>
      <w:r>
        <w:rPr>
          <w:rFonts w:ascii="Calibri" w:hAnsi="Calibri" w:eastAsia="PingFang SC"/>
          <w:b w:val="0"/>
          <w:color w:val="52606D"/>
          <w:sz w:val="18"/>
        </w:rPr>
        <w:t>Figure 2. N(u) phase plot using the total population across the 21 subpopulations.</w:t>
      </w:r>
    </w:p>
    <w:p>
      <w:r>
        <w:br w:type="page"/>
      </w:r>
    </w:p>
    <w:p>
      <w:pPr>
        <w:spacing w:before="280" w:after="100"/>
      </w:pPr>
      <w:r>
        <w:rPr>
          <w:rFonts w:ascii="Calibri" w:hAnsi="Calibri" w:eastAsia="PingFang SC"/>
          <w:b/>
          <w:color w:val="2E74B5"/>
          <w:sz w:val="30"/>
        </w:rPr>
        <w:t>3. Training Loss Trajectories for PMP/KKT Conditions</w:t>
      </w:r>
    </w:p>
    <w:p>
      <w:pPr>
        <w:spacing w:after="120" w:line="264" w:lineRule="auto"/>
      </w:pPr>
      <w:r>
        <w:rPr>
          <w:rFonts w:ascii="Calibri" w:hAnsi="Calibri" w:eastAsia="PingFang SC"/>
          <w:b w:val="0"/>
          <w:color w:val="1F2937"/>
          <w:sz w:val="21"/>
        </w:rPr>
        <w:t>The table reports the smallest recorded training loss. In this experiment, the training loss is the manuscript's PMP/KKT optimality gap, composed of the singular condition and the non-singular Hamiltonian minimization condition.</w:t>
      </w:r>
    </w:p>
    <w:tbl>
      <w:tblPr>
        <w:tblStyle w:val="TableGrid"/>
        <w:tblW w:type="auto" w:w="0"/>
        <w:jc w:val="center"/>
        <w:tblLook w:firstColumn="1" w:firstRow="1" w:lastColumn="0" w:lastRow="0" w:noHBand="0" w:noVBand="1" w:val="04A0"/>
      </w:tblPr>
      <w:tblGrid>
        <w:gridCol w:w="4968"/>
        <w:gridCol w:w="4968"/>
      </w:tblGrid>
      <w:tr>
        <w:tc>
          <w:tcPr>
            <w:tcW w:type="dxa" w:w="4608"/>
            <w:shd w:fill="F2F4F7"/>
            <w:vAlign w:val="center"/>
          </w:tcPr>
          <w:p>
            <w:pPr>
              <w:spacing w:before="20" w:after="20" w:line="252" w:lineRule="auto"/>
              <w:jc w:val="center"/>
            </w:pPr>
            <w:r>
              <w:rPr>
                <w:rFonts w:ascii="Calibri" w:hAnsi="Calibri" w:eastAsia="PingFang SC"/>
                <w:b/>
                <w:color w:val="1F2937"/>
                <w:sz w:val="18"/>
              </w:rPr>
              <w:t>metric</w:t>
            </w:r>
          </w:p>
        </w:tc>
        <w:tc>
          <w:tcPr>
            <w:tcW w:type="dxa" w:w="2880"/>
            <w:shd w:fill="F2F4F7"/>
            <w:vAlign w:val="center"/>
          </w:tcPr>
          <w:p>
            <w:pPr>
              <w:spacing w:before="20" w:after="20" w:line="252" w:lineRule="auto"/>
              <w:jc w:val="center"/>
            </w:pPr>
            <w:r>
              <w:rPr>
                <w:rFonts w:ascii="Calibri" w:hAnsi="Calibri" w:eastAsia="PingFang SC"/>
                <w:b/>
                <w:color w:val="1F2937"/>
                <w:sz w:val="18"/>
              </w:rPr>
              <w:t>value</w:t>
            </w:r>
          </w:p>
        </w:tc>
      </w:tr>
      <w:tr>
        <w:tc>
          <w:tcPr>
            <w:tcW w:type="dxa" w:w="4608"/>
            <w:vAlign w:val="center"/>
          </w:tcPr>
          <w:p>
            <w:pPr>
              <w:spacing w:before="20" w:after="20" w:line="252" w:lineRule="auto"/>
              <w:jc w:val="left"/>
            </w:pPr>
            <w:r>
              <w:rPr>
                <w:rFonts w:ascii="Calibri" w:hAnsi="Calibri" w:eastAsia="PingFang SC"/>
                <w:b w:val="0"/>
                <w:color w:val="1F2937"/>
                <w:sz w:val="18"/>
              </w:rPr>
              <w:t>total training loss / PMP-KKT optimality gap</w:t>
            </w:r>
          </w:p>
        </w:tc>
        <w:tc>
          <w:tcPr>
            <w:tcW w:type="dxa" w:w="2880"/>
            <w:vAlign w:val="center"/>
          </w:tcPr>
          <w:p>
            <w:pPr>
              <w:spacing w:before="20" w:after="20" w:line="252" w:lineRule="auto"/>
              <w:jc w:val="left"/>
            </w:pPr>
            <w:r>
              <w:rPr>
                <w:rFonts w:ascii="Calibri" w:hAnsi="Calibri" w:eastAsia="PingFang SC"/>
                <w:b w:val="0"/>
                <w:color w:val="1F2937"/>
                <w:sz w:val="18"/>
              </w:rPr>
              <w:t>0.02637</w:t>
            </w:r>
          </w:p>
        </w:tc>
      </w:tr>
      <w:tr>
        <w:tc>
          <w:tcPr>
            <w:tcW w:type="dxa" w:w="4608"/>
            <w:vAlign w:val="center"/>
          </w:tcPr>
          <w:p>
            <w:pPr>
              <w:spacing w:before="20" w:after="20" w:line="252" w:lineRule="auto"/>
              <w:jc w:val="left"/>
            </w:pPr>
            <w:r>
              <w:rPr>
                <w:rFonts w:ascii="Calibri" w:hAnsi="Calibri" w:eastAsia="PingFang SC"/>
                <w:b w:val="0"/>
                <w:color w:val="1F2937"/>
                <w:sz w:val="18"/>
              </w:rPr>
              <w:t>singular-condition training loss</w:t>
            </w:r>
          </w:p>
        </w:tc>
        <w:tc>
          <w:tcPr>
            <w:tcW w:type="dxa" w:w="2880"/>
            <w:vAlign w:val="center"/>
          </w:tcPr>
          <w:p>
            <w:pPr>
              <w:spacing w:before="20" w:after="20" w:line="252" w:lineRule="auto"/>
              <w:jc w:val="left"/>
            </w:pPr>
            <w:r>
              <w:rPr>
                <w:rFonts w:ascii="Calibri" w:hAnsi="Calibri" w:eastAsia="PingFang SC"/>
                <w:b w:val="0"/>
                <w:color w:val="1F2937"/>
                <w:sz w:val="18"/>
              </w:rPr>
              <w:t>0.00167</w:t>
            </w:r>
          </w:p>
        </w:tc>
      </w:tr>
      <w:tr>
        <w:tc>
          <w:tcPr>
            <w:tcW w:type="dxa" w:w="4608"/>
            <w:vAlign w:val="center"/>
          </w:tcPr>
          <w:p>
            <w:pPr>
              <w:spacing w:before="20" w:after="20" w:line="252" w:lineRule="auto"/>
              <w:jc w:val="left"/>
            </w:pPr>
            <w:r>
              <w:rPr>
                <w:rFonts w:ascii="Calibri" w:hAnsi="Calibri" w:eastAsia="PingFang SC"/>
                <w:b w:val="0"/>
                <w:color w:val="1F2937"/>
                <w:sz w:val="18"/>
              </w:rPr>
              <w:t>non-singular Hamiltonian-minimization training loss</w:t>
            </w:r>
          </w:p>
        </w:tc>
        <w:tc>
          <w:tcPr>
            <w:tcW w:type="dxa" w:w="2880"/>
            <w:vAlign w:val="center"/>
          </w:tcPr>
          <w:p>
            <w:pPr>
              <w:spacing w:before="20" w:after="20" w:line="252" w:lineRule="auto"/>
              <w:jc w:val="left"/>
            </w:pPr>
            <w:r>
              <w:rPr>
                <w:rFonts w:ascii="Calibri" w:hAnsi="Calibri" w:eastAsia="PingFang SC"/>
                <w:b w:val="0"/>
                <w:color w:val="1F2937"/>
                <w:sz w:val="18"/>
              </w:rPr>
              <w:t>0.02471</w:t>
            </w:r>
          </w:p>
        </w:tc>
      </w:tr>
      <w:tr>
        <w:tc>
          <w:tcPr>
            <w:tcW w:type="dxa" w:w="4608"/>
            <w:vAlign w:val="center"/>
          </w:tcPr>
          <w:p>
            <w:pPr>
              <w:spacing w:before="20" w:after="20" w:line="252" w:lineRule="auto"/>
              <w:jc w:val="left"/>
            </w:pPr>
            <w:r>
              <w:rPr>
                <w:rFonts w:ascii="Calibri" w:hAnsi="Calibri" w:eastAsia="PingFang SC"/>
                <w:b w:val="0"/>
                <w:color w:val="1F2937"/>
                <w:sz w:val="18"/>
              </w:rPr>
              <w:t>objective J during training</w:t>
            </w:r>
          </w:p>
        </w:tc>
        <w:tc>
          <w:tcPr>
            <w:tcW w:type="dxa" w:w="2880"/>
            <w:vAlign w:val="center"/>
          </w:tcPr>
          <w:p>
            <w:pPr>
              <w:spacing w:before="20" w:after="20" w:line="252" w:lineRule="auto"/>
              <w:jc w:val="left"/>
            </w:pPr>
            <w:r>
              <w:rPr>
                <w:rFonts w:ascii="Calibri" w:hAnsi="Calibri" w:eastAsia="PingFang SC"/>
                <w:b w:val="0"/>
                <w:color w:val="1F2937"/>
                <w:sz w:val="18"/>
              </w:rPr>
              <w:t>384.76</w:t>
            </w:r>
          </w:p>
        </w:tc>
      </w:tr>
      <w:tr>
        <w:tc>
          <w:tcPr>
            <w:tcW w:type="dxa" w:w="4608"/>
            <w:vAlign w:val="center"/>
          </w:tcPr>
          <w:p>
            <w:pPr>
              <w:spacing w:before="20" w:after="20" w:line="252" w:lineRule="auto"/>
              <w:jc w:val="left"/>
            </w:pPr>
            <w:r>
              <w:rPr>
                <w:rFonts w:ascii="Calibri" w:hAnsi="Calibri" w:eastAsia="PingFang SC"/>
                <w:b w:val="0"/>
                <w:color w:val="1F2937"/>
                <w:sz w:val="18"/>
              </w:rPr>
              <w:t>range and mean of u_theta(t)</w:t>
            </w:r>
          </w:p>
        </w:tc>
        <w:tc>
          <w:tcPr>
            <w:tcW w:type="dxa" w:w="2880"/>
            <w:vAlign w:val="center"/>
          </w:tcPr>
          <w:p>
            <w:pPr>
              <w:spacing w:before="20" w:after="20" w:line="252" w:lineRule="auto"/>
              <w:jc w:val="left"/>
            </w:pPr>
            <w:r>
              <w:rPr>
                <w:rFonts w:ascii="Calibri" w:hAnsi="Calibri" w:eastAsia="PingFang SC"/>
                <w:b w:val="0"/>
                <w:color w:val="1F2937"/>
                <w:sz w:val="18"/>
              </w:rPr>
              <w:t>min 1.038, max 2.758, mean 1.372</w:t>
            </w:r>
          </w:p>
        </w:tc>
      </w:tr>
      <w:tr>
        <w:tc>
          <w:tcPr>
            <w:tcW w:type="dxa" w:w="4608"/>
            <w:vAlign w:val="center"/>
          </w:tcPr>
          <w:p>
            <w:pPr>
              <w:spacing w:before="20" w:after="20" w:line="252" w:lineRule="auto"/>
              <w:jc w:val="left"/>
            </w:pPr>
            <w:r>
              <w:rPr>
                <w:rFonts w:ascii="Calibri" w:hAnsi="Calibri" w:eastAsia="PingFang SC"/>
                <w:b w:val="0"/>
                <w:color w:val="1F2937"/>
                <w:sz w:val="18"/>
              </w:rPr>
              <w:t>terminal mean state</w:t>
            </w:r>
          </w:p>
        </w:tc>
        <w:tc>
          <w:tcPr>
            <w:tcW w:type="dxa" w:w="2880"/>
            <w:vAlign w:val="center"/>
          </w:tcPr>
          <w:p>
            <w:pPr>
              <w:spacing w:before="20" w:after="20" w:line="252" w:lineRule="auto"/>
              <w:jc w:val="left"/>
            </w:pPr>
            <w:r>
              <w:rPr>
                <w:rFonts w:ascii="Calibri" w:hAnsi="Calibri" w:eastAsia="PingFang SC"/>
                <w:b w:val="0"/>
                <w:color w:val="1F2937"/>
                <w:sz w:val="18"/>
              </w:rPr>
              <w:t>1.207</w:t>
            </w:r>
          </w:p>
        </w:tc>
      </w:tr>
    </w:tbl>
    <w:p>
      <w:pPr>
        <w:spacing w:after="80"/>
      </w:pPr>
    </w:p>
    <w:p>
      <w:pPr>
        <w:spacing w:before="80" w:after="60"/>
        <w:jc w:val="center"/>
      </w:pPr>
      <w:r>
        <w:drawing>
          <wp:inline xmlns:a="http://schemas.openxmlformats.org/drawingml/2006/main" xmlns:pic="http://schemas.openxmlformats.org/drawingml/2006/picture">
            <wp:extent cx="5806440" cy="4102454"/>
            <wp:docPr id="7" name="Picture 7"/>
            <wp:cNvGraphicFramePr>
              <a:graphicFrameLocks noChangeAspect="1"/>
            </wp:cNvGraphicFramePr>
            <a:graphic>
              <a:graphicData uri="http://schemas.openxmlformats.org/drawingml/2006/picture">
                <pic:pic>
                  <pic:nvPicPr>
                    <pic:cNvPr id="0" name="training_loss_trajectory_clean.png"/>
                    <pic:cNvPicPr/>
                  </pic:nvPicPr>
                  <pic:blipFill>
                    <a:blip r:embed="rId16"/>
                    <a:stretch>
                      <a:fillRect/>
                    </a:stretch>
                  </pic:blipFill>
                  <pic:spPr>
                    <a:xfrm>
                      <a:off x="0" y="0"/>
                      <a:ext cx="5806440" cy="4102454"/>
                    </a:xfrm>
                    <a:prstGeom prst="rect"/>
                  </pic:spPr>
                </pic:pic>
              </a:graphicData>
            </a:graphic>
          </wp:inline>
        </w:drawing>
      </w:r>
    </w:p>
    <w:p>
      <w:pPr>
        <w:spacing w:after="160"/>
        <w:jc w:val="center"/>
      </w:pPr>
      <w:r>
        <w:rPr>
          <w:rFonts w:ascii="Calibri" w:hAnsi="Calibri" w:eastAsia="PingFang SC"/>
          <w:b w:val="0"/>
          <w:color w:val="52606D"/>
          <w:sz w:val="18"/>
        </w:rPr>
        <w:t>Figure 3. Training trajectories of the total PMP/KKT optimality gap and its singular and non-singular components.</w:t>
      </w:r>
    </w:p>
    <w:p>
      <w:pPr>
        <w:spacing w:after="120" w:line="264" w:lineRule="auto"/>
      </w:pPr>
      <w:r>
        <w:rPr>
          <w:rFonts w:ascii="Calibri" w:hAnsi="Calibri" w:eastAsia="PingFang SC"/>
          <w:b w:val="0"/>
          <w:color w:val="1F2937"/>
          <w:sz w:val="21"/>
        </w:rPr>
        <w:t>The final pointwise condition plot below uses a smooth weight q(t) to separate the two regimes: near psi(t)=0 it emphasizes the singular-condition error; away from psi(t)=0 it emphasizes the boundary KKT error.</w:t>
      </w:r>
    </w:p>
    <w:p>
      <w:pPr>
        <w:spacing w:before="80" w:after="60"/>
        <w:jc w:val="center"/>
      </w:pPr>
      <w:r>
        <w:drawing>
          <wp:inline xmlns:a="http://schemas.openxmlformats.org/drawingml/2006/main" xmlns:pic="http://schemas.openxmlformats.org/drawingml/2006/picture">
            <wp:extent cx="5806440" cy="4163754"/>
            <wp:docPr id="8" name="Picture 8"/>
            <wp:cNvGraphicFramePr>
              <a:graphicFrameLocks noChangeAspect="1"/>
            </wp:cNvGraphicFramePr>
            <a:graphic>
              <a:graphicData uri="http://schemas.openxmlformats.org/drawingml/2006/picture">
                <pic:pic>
                  <pic:nvPicPr>
                    <pic:cNvPr id="0" name="pmp_condition_components_clean.png"/>
                    <pic:cNvPicPr/>
                  </pic:nvPicPr>
                  <pic:blipFill>
                    <a:blip r:embed="rId17"/>
                    <a:stretch>
                      <a:fillRect/>
                    </a:stretch>
                  </pic:blipFill>
                  <pic:spPr>
                    <a:xfrm>
                      <a:off x="0" y="0"/>
                      <a:ext cx="5806440" cy="4163754"/>
                    </a:xfrm>
                    <a:prstGeom prst="rect"/>
                  </pic:spPr>
                </pic:pic>
              </a:graphicData>
            </a:graphic>
          </wp:inline>
        </w:drawing>
      </w:r>
    </w:p>
    <w:p>
      <w:pPr>
        <w:spacing w:after="160"/>
        <w:jc w:val="center"/>
      </w:pPr>
      <w:r>
        <w:rPr>
          <w:rFonts w:ascii="Calibri" w:hAnsi="Calibri" w:eastAsia="PingFang SC"/>
          <w:b w:val="0"/>
          <w:color w:val="52606D"/>
          <w:sz w:val="18"/>
        </w:rPr>
        <w:t>Figure 4. Pointwise singular-condition error and boundary KKT error along the final learned trajectory.</w:t>
      </w:r>
    </w:p>
    <w:p>
      <w:pPr>
        <w:spacing w:before="280" w:after="100"/>
      </w:pPr>
      <w:r>
        <w:rPr>
          <w:rFonts w:ascii="Calibri" w:hAnsi="Calibri" w:eastAsia="PingFang SC"/>
          <w:b/>
          <w:color w:val="2E74B5"/>
          <w:sz w:val="30"/>
        </w:rPr>
        <w:t>4. Comparison with Related Work</w:t>
      </w:r>
    </w:p>
    <w:p>
      <w:pPr>
        <w:spacing w:after="120" w:line="264" w:lineRule="auto"/>
      </w:pPr>
      <w:r>
        <w:rPr>
          <w:rFonts w:ascii="Calibri" w:hAnsi="Calibri" w:eastAsia="PingFang SC"/>
          <w:b w:val="0"/>
          <w:color w:val="1F2937"/>
          <w:sz w:val="21"/>
        </w:rPr>
        <w:t>For the fixed-initial-condition u(t) reproduction, all numerical comparisons keep the same initial condition and compare time-dependent controls u(t). Several related-work papers in the manuscript target value-function or feedback formulations; those are important related formulations, but they are not the same numerical task as this u(t) reproduction.</w:t>
      </w:r>
    </w:p>
    <w:tbl>
      <w:tblPr>
        <w:tblStyle w:val="TableGrid"/>
        <w:tblW w:type="auto" w:w="0"/>
        <w:jc w:val="center"/>
        <w:tblLook w:firstColumn="1" w:firstRow="1" w:lastColumn="0" w:lastRow="0" w:noHBand="0" w:noVBand="1" w:val="04A0"/>
      </w:tblPr>
      <w:tblGrid>
        <w:gridCol w:w="3312"/>
        <w:gridCol w:w="3312"/>
        <w:gridCol w:w="3312"/>
      </w:tblGrid>
      <w:tr>
        <w:tc>
          <w:tcPr>
            <w:tcW w:type="dxa" w:w="2232"/>
            <w:shd w:fill="F2F4F7"/>
            <w:vAlign w:val="center"/>
          </w:tcPr>
          <w:p>
            <w:pPr>
              <w:spacing w:before="20" w:after="20" w:line="252" w:lineRule="auto"/>
              <w:jc w:val="center"/>
            </w:pPr>
            <w:r>
              <w:rPr>
                <w:rFonts w:ascii="Calibri" w:hAnsi="Calibri" w:eastAsia="PingFang SC"/>
                <w:b/>
                <w:color w:val="1F2937"/>
                <w:sz w:val="15"/>
              </w:rPr>
              <w:t>method family</w:t>
            </w:r>
          </w:p>
        </w:tc>
        <w:tc>
          <w:tcPr>
            <w:tcW w:type="dxa" w:w="3311"/>
            <w:shd w:fill="F2F4F7"/>
            <w:vAlign w:val="center"/>
          </w:tcPr>
          <w:p>
            <w:pPr>
              <w:spacing w:before="20" w:after="20" w:line="252" w:lineRule="auto"/>
              <w:jc w:val="center"/>
            </w:pPr>
            <w:r>
              <w:rPr>
                <w:rFonts w:ascii="Calibri" w:hAnsi="Calibri" w:eastAsia="PingFang SC"/>
                <w:b/>
                <w:color w:val="1F2937"/>
                <w:sz w:val="15"/>
              </w:rPr>
              <w:t>learned object / formulation</w:t>
            </w:r>
          </w:p>
        </w:tc>
        <w:tc>
          <w:tcPr>
            <w:tcW w:type="dxa" w:w="3744"/>
            <w:shd w:fill="F2F4F7"/>
            <w:vAlign w:val="center"/>
          </w:tcPr>
          <w:p>
            <w:pPr>
              <w:spacing w:before="20" w:after="20" w:line="252" w:lineRule="auto"/>
              <w:jc w:val="center"/>
            </w:pPr>
            <w:r>
              <w:rPr>
                <w:rFonts w:ascii="Calibri" w:hAnsi="Calibri" w:eastAsia="PingFang SC"/>
                <w:b/>
                <w:color w:val="1F2937"/>
                <w:sz w:val="15"/>
              </w:rPr>
              <w:t>relation to this report</w:t>
            </w:r>
          </w:p>
        </w:tc>
      </w:tr>
      <w:tr>
        <w:tc>
          <w:tcPr>
            <w:tcW w:type="dxa" w:w="2232"/>
            <w:vAlign w:val="center"/>
          </w:tcPr>
          <w:p>
            <w:pPr>
              <w:spacing w:before="20" w:after="20" w:line="252" w:lineRule="auto"/>
              <w:jc w:val="left"/>
            </w:pPr>
            <w:r>
              <w:rPr>
                <w:rFonts w:ascii="Calibri" w:hAnsi="Calibri" w:eastAsia="PingFang SC"/>
                <w:b w:val="0"/>
                <w:color w:val="1F2937"/>
                <w:sz w:val="15"/>
              </w:rPr>
              <w:t>HJB / BSDE methods [1,2,7]</w:t>
            </w:r>
          </w:p>
        </w:tc>
        <w:tc>
          <w:tcPr>
            <w:tcW w:type="dxa" w:w="3311"/>
            <w:vAlign w:val="center"/>
          </w:tcPr>
          <w:p>
            <w:pPr>
              <w:spacing w:before="20" w:after="20" w:line="252" w:lineRule="auto"/>
              <w:jc w:val="left"/>
            </w:pPr>
            <w:r>
              <w:rPr>
                <w:rFonts w:ascii="Calibri" w:hAnsi="Calibri" w:eastAsia="PingFang SC"/>
                <w:b w:val="0"/>
                <w:color w:val="1F2937"/>
                <w:sz w:val="15"/>
              </w:rPr>
              <w:t>value function V(t,N) or HJB PDE solution</w:t>
            </w:r>
          </w:p>
        </w:tc>
        <w:tc>
          <w:tcPr>
            <w:tcW w:type="dxa" w:w="3744"/>
            <w:vAlign w:val="center"/>
          </w:tcPr>
          <w:p>
            <w:pPr>
              <w:spacing w:before="20" w:after="20" w:line="252" w:lineRule="auto"/>
              <w:jc w:val="center"/>
            </w:pPr>
            <w:r>
              <w:rPr>
                <w:rFonts w:ascii="Calibri" w:hAnsi="Calibri" w:eastAsia="PingFang SC"/>
                <w:b w:val="0"/>
                <w:color w:val="1F2937"/>
                <w:sz w:val="15"/>
              </w:rPr>
              <w:t>state-domain feedback/value formulation; not a direct numerical comparison for fixed u(t)</w:t>
            </w:r>
          </w:p>
        </w:tc>
      </w:tr>
      <w:tr>
        <w:tc>
          <w:tcPr>
            <w:tcW w:type="dxa" w:w="2232"/>
            <w:vAlign w:val="center"/>
          </w:tcPr>
          <w:p>
            <w:pPr>
              <w:spacing w:before="20" w:after="20" w:line="252" w:lineRule="auto"/>
              <w:jc w:val="left"/>
            </w:pPr>
            <w:r>
              <w:rPr>
                <w:rFonts w:ascii="Calibri" w:hAnsi="Calibri" w:eastAsia="PingFang SC"/>
                <w:b w:val="0"/>
                <w:color w:val="1F2937"/>
                <w:sz w:val="15"/>
              </w:rPr>
              <w:t>Neural-PMP [3]</w:t>
            </w:r>
          </w:p>
        </w:tc>
        <w:tc>
          <w:tcPr>
            <w:tcW w:type="dxa" w:w="3311"/>
            <w:vAlign w:val="center"/>
          </w:tcPr>
          <w:p>
            <w:pPr>
              <w:spacing w:before="20" w:after="20" w:line="252" w:lineRule="auto"/>
              <w:jc w:val="left"/>
            </w:pPr>
            <w:r>
              <w:rPr>
                <w:rFonts w:ascii="Calibri" w:hAnsi="Calibri" w:eastAsia="PingFang SC"/>
                <w:b w:val="0"/>
                <w:color w:val="1F2937"/>
                <w:sz w:val="15"/>
              </w:rPr>
              <w:t>control sequence via forward rollout, backward costate recursion, and Hamiltonian-gradient updates</w:t>
            </w:r>
          </w:p>
        </w:tc>
        <w:tc>
          <w:tcPr>
            <w:tcW w:type="dxa" w:w="3744"/>
            <w:vAlign w:val="center"/>
          </w:tcPr>
          <w:p>
            <w:pPr>
              <w:spacing w:before="20" w:after="20" w:line="252" w:lineRule="auto"/>
              <w:jc w:val="center"/>
            </w:pPr>
            <w:r>
              <w:rPr>
                <w:rFonts w:ascii="Calibri" w:hAnsi="Calibri" w:eastAsia="PingFang SC"/>
                <w:b w:val="0"/>
                <w:color w:val="1F2937"/>
                <w:sz w:val="15"/>
              </w:rPr>
              <w:t>closest related-work method for the present u(t) experiment; implemented numerically below</w:t>
            </w:r>
          </w:p>
        </w:tc>
      </w:tr>
      <w:tr>
        <w:tc>
          <w:tcPr>
            <w:tcW w:type="dxa" w:w="2232"/>
            <w:vAlign w:val="center"/>
          </w:tcPr>
          <w:p>
            <w:pPr>
              <w:spacing w:before="20" w:after="20" w:line="252" w:lineRule="auto"/>
              <w:jc w:val="left"/>
            </w:pPr>
            <w:r>
              <w:rPr>
                <w:rFonts w:ascii="Calibri" w:hAnsi="Calibri" w:eastAsia="PingFang SC"/>
                <w:b w:val="0"/>
                <w:color w:val="1F2937"/>
                <w:sz w:val="15"/>
              </w:rPr>
              <w:t>DeepONet / PINN policy iteration [5,6]</w:t>
            </w:r>
          </w:p>
        </w:tc>
        <w:tc>
          <w:tcPr>
            <w:tcW w:type="dxa" w:w="3311"/>
            <w:vAlign w:val="center"/>
          </w:tcPr>
          <w:p>
            <w:pPr>
              <w:spacing w:before="20" w:after="20" w:line="252" w:lineRule="auto"/>
              <w:jc w:val="left"/>
            </w:pPr>
            <w:r>
              <w:rPr>
                <w:rFonts w:ascii="Calibri" w:hAnsi="Calibri" w:eastAsia="PingFang SC"/>
                <w:b w:val="0"/>
                <w:color w:val="1F2937"/>
                <w:sz w:val="15"/>
              </w:rPr>
              <w:t>policy evaluation and improvement for HJB-type equations</w:t>
            </w:r>
          </w:p>
        </w:tc>
        <w:tc>
          <w:tcPr>
            <w:tcW w:type="dxa" w:w="3744"/>
            <w:vAlign w:val="center"/>
          </w:tcPr>
          <w:p>
            <w:pPr>
              <w:spacing w:before="20" w:after="20" w:line="252" w:lineRule="auto"/>
              <w:jc w:val="center"/>
            </w:pPr>
            <w:r>
              <w:rPr>
                <w:rFonts w:ascii="Calibri" w:hAnsi="Calibri" w:eastAsia="PingFang SC"/>
                <w:b w:val="0"/>
                <w:color w:val="1F2937"/>
                <w:sz w:val="15"/>
              </w:rPr>
              <w:t>related feedback/value-learning formulation; separate from this fixed-trajectory u(t) layer</w:t>
            </w:r>
          </w:p>
        </w:tc>
      </w:tr>
      <w:tr>
        <w:tc>
          <w:tcPr>
            <w:tcW w:type="dxa" w:w="2232"/>
            <w:vAlign w:val="center"/>
          </w:tcPr>
          <w:p>
            <w:pPr>
              <w:spacing w:before="20" w:after="20" w:line="252" w:lineRule="auto"/>
              <w:jc w:val="left"/>
            </w:pPr>
            <w:r>
              <w:rPr>
                <w:rFonts w:ascii="Calibri" w:hAnsi="Calibri" w:eastAsia="PingFang SC"/>
                <w:b w:val="0"/>
                <w:color w:val="1F2937"/>
                <w:sz w:val="15"/>
              </w:rPr>
              <w:t>classical chemotherapy OC [4]</w:t>
            </w:r>
          </w:p>
        </w:tc>
        <w:tc>
          <w:tcPr>
            <w:tcW w:type="dxa" w:w="3311"/>
            <w:vAlign w:val="center"/>
          </w:tcPr>
          <w:p>
            <w:pPr>
              <w:spacing w:before="20" w:after="20" w:line="252" w:lineRule="auto"/>
              <w:jc w:val="left"/>
            </w:pPr>
            <w:r>
              <w:rPr>
                <w:rFonts w:ascii="Calibri" w:hAnsi="Calibri" w:eastAsia="PingFang SC"/>
                <w:b w:val="0"/>
                <w:color w:val="1F2937"/>
                <w:sz w:val="15"/>
              </w:rPr>
              <w:t>PMP and singular-control structure</w:t>
            </w:r>
          </w:p>
        </w:tc>
        <w:tc>
          <w:tcPr>
            <w:tcW w:type="dxa" w:w="3744"/>
            <w:vAlign w:val="center"/>
          </w:tcPr>
          <w:p>
            <w:pPr>
              <w:spacing w:before="20" w:after="20" w:line="252" w:lineRule="auto"/>
              <w:jc w:val="center"/>
            </w:pPr>
            <w:r>
              <w:rPr>
                <w:rFonts w:ascii="Calibri" w:hAnsi="Calibri" w:eastAsia="PingFang SC"/>
                <w:b w:val="0"/>
                <w:color w:val="1F2937"/>
                <w:sz w:val="15"/>
              </w:rPr>
              <w:t>source of the singular-control condition used in the manuscript</w:t>
            </w:r>
          </w:p>
        </w:tc>
      </w:tr>
    </w:tbl>
    <w:p>
      <w:pPr>
        <w:spacing w:after="80"/>
      </w:pPr>
    </w:p>
    <w:p>
      <w:r>
        <w:br w:type="page"/>
      </w:r>
    </w:p>
    <w:p>
      <w:pPr>
        <w:spacing w:after="120" w:line="264" w:lineRule="auto"/>
      </w:pPr>
      <w:r>
        <w:rPr>
          <w:rFonts w:ascii="Calibri" w:hAnsi="Calibri" w:eastAsia="PingFang SC"/>
          <w:b w:val="0"/>
          <w:color w:val="1F2937"/>
          <w:sz w:val="21"/>
        </w:rPr>
        <w:t>Among these, [3] is the closest numerical comparison. Here [3] refers to Gu, Xiong, and Chen, Pontryagin Optimal Control via Neural Networks (arXiv:2212.14566). Their Neural-PMP method first learns a differentiable dynamics model and then updates a control sequence using PMP gradients. Since the dynamics are already known in the manuscript setting, we compare with the corresponding known-dynamics u(t) update: forward state integration, backward costate recursion, and Hamiltonian-gradient updates of a discrete control sequence.</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872"/>
            <w:shd w:fill="F2F4F7"/>
            <w:vAlign w:val="center"/>
          </w:tcPr>
          <w:p>
            <w:pPr>
              <w:spacing w:before="20" w:after="20" w:line="252" w:lineRule="auto"/>
              <w:jc w:val="center"/>
            </w:pPr>
            <w:r>
              <w:rPr>
                <w:rFonts w:ascii="Calibri" w:hAnsi="Calibri" w:eastAsia="PingFang SC"/>
                <w:b/>
                <w:color w:val="1F2937"/>
                <w:sz w:val="14"/>
              </w:rPr>
              <w:t>method</w:t>
            </w:r>
          </w:p>
        </w:tc>
        <w:tc>
          <w:tcPr>
            <w:tcW w:type="dxa" w:w="2808"/>
            <w:shd w:fill="F2F4F7"/>
            <w:vAlign w:val="center"/>
          </w:tcPr>
          <w:p>
            <w:pPr>
              <w:spacing w:before="20" w:after="20" w:line="252" w:lineRule="auto"/>
              <w:jc w:val="center"/>
            </w:pPr>
            <w:r>
              <w:rPr>
                <w:rFonts w:ascii="Calibri" w:hAnsi="Calibri" w:eastAsia="PingFang SC"/>
                <w:b/>
                <w:color w:val="1F2937"/>
                <w:sz w:val="14"/>
              </w:rPr>
              <w:t>optimization condition</w:t>
            </w:r>
          </w:p>
        </w:tc>
        <w:tc>
          <w:tcPr>
            <w:tcW w:type="dxa" w:w="1152"/>
            <w:shd w:fill="F2F4F7"/>
            <w:vAlign w:val="center"/>
          </w:tcPr>
          <w:p>
            <w:pPr>
              <w:spacing w:before="20" w:after="20" w:line="252" w:lineRule="auto"/>
              <w:jc w:val="center"/>
            </w:pPr>
            <w:r>
              <w:rPr>
                <w:rFonts w:ascii="Calibri" w:hAnsi="Calibri" w:eastAsia="PingFang SC"/>
                <w:b/>
                <w:color w:val="1F2937"/>
                <w:sz w:val="14"/>
              </w:rPr>
              <w:t>objective J</w:t>
            </w:r>
          </w:p>
        </w:tc>
        <w:tc>
          <w:tcPr>
            <w:tcW w:type="dxa" w:w="1152"/>
            <w:shd w:fill="F2F4F7"/>
            <w:vAlign w:val="center"/>
          </w:tcPr>
          <w:p>
            <w:pPr>
              <w:spacing w:before="20" w:after="20" w:line="252" w:lineRule="auto"/>
              <w:jc w:val="center"/>
            </w:pPr>
            <w:r>
              <w:rPr>
                <w:rFonts w:ascii="Calibri" w:hAnsi="Calibri" w:eastAsia="PingFang SC"/>
                <w:b/>
                <w:color w:val="1F2937"/>
                <w:sz w:val="14"/>
              </w:rPr>
              <w:t>J - direct J</w:t>
            </w:r>
          </w:p>
        </w:tc>
        <w:tc>
          <w:tcPr>
            <w:tcW w:type="dxa" w:w="1152"/>
            <w:shd w:fill="F2F4F7"/>
            <w:vAlign w:val="center"/>
          </w:tcPr>
          <w:p>
            <w:pPr>
              <w:spacing w:before="20" w:after="20" w:line="252" w:lineRule="auto"/>
              <w:jc w:val="center"/>
            </w:pPr>
            <w:r>
              <w:rPr>
                <w:rFonts w:ascii="Calibri" w:hAnsi="Calibri" w:eastAsia="PingFang SC"/>
                <w:b/>
                <w:color w:val="1F2937"/>
                <w:sz w:val="14"/>
              </w:rPr>
              <w:t>PMP/KKT gap</w:t>
            </w:r>
          </w:p>
        </w:tc>
        <w:tc>
          <w:tcPr>
            <w:tcW w:type="dxa" w:w="1440"/>
            <w:shd w:fill="F2F4F7"/>
            <w:vAlign w:val="center"/>
          </w:tcPr>
          <w:p>
            <w:pPr>
              <w:spacing w:before="20" w:after="20" w:line="252" w:lineRule="auto"/>
              <w:jc w:val="center"/>
            </w:pPr>
            <w:r>
              <w:rPr>
                <w:rFonts w:ascii="Calibri" w:hAnsi="Calibri" w:eastAsia="PingFang SC"/>
                <w:b/>
                <w:color w:val="1F2937"/>
                <w:sz w:val="14"/>
              </w:rPr>
              <w:t>role</w:t>
            </w:r>
          </w:p>
        </w:tc>
      </w:tr>
      <w:tr>
        <w:tc>
          <w:tcPr>
            <w:tcW w:type="dxa" w:w="1872"/>
            <w:vAlign w:val="center"/>
          </w:tcPr>
          <w:p>
            <w:pPr>
              <w:spacing w:before="20" w:after="20" w:line="252" w:lineRule="auto"/>
              <w:jc w:val="left"/>
            </w:pPr>
            <w:r>
              <w:rPr>
                <w:rFonts w:ascii="Calibri" w:hAnsi="Calibri" w:eastAsia="PingFang SC"/>
                <w:b w:val="0"/>
                <w:color w:val="1F2937"/>
                <w:sz w:val="14"/>
              </w:rPr>
              <w:t>direct minimization of J</w:t>
            </w:r>
          </w:p>
        </w:tc>
        <w:tc>
          <w:tcPr>
            <w:tcW w:type="dxa" w:w="2808"/>
            <w:vAlign w:val="center"/>
          </w:tcPr>
          <w:p>
            <w:pPr>
              <w:spacing w:before="20" w:after="20" w:line="252" w:lineRule="auto"/>
              <w:jc w:val="left"/>
            </w:pPr>
            <w:r>
              <w:rPr>
                <w:rFonts w:ascii="Calibri" w:hAnsi="Calibri" w:eastAsia="PingFang SC"/>
                <w:b w:val="0"/>
                <w:color w:val="1F2937"/>
                <w:sz w:val="14"/>
              </w:rPr>
              <w:t>minimize discretized J on a time mesh</w:t>
            </w:r>
          </w:p>
        </w:tc>
        <w:tc>
          <w:tcPr>
            <w:tcW w:type="dxa" w:w="1152"/>
            <w:vAlign w:val="center"/>
          </w:tcPr>
          <w:p>
            <w:pPr>
              <w:spacing w:before="20" w:after="20" w:line="252" w:lineRule="auto"/>
              <w:jc w:val="center"/>
            </w:pPr>
            <w:r>
              <w:rPr>
                <w:rFonts w:ascii="Calibri" w:hAnsi="Calibri" w:eastAsia="PingFang SC"/>
                <w:b w:val="0"/>
                <w:color w:val="1F2937"/>
                <w:sz w:val="14"/>
              </w:rPr>
              <w:t>386.438</w:t>
            </w:r>
          </w:p>
        </w:tc>
        <w:tc>
          <w:tcPr>
            <w:tcW w:type="dxa" w:w="1152"/>
            <w:vAlign w:val="center"/>
          </w:tcPr>
          <w:p>
            <w:pPr>
              <w:spacing w:before="20" w:after="20" w:line="252" w:lineRule="auto"/>
              <w:jc w:val="center"/>
            </w:pPr>
            <w:r>
              <w:rPr>
                <w:rFonts w:ascii="Calibri" w:hAnsi="Calibri" w:eastAsia="PingFang SC"/>
                <w:b w:val="0"/>
                <w:color w:val="1F2937"/>
                <w:sz w:val="14"/>
              </w:rPr>
              <w:t>0.000</w:t>
            </w:r>
          </w:p>
        </w:tc>
        <w:tc>
          <w:tcPr>
            <w:tcW w:type="dxa" w:w="1152"/>
            <w:vAlign w:val="center"/>
          </w:tcPr>
          <w:p>
            <w:pPr>
              <w:spacing w:before="20" w:after="20" w:line="252" w:lineRule="auto"/>
              <w:jc w:val="center"/>
            </w:pPr>
            <w:r>
              <w:rPr>
                <w:rFonts w:ascii="Calibri" w:hAnsi="Calibri" w:eastAsia="PingFang SC"/>
                <w:b w:val="0"/>
                <w:color w:val="1F2937"/>
                <w:sz w:val="14"/>
              </w:rPr>
              <w:t>1.016</w:t>
            </w:r>
          </w:p>
        </w:tc>
        <w:tc>
          <w:tcPr>
            <w:tcW w:type="dxa" w:w="1440"/>
            <w:vAlign w:val="center"/>
          </w:tcPr>
          <w:p>
            <w:pPr>
              <w:spacing w:before="20" w:after="20" w:line="252" w:lineRule="auto"/>
              <w:jc w:val="center"/>
            </w:pPr>
            <w:r>
              <w:rPr>
                <w:rFonts w:ascii="Calibri" w:hAnsi="Calibri" w:eastAsia="PingFang SC"/>
                <w:b w:val="0"/>
                <w:color w:val="1F2937"/>
                <w:sz w:val="14"/>
              </w:rPr>
              <w:t>cost comparison</w:t>
            </w:r>
          </w:p>
        </w:tc>
      </w:tr>
      <w:tr>
        <w:tc>
          <w:tcPr>
            <w:tcW w:type="dxa" w:w="1872"/>
            <w:vAlign w:val="center"/>
          </w:tcPr>
          <w:p>
            <w:pPr>
              <w:spacing w:before="20" w:after="20" w:line="252" w:lineRule="auto"/>
              <w:jc w:val="left"/>
            </w:pPr>
            <w:r>
              <w:rPr>
                <w:rFonts w:ascii="Calibri" w:hAnsi="Calibri" w:eastAsia="PingFang SC"/>
                <w:b w:val="0"/>
                <w:color w:val="1F2937"/>
                <w:sz w:val="14"/>
              </w:rPr>
              <w:t>Transformer u(t), 6 trainings</w:t>
            </w:r>
          </w:p>
        </w:tc>
        <w:tc>
          <w:tcPr>
            <w:tcW w:type="dxa" w:w="2808"/>
            <w:vAlign w:val="center"/>
          </w:tcPr>
          <w:p>
            <w:pPr>
              <w:spacing w:before="20" w:after="20" w:line="252" w:lineRule="auto"/>
              <w:jc w:val="left"/>
            </w:pPr>
            <w:r>
              <w:rPr>
                <w:rFonts w:ascii="Calibri" w:hAnsi="Calibri" w:eastAsia="PingFang SC"/>
                <w:b w:val="0"/>
                <w:color w:val="1F2937"/>
                <w:sz w:val="14"/>
              </w:rPr>
              <w:t>manuscript PMP/KKT optimality-gap loss</w:t>
            </w:r>
          </w:p>
        </w:tc>
        <w:tc>
          <w:tcPr>
            <w:tcW w:type="dxa" w:w="1152"/>
            <w:vAlign w:val="center"/>
          </w:tcPr>
          <w:p>
            <w:pPr>
              <w:spacing w:before="20" w:after="20" w:line="252" w:lineRule="auto"/>
              <w:jc w:val="center"/>
            </w:pPr>
            <w:r>
              <w:rPr>
                <w:rFonts w:ascii="Calibri" w:hAnsi="Calibri" w:eastAsia="PingFang SC"/>
                <w:b w:val="0"/>
                <w:color w:val="1F2937"/>
                <w:sz w:val="14"/>
              </w:rPr>
              <w:t>386.738 +/- 0.045</w:t>
            </w:r>
          </w:p>
        </w:tc>
        <w:tc>
          <w:tcPr>
            <w:tcW w:type="dxa" w:w="1152"/>
            <w:vAlign w:val="center"/>
          </w:tcPr>
          <w:p>
            <w:pPr>
              <w:spacing w:before="20" w:after="20" w:line="252" w:lineRule="auto"/>
              <w:jc w:val="center"/>
            </w:pPr>
            <w:r>
              <w:rPr>
                <w:rFonts w:ascii="Calibri" w:hAnsi="Calibri" w:eastAsia="PingFang SC"/>
                <w:b w:val="0"/>
                <w:color w:val="1F2937"/>
                <w:sz w:val="14"/>
              </w:rPr>
              <w:t>0.300 +/- 0.045</w:t>
            </w:r>
          </w:p>
        </w:tc>
        <w:tc>
          <w:tcPr>
            <w:tcW w:type="dxa" w:w="1152"/>
            <w:vAlign w:val="center"/>
          </w:tcPr>
          <w:p>
            <w:pPr>
              <w:spacing w:before="20" w:after="20" w:line="252" w:lineRule="auto"/>
              <w:jc w:val="center"/>
            </w:pPr>
            <w:r>
              <w:rPr>
                <w:rFonts w:ascii="Calibri" w:hAnsi="Calibri" w:eastAsia="PingFang SC"/>
                <w:b w:val="0"/>
                <w:color w:val="1F2937"/>
                <w:sz w:val="14"/>
              </w:rPr>
              <w:t>0.463 +/- 0.148</w:t>
            </w:r>
          </w:p>
        </w:tc>
        <w:tc>
          <w:tcPr>
            <w:tcW w:type="dxa" w:w="1440"/>
            <w:vAlign w:val="center"/>
          </w:tcPr>
          <w:p>
            <w:pPr>
              <w:spacing w:before="20" w:after="20" w:line="252" w:lineRule="auto"/>
              <w:jc w:val="center"/>
            </w:pPr>
            <w:r>
              <w:rPr>
                <w:rFonts w:ascii="Calibri" w:hAnsi="Calibri" w:eastAsia="PingFang SC"/>
                <w:b w:val="0"/>
                <w:color w:val="1F2937"/>
                <w:sz w:val="14"/>
              </w:rPr>
              <w:t>reproduction</w:t>
            </w:r>
          </w:p>
        </w:tc>
      </w:tr>
      <w:tr>
        <w:tc>
          <w:tcPr>
            <w:tcW w:type="dxa" w:w="1872"/>
            <w:vAlign w:val="center"/>
          </w:tcPr>
          <w:p>
            <w:pPr>
              <w:spacing w:before="20" w:after="20" w:line="252" w:lineRule="auto"/>
              <w:jc w:val="left"/>
            </w:pPr>
            <w:r>
              <w:rPr>
                <w:rFonts w:ascii="Calibri" w:hAnsi="Calibri" w:eastAsia="PingFang SC"/>
                <w:b w:val="0"/>
                <w:color w:val="1F2937"/>
                <w:sz w:val="14"/>
              </w:rPr>
              <w:t>best Transformer training</w:t>
            </w:r>
          </w:p>
        </w:tc>
        <w:tc>
          <w:tcPr>
            <w:tcW w:type="dxa" w:w="2808"/>
            <w:vAlign w:val="center"/>
          </w:tcPr>
          <w:p>
            <w:pPr>
              <w:spacing w:before="20" w:after="20" w:line="252" w:lineRule="auto"/>
              <w:jc w:val="left"/>
            </w:pPr>
            <w:r>
              <w:rPr>
                <w:rFonts w:ascii="Calibri" w:hAnsi="Calibri" w:eastAsia="PingFang SC"/>
                <w:b w:val="0"/>
                <w:color w:val="1F2937"/>
                <w:sz w:val="14"/>
              </w:rPr>
              <w:t>same as above</w:t>
            </w:r>
          </w:p>
        </w:tc>
        <w:tc>
          <w:tcPr>
            <w:tcW w:type="dxa" w:w="1152"/>
            <w:vAlign w:val="center"/>
          </w:tcPr>
          <w:p>
            <w:pPr>
              <w:spacing w:before="20" w:after="20" w:line="252" w:lineRule="auto"/>
              <w:jc w:val="center"/>
            </w:pPr>
            <w:r>
              <w:rPr>
                <w:rFonts w:ascii="Calibri" w:hAnsi="Calibri" w:eastAsia="PingFang SC"/>
                <w:b w:val="0"/>
                <w:color w:val="1F2937"/>
                <w:sz w:val="14"/>
              </w:rPr>
              <w:t>386.695</w:t>
            </w:r>
          </w:p>
        </w:tc>
        <w:tc>
          <w:tcPr>
            <w:tcW w:type="dxa" w:w="1152"/>
            <w:vAlign w:val="center"/>
          </w:tcPr>
          <w:p>
            <w:pPr>
              <w:spacing w:before="20" w:after="20" w:line="252" w:lineRule="auto"/>
              <w:jc w:val="center"/>
            </w:pPr>
            <w:r>
              <w:rPr>
                <w:rFonts w:ascii="Calibri" w:hAnsi="Calibri" w:eastAsia="PingFang SC"/>
                <w:b w:val="0"/>
                <w:color w:val="1F2937"/>
                <w:sz w:val="14"/>
              </w:rPr>
              <w:t>0.257</w:t>
            </w:r>
          </w:p>
        </w:tc>
        <w:tc>
          <w:tcPr>
            <w:tcW w:type="dxa" w:w="1152"/>
            <w:vAlign w:val="center"/>
          </w:tcPr>
          <w:p>
            <w:pPr>
              <w:spacing w:before="20" w:after="20" w:line="252" w:lineRule="auto"/>
              <w:jc w:val="center"/>
            </w:pPr>
            <w:r>
              <w:rPr>
                <w:rFonts w:ascii="Calibri" w:hAnsi="Calibri" w:eastAsia="PingFang SC"/>
                <w:b w:val="0"/>
                <w:color w:val="1F2937"/>
                <w:sz w:val="14"/>
              </w:rPr>
              <w:t>0.207</w:t>
            </w:r>
          </w:p>
        </w:tc>
        <w:tc>
          <w:tcPr>
            <w:tcW w:type="dxa" w:w="1440"/>
            <w:vAlign w:val="center"/>
          </w:tcPr>
          <w:p>
            <w:pPr>
              <w:spacing w:before="20" w:after="20" w:line="252" w:lineRule="auto"/>
              <w:jc w:val="center"/>
            </w:pPr>
            <w:r>
              <w:rPr>
                <w:rFonts w:ascii="Calibri" w:hAnsi="Calibri" w:eastAsia="PingFang SC"/>
                <w:b w:val="0"/>
                <w:color w:val="1F2937"/>
                <w:sz w:val="14"/>
              </w:rPr>
              <w:t>best Transformer result</w:t>
            </w:r>
          </w:p>
        </w:tc>
      </w:tr>
      <w:tr>
        <w:tc>
          <w:tcPr>
            <w:tcW w:type="dxa" w:w="1872"/>
            <w:vAlign w:val="center"/>
          </w:tcPr>
          <w:p>
            <w:pPr>
              <w:spacing w:before="20" w:after="20" w:line="252" w:lineRule="auto"/>
              <w:jc w:val="left"/>
            </w:pPr>
            <w:r>
              <w:rPr>
                <w:rFonts w:ascii="Calibri" w:hAnsi="Calibri" w:eastAsia="PingFang SC"/>
                <w:b w:val="0"/>
                <w:color w:val="1F2937"/>
                <w:sz w:val="14"/>
              </w:rPr>
              <w:t>Neural-PMP [3]</w:t>
            </w:r>
          </w:p>
        </w:tc>
        <w:tc>
          <w:tcPr>
            <w:tcW w:type="dxa" w:w="2808"/>
            <w:vAlign w:val="center"/>
          </w:tcPr>
          <w:p>
            <w:pPr>
              <w:spacing w:before="20" w:after="20" w:line="252" w:lineRule="auto"/>
              <w:jc w:val="left"/>
            </w:pPr>
            <w:r>
              <w:rPr>
                <w:rFonts w:ascii="Calibri" w:hAnsi="Calibri" w:eastAsia="PingFang SC"/>
                <w:b w:val="0"/>
                <w:color w:val="1F2937"/>
                <w:sz w:val="14"/>
              </w:rPr>
              <w:t>PMP-gradient update for u(t) with known dynamics</w:t>
            </w:r>
          </w:p>
        </w:tc>
        <w:tc>
          <w:tcPr>
            <w:tcW w:type="dxa" w:w="1152"/>
            <w:vAlign w:val="center"/>
          </w:tcPr>
          <w:p>
            <w:pPr>
              <w:spacing w:before="20" w:after="20" w:line="252" w:lineRule="auto"/>
              <w:jc w:val="center"/>
            </w:pPr>
            <w:r>
              <w:rPr>
                <w:rFonts w:ascii="Calibri" w:hAnsi="Calibri" w:eastAsia="PingFang SC"/>
                <w:b w:val="0"/>
                <w:color w:val="1F2937"/>
                <w:sz w:val="14"/>
              </w:rPr>
              <w:t>386.986</w:t>
            </w:r>
          </w:p>
        </w:tc>
        <w:tc>
          <w:tcPr>
            <w:tcW w:type="dxa" w:w="1152"/>
            <w:vAlign w:val="center"/>
          </w:tcPr>
          <w:p>
            <w:pPr>
              <w:spacing w:before="20" w:after="20" w:line="252" w:lineRule="auto"/>
              <w:jc w:val="center"/>
            </w:pPr>
            <w:r>
              <w:rPr>
                <w:rFonts w:ascii="Calibri" w:hAnsi="Calibri" w:eastAsia="PingFang SC"/>
                <w:b w:val="0"/>
                <w:color w:val="1F2937"/>
                <w:sz w:val="14"/>
              </w:rPr>
              <w:t>0.548</w:t>
            </w:r>
          </w:p>
        </w:tc>
        <w:tc>
          <w:tcPr>
            <w:tcW w:type="dxa" w:w="1152"/>
            <w:vAlign w:val="center"/>
          </w:tcPr>
          <w:p>
            <w:pPr>
              <w:spacing w:before="20" w:after="20" w:line="252" w:lineRule="auto"/>
              <w:jc w:val="center"/>
            </w:pPr>
            <w:r>
              <w:rPr>
                <w:rFonts w:ascii="Calibri" w:hAnsi="Calibri" w:eastAsia="PingFang SC"/>
                <w:b w:val="0"/>
                <w:color w:val="1F2937"/>
                <w:sz w:val="14"/>
              </w:rPr>
              <w:t>8.574</w:t>
            </w:r>
          </w:p>
        </w:tc>
        <w:tc>
          <w:tcPr>
            <w:tcW w:type="dxa" w:w="1440"/>
            <w:vAlign w:val="center"/>
          </w:tcPr>
          <w:p>
            <w:pPr>
              <w:spacing w:before="20" w:after="20" w:line="252" w:lineRule="auto"/>
              <w:jc w:val="center"/>
            </w:pPr>
            <w:r>
              <w:rPr>
                <w:rFonts w:ascii="Calibri" w:hAnsi="Calibri" w:eastAsia="PingFang SC"/>
                <w:b w:val="0"/>
                <w:color w:val="1F2937"/>
                <w:sz w:val="14"/>
              </w:rPr>
              <w:t>related-work comparison</w:t>
            </w:r>
          </w:p>
        </w:tc>
      </w:tr>
      <w:tr>
        <w:tc>
          <w:tcPr>
            <w:tcW w:type="dxa" w:w="1872"/>
            <w:vAlign w:val="center"/>
          </w:tcPr>
          <w:p>
            <w:pPr>
              <w:spacing w:before="20" w:after="20" w:line="252" w:lineRule="auto"/>
              <w:jc w:val="left"/>
            </w:pPr>
            <w:r>
              <w:rPr>
                <w:rFonts w:ascii="Calibri" w:hAnsi="Calibri" w:eastAsia="PingFang SC"/>
                <w:b w:val="0"/>
                <w:color w:val="1F2937"/>
                <w:sz w:val="14"/>
              </w:rPr>
              <w:t>constant u=1.5</w:t>
            </w:r>
          </w:p>
        </w:tc>
        <w:tc>
          <w:tcPr>
            <w:tcW w:type="dxa" w:w="2808"/>
            <w:vAlign w:val="center"/>
          </w:tcPr>
          <w:p>
            <w:pPr>
              <w:spacing w:before="20" w:after="20" w:line="252" w:lineRule="auto"/>
              <w:jc w:val="left"/>
            </w:pPr>
            <w:r>
              <w:rPr>
                <w:rFonts w:ascii="Calibri" w:hAnsi="Calibri" w:eastAsia="PingFang SC"/>
                <w:b w:val="0"/>
                <w:color w:val="1F2937"/>
                <w:sz w:val="14"/>
              </w:rPr>
              <w:t>fixed control</w:t>
            </w:r>
          </w:p>
        </w:tc>
        <w:tc>
          <w:tcPr>
            <w:tcW w:type="dxa" w:w="1152"/>
            <w:vAlign w:val="center"/>
          </w:tcPr>
          <w:p>
            <w:pPr>
              <w:spacing w:before="20" w:after="20" w:line="252" w:lineRule="auto"/>
              <w:jc w:val="center"/>
            </w:pPr>
            <w:r>
              <w:rPr>
                <w:rFonts w:ascii="Calibri" w:hAnsi="Calibri" w:eastAsia="PingFang SC"/>
                <w:b w:val="0"/>
                <w:color w:val="1F2937"/>
                <w:sz w:val="14"/>
              </w:rPr>
              <w:t>400.403</w:t>
            </w:r>
          </w:p>
        </w:tc>
        <w:tc>
          <w:tcPr>
            <w:tcW w:type="dxa" w:w="1152"/>
            <w:vAlign w:val="center"/>
          </w:tcPr>
          <w:p>
            <w:pPr>
              <w:spacing w:before="20" w:after="20" w:line="252" w:lineRule="auto"/>
              <w:jc w:val="center"/>
            </w:pPr>
            <w:r>
              <w:rPr>
                <w:rFonts w:ascii="Calibri" w:hAnsi="Calibri" w:eastAsia="PingFang SC"/>
                <w:b w:val="0"/>
                <w:color w:val="1F2937"/>
                <w:sz w:val="14"/>
              </w:rPr>
              <w:t>13.965</w:t>
            </w:r>
          </w:p>
        </w:tc>
        <w:tc>
          <w:tcPr>
            <w:tcW w:type="dxa" w:w="1152"/>
            <w:vAlign w:val="center"/>
          </w:tcPr>
          <w:p>
            <w:pPr>
              <w:spacing w:before="20" w:after="20" w:line="252" w:lineRule="auto"/>
              <w:jc w:val="center"/>
            </w:pPr>
            <w:r>
              <w:rPr>
                <w:rFonts w:ascii="Calibri" w:hAnsi="Calibri" w:eastAsia="PingFang SC"/>
                <w:b w:val="0"/>
                <w:color w:val="1F2937"/>
                <w:sz w:val="14"/>
              </w:rPr>
              <w:t>76.556</w:t>
            </w:r>
          </w:p>
        </w:tc>
        <w:tc>
          <w:tcPr>
            <w:tcW w:type="dxa" w:w="1440"/>
            <w:vAlign w:val="center"/>
          </w:tcPr>
          <w:p>
            <w:pPr>
              <w:spacing w:before="20" w:after="20" w:line="252" w:lineRule="auto"/>
              <w:jc w:val="center"/>
            </w:pPr>
            <w:r>
              <w:rPr>
                <w:rFonts w:ascii="Calibri" w:hAnsi="Calibri" w:eastAsia="PingFang SC"/>
                <w:b w:val="0"/>
                <w:color w:val="1F2937"/>
                <w:sz w:val="14"/>
              </w:rPr>
              <w:t>simple control</w:t>
            </w:r>
          </w:p>
        </w:tc>
      </w:tr>
      <w:tr>
        <w:tc>
          <w:tcPr>
            <w:tcW w:type="dxa" w:w="1872"/>
            <w:vAlign w:val="center"/>
          </w:tcPr>
          <w:p>
            <w:pPr>
              <w:spacing w:before="20" w:after="20" w:line="252" w:lineRule="auto"/>
              <w:jc w:val="left"/>
            </w:pPr>
            <w:r>
              <w:rPr>
                <w:rFonts w:ascii="Calibri" w:hAnsi="Calibri" w:eastAsia="PingFang SC"/>
                <w:b w:val="0"/>
                <w:color w:val="1F2937"/>
                <w:sz w:val="14"/>
              </w:rPr>
              <w:t>provided repository output</w:t>
            </w:r>
          </w:p>
        </w:tc>
        <w:tc>
          <w:tcPr>
            <w:tcW w:type="dxa" w:w="2808"/>
            <w:vAlign w:val="center"/>
          </w:tcPr>
          <w:p>
            <w:pPr>
              <w:spacing w:before="20" w:after="20" w:line="252" w:lineRule="auto"/>
              <w:jc w:val="left"/>
            </w:pPr>
            <w:r>
              <w:rPr>
                <w:rFonts w:ascii="Calibri" w:hAnsi="Calibri" w:eastAsia="PingFang SC"/>
                <w:b w:val="0"/>
                <w:color w:val="1F2937"/>
                <w:sz w:val="14"/>
              </w:rPr>
              <w:t>provided s.csv</w:t>
            </w:r>
          </w:p>
        </w:tc>
        <w:tc>
          <w:tcPr>
            <w:tcW w:type="dxa" w:w="1152"/>
            <w:vAlign w:val="center"/>
          </w:tcPr>
          <w:p>
            <w:pPr>
              <w:spacing w:before="20" w:after="20" w:line="252" w:lineRule="auto"/>
              <w:jc w:val="center"/>
            </w:pPr>
            <w:r>
              <w:rPr>
                <w:rFonts w:ascii="Calibri" w:hAnsi="Calibri" w:eastAsia="PingFang SC"/>
                <w:b w:val="0"/>
                <w:color w:val="1F2937"/>
                <w:sz w:val="14"/>
              </w:rPr>
              <w:t>422.670</w:t>
            </w:r>
          </w:p>
        </w:tc>
        <w:tc>
          <w:tcPr>
            <w:tcW w:type="dxa" w:w="1152"/>
            <w:vAlign w:val="center"/>
          </w:tcPr>
          <w:p>
            <w:pPr>
              <w:spacing w:before="20" w:after="20" w:line="252" w:lineRule="auto"/>
              <w:jc w:val="center"/>
            </w:pPr>
            <w:r>
              <w:rPr>
                <w:rFonts w:ascii="Calibri" w:hAnsi="Calibri" w:eastAsia="PingFang SC"/>
                <w:b w:val="0"/>
                <w:color w:val="1F2937"/>
                <w:sz w:val="14"/>
              </w:rPr>
              <w:t>36.232</w:t>
            </w:r>
          </w:p>
        </w:tc>
        <w:tc>
          <w:tcPr>
            <w:tcW w:type="dxa" w:w="1152"/>
            <w:vAlign w:val="center"/>
          </w:tcPr>
          <w:p>
            <w:pPr>
              <w:spacing w:before="20" w:after="20" w:line="252" w:lineRule="auto"/>
              <w:jc w:val="center"/>
            </w:pPr>
            <w:r>
              <w:rPr>
                <w:rFonts w:ascii="Calibri" w:hAnsi="Calibri" w:eastAsia="PingFang SC"/>
                <w:b w:val="0"/>
                <w:color w:val="1F2937"/>
                <w:sz w:val="14"/>
              </w:rPr>
              <w:t>433.349</w:t>
            </w:r>
          </w:p>
        </w:tc>
        <w:tc>
          <w:tcPr>
            <w:tcW w:type="dxa" w:w="1440"/>
            <w:vAlign w:val="center"/>
          </w:tcPr>
          <w:p>
            <w:pPr>
              <w:spacing w:before="20" w:after="20" w:line="252" w:lineRule="auto"/>
              <w:jc w:val="center"/>
            </w:pPr>
            <w:r>
              <w:rPr>
                <w:rFonts w:ascii="Calibri" w:hAnsi="Calibri" w:eastAsia="PingFang SC"/>
                <w:b w:val="0"/>
                <w:color w:val="1F2937"/>
                <w:sz w:val="14"/>
              </w:rPr>
              <w:t>provided output file</w:t>
            </w:r>
          </w:p>
        </w:tc>
      </w:tr>
    </w:tbl>
    <w:p>
      <w:pPr>
        <w:spacing w:after="80"/>
      </w:pPr>
    </w:p>
    <w:p>
      <w:pPr>
        <w:spacing w:after="120" w:line="252" w:lineRule="auto"/>
      </w:pPr>
      <w:r>
        <w:rPr>
          <w:rFonts w:ascii="Calibri" w:hAnsi="Calibri" w:eastAsia="PingFang SC"/>
          <w:b w:val="0"/>
          <w:color w:val="52606D"/>
          <w:sz w:val="16"/>
        </w:rPr>
        <w:t>* For comparison, after u(t) is fixed, N(t) and J are recomputed on a common fine time mesh using fourth-order Runge-Kutta. This is only the numerical evaluation of the manuscript objective.</w:t>
      </w:r>
    </w:p>
    <w:p>
      <w:pPr>
        <w:spacing w:after="120" w:line="264" w:lineRule="auto"/>
      </w:pPr>
      <w:r>
        <w:rPr>
          <w:rFonts w:ascii="Calibri" w:hAnsi="Calibri" w:eastAsia="PingFang SC"/>
          <w:b w:val="0"/>
          <w:color w:val="1F2937"/>
          <w:sz w:val="21"/>
        </w:rPr>
        <w:t>The Transformer trainings are stable across independent initializations and remain close to direct minimization of J. Compared with Neural-PMP [3], the Transformer has both lower objective J and a smaller PMP/KKT optimality gap in this fixed-initial-condition u(t) experiment.</w:t>
      </w:r>
    </w:p>
    <w:p>
      <w:pPr>
        <w:spacing w:before="80" w:after="60"/>
        <w:jc w:val="center"/>
      </w:pPr>
      <w:r>
        <w:drawing>
          <wp:inline xmlns:a="http://schemas.openxmlformats.org/drawingml/2006/main" xmlns:pic="http://schemas.openxmlformats.org/drawingml/2006/picture">
            <wp:extent cx="5715000" cy="3463765"/>
            <wp:docPr id="9" name="Picture 9"/>
            <wp:cNvGraphicFramePr>
              <a:graphicFrameLocks noChangeAspect="1"/>
            </wp:cNvGraphicFramePr>
            <a:graphic>
              <a:graphicData uri="http://schemas.openxmlformats.org/drawingml/2006/picture">
                <pic:pic>
                  <pic:nvPicPr>
                    <pic:cNvPr id="0" name="transformer_seed_loss_trajectories.png"/>
                    <pic:cNvPicPr/>
                  </pic:nvPicPr>
                  <pic:blipFill>
                    <a:blip r:embed="rId18"/>
                    <a:stretch>
                      <a:fillRect/>
                    </a:stretch>
                  </pic:blipFill>
                  <pic:spPr>
                    <a:xfrm>
                      <a:off x="0" y="0"/>
                      <a:ext cx="5715000" cy="3463765"/>
                    </a:xfrm>
                    <a:prstGeom prst="rect"/>
                  </pic:spPr>
                </pic:pic>
              </a:graphicData>
            </a:graphic>
          </wp:inline>
        </w:drawing>
      </w:r>
    </w:p>
    <w:p>
      <w:pPr>
        <w:spacing w:after="160"/>
        <w:jc w:val="center"/>
      </w:pPr>
      <w:r>
        <w:rPr>
          <w:rFonts w:ascii="Calibri" w:hAnsi="Calibri" w:eastAsia="PingFang SC"/>
          <w:b w:val="0"/>
          <w:color w:val="52606D"/>
          <w:sz w:val="18"/>
        </w:rPr>
        <w:t>Figure 5. Convergence of the Transformer u(t) PMP/KKT training loss across independent trainings.</w:t>
      </w:r>
    </w:p>
    <w:p>
      <w:pPr>
        <w:spacing w:before="80" w:after="60"/>
        <w:jc w:val="center"/>
      </w:pPr>
      <w:r>
        <w:drawing>
          <wp:inline xmlns:a="http://schemas.openxmlformats.org/drawingml/2006/main" xmlns:pic="http://schemas.openxmlformats.org/drawingml/2006/picture">
            <wp:extent cx="5715000" cy="3391510"/>
            <wp:docPr id="10" name="Picture 10"/>
            <wp:cNvGraphicFramePr>
              <a:graphicFrameLocks noChangeAspect="1"/>
            </wp:cNvGraphicFramePr>
            <a:graphic>
              <a:graphicData uri="http://schemas.openxmlformats.org/drawingml/2006/picture">
                <pic:pic>
                  <pic:nvPicPr>
                    <pic:cNvPr id="0" name="objective_gap_comparison.png"/>
                    <pic:cNvPicPr/>
                  </pic:nvPicPr>
                  <pic:blipFill>
                    <a:blip r:embed="rId19"/>
                    <a:stretch>
                      <a:fillRect/>
                    </a:stretch>
                  </pic:blipFill>
                  <pic:spPr>
                    <a:xfrm>
                      <a:off x="0" y="0"/>
                      <a:ext cx="5715000" cy="3391510"/>
                    </a:xfrm>
                    <a:prstGeom prst="rect"/>
                  </pic:spPr>
                </pic:pic>
              </a:graphicData>
            </a:graphic>
          </wp:inline>
        </w:drawing>
      </w:r>
    </w:p>
    <w:p>
      <w:pPr>
        <w:spacing w:after="160"/>
        <w:jc w:val="center"/>
      </w:pPr>
      <w:r>
        <w:rPr>
          <w:rFonts w:ascii="Calibri" w:hAnsi="Calibri" w:eastAsia="PingFang SC"/>
          <w:b w:val="0"/>
          <w:color w:val="52606D"/>
          <w:sz w:val="18"/>
        </w:rPr>
        <w:t>Figure 6. Difference in J from direct minimization for the main u(t) comparison.</w:t>
      </w:r>
    </w:p>
    <w:p>
      <w:pPr>
        <w:spacing w:before="80" w:after="60"/>
        <w:jc w:val="center"/>
      </w:pPr>
      <w:r>
        <w:drawing>
          <wp:inline xmlns:a="http://schemas.openxmlformats.org/drawingml/2006/main" xmlns:pic="http://schemas.openxmlformats.org/drawingml/2006/picture">
            <wp:extent cx="5806440" cy="3776072"/>
            <wp:docPr id="11" name="Picture 11"/>
            <wp:cNvGraphicFramePr>
              <a:graphicFrameLocks noChangeAspect="1"/>
            </wp:cNvGraphicFramePr>
            <a:graphic>
              <a:graphicData uri="http://schemas.openxmlformats.org/drawingml/2006/picture">
                <pic:pic>
                  <pic:nvPicPr>
                    <pic:cNvPr id="0" name="neural_pmp_ut_nt.png"/>
                    <pic:cNvPicPr/>
                  </pic:nvPicPr>
                  <pic:blipFill>
                    <a:blip r:embed="rId20"/>
                    <a:stretch>
                      <a:fillRect/>
                    </a:stretch>
                  </pic:blipFill>
                  <pic:spPr>
                    <a:xfrm>
                      <a:off x="0" y="0"/>
                      <a:ext cx="5806440" cy="3776072"/>
                    </a:xfrm>
                    <a:prstGeom prst="rect"/>
                  </pic:spPr>
                </pic:pic>
              </a:graphicData>
            </a:graphic>
          </wp:inline>
        </w:drawing>
      </w:r>
    </w:p>
    <w:p>
      <w:pPr>
        <w:spacing w:after="160"/>
        <w:jc w:val="center"/>
      </w:pPr>
      <w:r>
        <w:rPr>
          <w:rFonts w:ascii="Calibri" w:hAnsi="Calibri" w:eastAsia="PingFang SC"/>
          <w:b w:val="0"/>
          <w:color w:val="52606D"/>
          <w:sz w:val="18"/>
        </w:rPr>
        <w:t>Figure 7. Neural-PMP [3]: control sequence and resulting state trajectory.</w:t>
      </w:r>
    </w:p>
    <w:p>
      <w:pPr>
        <w:spacing w:before="80" w:after="60"/>
        <w:jc w:val="center"/>
      </w:pPr>
      <w:r>
        <w:drawing>
          <wp:inline xmlns:a="http://schemas.openxmlformats.org/drawingml/2006/main" xmlns:pic="http://schemas.openxmlformats.org/drawingml/2006/picture">
            <wp:extent cx="5806440" cy="2408575"/>
            <wp:docPr id="12" name="Picture 12"/>
            <wp:cNvGraphicFramePr>
              <a:graphicFrameLocks noChangeAspect="1"/>
            </wp:cNvGraphicFramePr>
            <a:graphic>
              <a:graphicData uri="http://schemas.openxmlformats.org/drawingml/2006/picture">
                <pic:pic>
                  <pic:nvPicPr>
                    <pic:cNvPr id="0" name="neural_pmp_training_curve.png"/>
                    <pic:cNvPicPr/>
                  </pic:nvPicPr>
                  <pic:blipFill>
                    <a:blip r:embed="rId21"/>
                    <a:stretch>
                      <a:fillRect/>
                    </a:stretch>
                  </pic:blipFill>
                  <pic:spPr>
                    <a:xfrm>
                      <a:off x="0" y="0"/>
                      <a:ext cx="5806440" cy="2408575"/>
                    </a:xfrm>
                    <a:prstGeom prst="rect"/>
                  </pic:spPr>
                </pic:pic>
              </a:graphicData>
            </a:graphic>
          </wp:inline>
        </w:drawing>
      </w:r>
    </w:p>
    <w:p>
      <w:pPr>
        <w:spacing w:after="160"/>
        <w:jc w:val="center"/>
      </w:pPr>
      <w:r>
        <w:rPr>
          <w:rFonts w:ascii="Calibri" w:hAnsi="Calibri" w:eastAsia="PingFang SC"/>
          <w:b w:val="0"/>
          <w:color w:val="52606D"/>
          <w:sz w:val="18"/>
        </w:rPr>
        <w:t>Figure 8. Neural-PMP [3]: selected training trajectories.</w:t>
      </w:r>
    </w:p>
    <w:p>
      <w:pPr>
        <w:spacing w:before="280" w:after="100"/>
      </w:pPr>
      <w:r>
        <w:rPr>
          <w:rFonts w:ascii="Calibri" w:hAnsi="Calibri" w:eastAsia="PingFang SC"/>
          <w:b/>
          <w:color w:val="2E74B5"/>
          <w:sz w:val="30"/>
        </w:rPr>
        <w:t>5. Parameter Sensitivity</w:t>
      </w:r>
    </w:p>
    <w:p>
      <w:pPr>
        <w:spacing w:after="120" w:line="264" w:lineRule="auto"/>
      </w:pPr>
      <w:r>
        <w:rPr>
          <w:rFonts w:ascii="Calibri" w:hAnsi="Calibri" w:eastAsia="PingFang SC"/>
          <w:b w:val="0"/>
          <w:color w:val="1F2937"/>
          <w:sz w:val="21"/>
        </w:rPr>
        <w:t>We also tested whether the u(t) reproduction is tied to the nominal parameter choice. In each row below, one parameter is changed while the others remain at the reported setting. The Transformer result is averaged over three independent trainings; Neural-PMP [3] is the best result from the same search protocol.</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655"/>
            <w:shd w:fill="F2F4F7"/>
            <w:vAlign w:val="center"/>
          </w:tcPr>
          <w:p>
            <w:pPr>
              <w:spacing w:before="20" w:after="20" w:line="252" w:lineRule="auto"/>
              <w:jc w:val="center"/>
            </w:pPr>
            <w:r>
              <w:rPr>
                <w:rFonts w:ascii="Calibri" w:hAnsi="Calibri" w:eastAsia="PingFang SC"/>
                <w:b/>
                <w:color w:val="1F2937"/>
                <w:sz w:val="14"/>
              </w:rPr>
              <w:t>condition</w:t>
            </w:r>
          </w:p>
        </w:tc>
        <w:tc>
          <w:tcPr>
            <w:tcW w:type="dxa" w:w="1296"/>
            <w:shd w:fill="F2F4F7"/>
            <w:vAlign w:val="center"/>
          </w:tcPr>
          <w:p>
            <w:pPr>
              <w:spacing w:before="20" w:after="20" w:line="252" w:lineRule="auto"/>
              <w:jc w:val="center"/>
            </w:pPr>
            <w:r>
              <w:rPr>
                <w:rFonts w:ascii="Calibri" w:hAnsi="Calibri" w:eastAsia="PingFang SC"/>
                <w:b/>
                <w:color w:val="1F2937"/>
                <w:sz w:val="14"/>
              </w:rPr>
              <w:t>direct J</w:t>
            </w:r>
          </w:p>
        </w:tc>
        <w:tc>
          <w:tcPr>
            <w:tcW w:type="dxa" w:w="2088"/>
            <w:shd w:fill="F2F4F7"/>
            <w:vAlign w:val="center"/>
          </w:tcPr>
          <w:p>
            <w:pPr>
              <w:spacing w:before="20" w:after="20" w:line="252" w:lineRule="auto"/>
              <w:jc w:val="center"/>
            </w:pPr>
            <w:r>
              <w:rPr>
                <w:rFonts w:ascii="Calibri" w:hAnsi="Calibri" w:eastAsia="PingFang SC"/>
                <w:b/>
                <w:color w:val="1F2937"/>
                <w:sz w:val="14"/>
              </w:rPr>
              <w:t>Transformer J</w:t>
            </w:r>
          </w:p>
        </w:tc>
        <w:tc>
          <w:tcPr>
            <w:tcW w:type="dxa" w:w="1655"/>
            <w:shd w:fill="F2F4F7"/>
            <w:vAlign w:val="center"/>
          </w:tcPr>
          <w:p>
            <w:pPr>
              <w:spacing w:before="20" w:after="20" w:line="252" w:lineRule="auto"/>
              <w:jc w:val="center"/>
            </w:pPr>
            <w:r>
              <w:rPr>
                <w:rFonts w:ascii="Calibri" w:hAnsi="Calibri" w:eastAsia="PingFang SC"/>
                <w:b/>
                <w:color w:val="1F2937"/>
                <w:sz w:val="14"/>
              </w:rPr>
              <w:t>Transformer gap</w:t>
            </w:r>
          </w:p>
        </w:tc>
        <w:tc>
          <w:tcPr>
            <w:tcW w:type="dxa" w:w="1655"/>
            <w:shd w:fill="F2F4F7"/>
            <w:vAlign w:val="center"/>
          </w:tcPr>
          <w:p>
            <w:pPr>
              <w:spacing w:before="20" w:after="20" w:line="252" w:lineRule="auto"/>
              <w:jc w:val="center"/>
            </w:pPr>
            <w:r>
              <w:rPr>
                <w:rFonts w:ascii="Calibri" w:hAnsi="Calibri" w:eastAsia="PingFang SC"/>
                <w:b/>
                <w:color w:val="1F2937"/>
                <w:sz w:val="14"/>
              </w:rPr>
              <w:t>Neural-PMP gap</w:t>
            </w:r>
          </w:p>
        </w:tc>
      </w:tr>
      <w:tr>
        <w:tc>
          <w:tcPr>
            <w:tcW w:type="dxa" w:w="1655"/>
            <w:vAlign w:val="center"/>
          </w:tcPr>
          <w:p>
            <w:pPr>
              <w:spacing w:before="20" w:after="20" w:line="252" w:lineRule="auto"/>
              <w:jc w:val="left"/>
            </w:pPr>
            <w:r>
              <w:rPr>
                <w:rFonts w:ascii="Calibri" w:hAnsi="Calibri" w:eastAsia="PingFang SC"/>
                <w:b w:val="0"/>
                <w:color w:val="1F2937"/>
                <w:sz w:val="14"/>
              </w:rPr>
              <w:t>nominal</w:t>
            </w:r>
          </w:p>
        </w:tc>
        <w:tc>
          <w:tcPr>
            <w:tcW w:type="dxa" w:w="1296"/>
            <w:vAlign w:val="center"/>
          </w:tcPr>
          <w:p>
            <w:pPr>
              <w:spacing w:before="20" w:after="20" w:line="252" w:lineRule="auto"/>
              <w:jc w:val="left"/>
            </w:pPr>
            <w:r>
              <w:rPr>
                <w:rFonts w:ascii="Calibri" w:hAnsi="Calibri" w:eastAsia="PingFang SC"/>
                <w:b w:val="0"/>
                <w:color w:val="1F2937"/>
                <w:sz w:val="14"/>
              </w:rPr>
              <w:t>386.706</w:t>
            </w:r>
          </w:p>
        </w:tc>
        <w:tc>
          <w:tcPr>
            <w:tcW w:type="dxa" w:w="2088"/>
            <w:vAlign w:val="center"/>
          </w:tcPr>
          <w:p>
            <w:pPr>
              <w:spacing w:before="20" w:after="20" w:line="252" w:lineRule="auto"/>
              <w:jc w:val="center"/>
            </w:pPr>
            <w:r>
              <w:rPr>
                <w:rFonts w:ascii="Calibri" w:hAnsi="Calibri" w:eastAsia="PingFang SC"/>
                <w:b w:val="0"/>
                <w:color w:val="1F2937"/>
                <w:sz w:val="14"/>
              </w:rPr>
              <w:t>386.826 +/- 0.052</w:t>
            </w:r>
          </w:p>
        </w:tc>
        <w:tc>
          <w:tcPr>
            <w:tcW w:type="dxa" w:w="1655"/>
            <w:vAlign w:val="center"/>
          </w:tcPr>
          <w:p>
            <w:pPr>
              <w:spacing w:before="20" w:after="20" w:line="252" w:lineRule="auto"/>
              <w:jc w:val="center"/>
            </w:pPr>
            <w:r>
              <w:rPr>
                <w:rFonts w:ascii="Calibri" w:hAnsi="Calibri" w:eastAsia="PingFang SC"/>
                <w:b w:val="0"/>
                <w:color w:val="1F2937"/>
                <w:sz w:val="14"/>
              </w:rPr>
              <w:t>0.031%</w:t>
            </w:r>
          </w:p>
        </w:tc>
        <w:tc>
          <w:tcPr>
            <w:tcW w:type="dxa" w:w="1655"/>
            <w:vAlign w:val="center"/>
          </w:tcPr>
          <w:p>
            <w:pPr>
              <w:spacing w:before="20" w:after="20" w:line="252" w:lineRule="auto"/>
              <w:jc w:val="center"/>
            </w:pPr>
            <w:r>
              <w:rPr>
                <w:rFonts w:ascii="Calibri" w:hAnsi="Calibri" w:eastAsia="PingFang SC"/>
                <w:b w:val="0"/>
                <w:color w:val="1F2937"/>
                <w:sz w:val="14"/>
              </w:rPr>
              <w:t>0.240%</w:t>
            </w:r>
          </w:p>
        </w:tc>
      </w:tr>
      <w:tr>
        <w:tc>
          <w:tcPr>
            <w:tcW w:type="dxa" w:w="1655"/>
            <w:vAlign w:val="center"/>
          </w:tcPr>
          <w:p>
            <w:pPr>
              <w:spacing w:before="20" w:after="20" w:line="252" w:lineRule="auto"/>
              <w:jc w:val="left"/>
            </w:pPr>
            <w:r>
              <w:rPr>
                <w:rFonts w:ascii="Calibri" w:hAnsi="Calibri" w:eastAsia="PingFang SC"/>
                <w:b w:val="0"/>
                <w:color w:val="1F2937"/>
                <w:sz w:val="14"/>
              </w:rPr>
              <w:t>beta=0.05</w:t>
            </w:r>
          </w:p>
        </w:tc>
        <w:tc>
          <w:tcPr>
            <w:tcW w:type="dxa" w:w="1296"/>
            <w:vAlign w:val="center"/>
          </w:tcPr>
          <w:p>
            <w:pPr>
              <w:spacing w:before="20" w:after="20" w:line="252" w:lineRule="auto"/>
              <w:jc w:val="left"/>
            </w:pPr>
            <w:r>
              <w:rPr>
                <w:rFonts w:ascii="Calibri" w:hAnsi="Calibri" w:eastAsia="PingFang SC"/>
                <w:b w:val="0"/>
                <w:color w:val="1F2937"/>
                <w:sz w:val="14"/>
              </w:rPr>
              <w:t>325.457</w:t>
            </w:r>
          </w:p>
        </w:tc>
        <w:tc>
          <w:tcPr>
            <w:tcW w:type="dxa" w:w="2088"/>
            <w:vAlign w:val="center"/>
          </w:tcPr>
          <w:p>
            <w:pPr>
              <w:spacing w:before="20" w:after="20" w:line="252" w:lineRule="auto"/>
              <w:jc w:val="center"/>
            </w:pPr>
            <w:r>
              <w:rPr>
                <w:rFonts w:ascii="Calibri" w:hAnsi="Calibri" w:eastAsia="PingFang SC"/>
                <w:b w:val="0"/>
                <w:color w:val="1F2937"/>
                <w:sz w:val="14"/>
              </w:rPr>
              <w:t>325.713 +/- 0.030</w:t>
            </w:r>
          </w:p>
        </w:tc>
        <w:tc>
          <w:tcPr>
            <w:tcW w:type="dxa" w:w="1655"/>
            <w:vAlign w:val="center"/>
          </w:tcPr>
          <w:p>
            <w:pPr>
              <w:spacing w:before="20" w:after="20" w:line="252" w:lineRule="auto"/>
              <w:jc w:val="center"/>
            </w:pPr>
            <w:r>
              <w:rPr>
                <w:rFonts w:ascii="Calibri" w:hAnsi="Calibri" w:eastAsia="PingFang SC"/>
                <w:b w:val="0"/>
                <w:color w:val="1F2937"/>
                <w:sz w:val="14"/>
              </w:rPr>
              <w:t>0.079%</w:t>
            </w:r>
          </w:p>
        </w:tc>
        <w:tc>
          <w:tcPr>
            <w:tcW w:type="dxa" w:w="1655"/>
            <w:vAlign w:val="center"/>
          </w:tcPr>
          <w:p>
            <w:pPr>
              <w:spacing w:before="20" w:after="20" w:line="252" w:lineRule="auto"/>
              <w:jc w:val="center"/>
            </w:pPr>
            <w:r>
              <w:rPr>
                <w:rFonts w:ascii="Calibri" w:hAnsi="Calibri" w:eastAsia="PingFang SC"/>
                <w:b w:val="0"/>
                <w:color w:val="1F2937"/>
                <w:sz w:val="14"/>
              </w:rPr>
              <w:t>0.169%</w:t>
            </w:r>
          </w:p>
        </w:tc>
      </w:tr>
      <w:tr>
        <w:tc>
          <w:tcPr>
            <w:tcW w:type="dxa" w:w="1655"/>
            <w:vAlign w:val="center"/>
          </w:tcPr>
          <w:p>
            <w:pPr>
              <w:spacing w:before="20" w:after="20" w:line="252" w:lineRule="auto"/>
              <w:jc w:val="left"/>
            </w:pPr>
            <w:r>
              <w:rPr>
                <w:rFonts w:ascii="Calibri" w:hAnsi="Calibri" w:eastAsia="PingFang SC"/>
                <w:b w:val="0"/>
                <w:color w:val="1F2937"/>
                <w:sz w:val="14"/>
              </w:rPr>
              <w:t>beta=0.20</w:t>
            </w:r>
          </w:p>
        </w:tc>
        <w:tc>
          <w:tcPr>
            <w:tcW w:type="dxa" w:w="1296"/>
            <w:vAlign w:val="center"/>
          </w:tcPr>
          <w:p>
            <w:pPr>
              <w:spacing w:before="20" w:after="20" w:line="252" w:lineRule="auto"/>
              <w:jc w:val="left"/>
            </w:pPr>
            <w:r>
              <w:rPr>
                <w:rFonts w:ascii="Calibri" w:hAnsi="Calibri" w:eastAsia="PingFang SC"/>
                <w:b w:val="0"/>
                <w:color w:val="1F2937"/>
                <w:sz w:val="14"/>
              </w:rPr>
              <w:t>444.860</w:t>
            </w:r>
          </w:p>
        </w:tc>
        <w:tc>
          <w:tcPr>
            <w:tcW w:type="dxa" w:w="2088"/>
            <w:vAlign w:val="center"/>
          </w:tcPr>
          <w:p>
            <w:pPr>
              <w:spacing w:before="20" w:after="20" w:line="252" w:lineRule="auto"/>
              <w:jc w:val="center"/>
            </w:pPr>
            <w:r>
              <w:rPr>
                <w:rFonts w:ascii="Calibri" w:hAnsi="Calibri" w:eastAsia="PingFang SC"/>
                <w:b w:val="0"/>
                <w:color w:val="1F2937"/>
                <w:sz w:val="14"/>
              </w:rPr>
              <w:t>444.923 +/- 0.006</w:t>
            </w:r>
          </w:p>
        </w:tc>
        <w:tc>
          <w:tcPr>
            <w:tcW w:type="dxa" w:w="1655"/>
            <w:vAlign w:val="center"/>
          </w:tcPr>
          <w:p>
            <w:pPr>
              <w:spacing w:before="20" w:after="20" w:line="252" w:lineRule="auto"/>
              <w:jc w:val="center"/>
            </w:pPr>
            <w:r>
              <w:rPr>
                <w:rFonts w:ascii="Calibri" w:hAnsi="Calibri" w:eastAsia="PingFang SC"/>
                <w:b w:val="0"/>
                <w:color w:val="1F2937"/>
                <w:sz w:val="14"/>
              </w:rPr>
              <w:t>0.014%</w:t>
            </w:r>
          </w:p>
        </w:tc>
        <w:tc>
          <w:tcPr>
            <w:tcW w:type="dxa" w:w="1655"/>
            <w:vAlign w:val="center"/>
          </w:tcPr>
          <w:p>
            <w:pPr>
              <w:spacing w:before="20" w:after="20" w:line="252" w:lineRule="auto"/>
              <w:jc w:val="center"/>
            </w:pPr>
            <w:r>
              <w:rPr>
                <w:rFonts w:ascii="Calibri" w:hAnsi="Calibri" w:eastAsia="PingFang SC"/>
                <w:b w:val="0"/>
                <w:color w:val="1F2937"/>
                <w:sz w:val="14"/>
              </w:rPr>
              <w:t>0.160%</w:t>
            </w:r>
          </w:p>
        </w:tc>
      </w:tr>
      <w:tr>
        <w:tc>
          <w:tcPr>
            <w:tcW w:type="dxa" w:w="1655"/>
            <w:vAlign w:val="center"/>
          </w:tcPr>
          <w:p>
            <w:pPr>
              <w:spacing w:before="20" w:after="20" w:line="252" w:lineRule="auto"/>
              <w:jc w:val="left"/>
            </w:pPr>
            <w:r>
              <w:rPr>
                <w:rFonts w:ascii="Calibri" w:hAnsi="Calibri" w:eastAsia="PingFang SC"/>
                <w:b w:val="0"/>
                <w:color w:val="1F2937"/>
                <w:sz w:val="14"/>
              </w:rPr>
              <w:t>gamma=10</w:t>
            </w:r>
          </w:p>
        </w:tc>
        <w:tc>
          <w:tcPr>
            <w:tcW w:type="dxa" w:w="1296"/>
            <w:vAlign w:val="center"/>
          </w:tcPr>
          <w:p>
            <w:pPr>
              <w:spacing w:before="20" w:after="20" w:line="252" w:lineRule="auto"/>
              <w:jc w:val="left"/>
            </w:pPr>
            <w:r>
              <w:rPr>
                <w:rFonts w:ascii="Calibri" w:hAnsi="Calibri" w:eastAsia="PingFang SC"/>
                <w:b w:val="0"/>
                <w:color w:val="1F2937"/>
                <w:sz w:val="14"/>
              </w:rPr>
              <w:t>230.385</w:t>
            </w:r>
          </w:p>
        </w:tc>
        <w:tc>
          <w:tcPr>
            <w:tcW w:type="dxa" w:w="2088"/>
            <w:vAlign w:val="center"/>
          </w:tcPr>
          <w:p>
            <w:pPr>
              <w:spacing w:before="20" w:after="20" w:line="252" w:lineRule="auto"/>
              <w:jc w:val="center"/>
            </w:pPr>
            <w:r>
              <w:rPr>
                <w:rFonts w:ascii="Calibri" w:hAnsi="Calibri" w:eastAsia="PingFang SC"/>
                <w:b w:val="0"/>
                <w:color w:val="1F2937"/>
                <w:sz w:val="14"/>
              </w:rPr>
              <w:t>230.485 +/- 0.011</w:t>
            </w:r>
          </w:p>
        </w:tc>
        <w:tc>
          <w:tcPr>
            <w:tcW w:type="dxa" w:w="1655"/>
            <w:vAlign w:val="center"/>
          </w:tcPr>
          <w:p>
            <w:pPr>
              <w:spacing w:before="20" w:after="20" w:line="252" w:lineRule="auto"/>
              <w:jc w:val="center"/>
            </w:pPr>
            <w:r>
              <w:rPr>
                <w:rFonts w:ascii="Calibri" w:hAnsi="Calibri" w:eastAsia="PingFang SC"/>
                <w:b w:val="0"/>
                <w:color w:val="1F2937"/>
                <w:sz w:val="14"/>
              </w:rPr>
              <w:t>0.044%</w:t>
            </w:r>
          </w:p>
        </w:tc>
        <w:tc>
          <w:tcPr>
            <w:tcW w:type="dxa" w:w="1655"/>
            <w:vAlign w:val="center"/>
          </w:tcPr>
          <w:p>
            <w:pPr>
              <w:spacing w:before="20" w:after="20" w:line="252" w:lineRule="auto"/>
              <w:jc w:val="center"/>
            </w:pPr>
            <w:r>
              <w:rPr>
                <w:rFonts w:ascii="Calibri" w:hAnsi="Calibri" w:eastAsia="PingFang SC"/>
                <w:b w:val="0"/>
                <w:color w:val="1F2937"/>
                <w:sz w:val="14"/>
              </w:rPr>
              <w:t>0.168%</w:t>
            </w:r>
          </w:p>
        </w:tc>
      </w:tr>
      <w:tr>
        <w:tc>
          <w:tcPr>
            <w:tcW w:type="dxa" w:w="1655"/>
            <w:vAlign w:val="center"/>
          </w:tcPr>
          <w:p>
            <w:pPr>
              <w:spacing w:before="20" w:after="20" w:line="252" w:lineRule="auto"/>
              <w:jc w:val="left"/>
            </w:pPr>
            <w:r>
              <w:rPr>
                <w:rFonts w:ascii="Calibri" w:hAnsi="Calibri" w:eastAsia="PingFang SC"/>
                <w:b w:val="0"/>
                <w:color w:val="1F2937"/>
                <w:sz w:val="14"/>
              </w:rPr>
              <w:t>gamma=40</w:t>
            </w:r>
          </w:p>
        </w:tc>
        <w:tc>
          <w:tcPr>
            <w:tcW w:type="dxa" w:w="1296"/>
            <w:vAlign w:val="center"/>
          </w:tcPr>
          <w:p>
            <w:pPr>
              <w:spacing w:before="20" w:after="20" w:line="252" w:lineRule="auto"/>
              <w:jc w:val="left"/>
            </w:pPr>
            <w:r>
              <w:rPr>
                <w:rFonts w:ascii="Calibri" w:hAnsi="Calibri" w:eastAsia="PingFang SC"/>
                <w:b w:val="0"/>
                <w:color w:val="1F2937"/>
                <w:sz w:val="14"/>
              </w:rPr>
              <w:t>614.915</w:t>
            </w:r>
          </w:p>
        </w:tc>
        <w:tc>
          <w:tcPr>
            <w:tcW w:type="dxa" w:w="2088"/>
            <w:vAlign w:val="center"/>
          </w:tcPr>
          <w:p>
            <w:pPr>
              <w:spacing w:before="20" w:after="20" w:line="252" w:lineRule="auto"/>
              <w:jc w:val="center"/>
            </w:pPr>
            <w:r>
              <w:rPr>
                <w:rFonts w:ascii="Calibri" w:hAnsi="Calibri" w:eastAsia="PingFang SC"/>
                <w:b w:val="0"/>
                <w:color w:val="1F2937"/>
                <w:sz w:val="14"/>
              </w:rPr>
              <w:t>615.043 +/- 0.021</w:t>
            </w:r>
          </w:p>
        </w:tc>
        <w:tc>
          <w:tcPr>
            <w:tcW w:type="dxa" w:w="1655"/>
            <w:vAlign w:val="center"/>
          </w:tcPr>
          <w:p>
            <w:pPr>
              <w:spacing w:before="20" w:after="20" w:line="252" w:lineRule="auto"/>
              <w:jc w:val="center"/>
            </w:pPr>
            <w:r>
              <w:rPr>
                <w:rFonts w:ascii="Calibri" w:hAnsi="Calibri" w:eastAsia="PingFang SC"/>
                <w:b w:val="0"/>
                <w:color w:val="1F2937"/>
                <w:sz w:val="14"/>
              </w:rPr>
              <w:t>0.021%</w:t>
            </w:r>
          </w:p>
        </w:tc>
        <w:tc>
          <w:tcPr>
            <w:tcW w:type="dxa" w:w="1655"/>
            <w:vAlign w:val="center"/>
          </w:tcPr>
          <w:p>
            <w:pPr>
              <w:spacing w:before="20" w:after="20" w:line="252" w:lineRule="auto"/>
              <w:jc w:val="center"/>
            </w:pPr>
            <w:r>
              <w:rPr>
                <w:rFonts w:ascii="Calibri" w:hAnsi="Calibri" w:eastAsia="PingFang SC"/>
                <w:b w:val="0"/>
                <w:color w:val="1F2937"/>
                <w:sz w:val="14"/>
              </w:rPr>
              <w:t>0.042%</w:t>
            </w:r>
          </w:p>
        </w:tc>
      </w:tr>
      <w:tr>
        <w:tc>
          <w:tcPr>
            <w:tcW w:type="dxa" w:w="1655"/>
            <w:vAlign w:val="center"/>
          </w:tcPr>
          <w:p>
            <w:pPr>
              <w:spacing w:before="20" w:after="20" w:line="252" w:lineRule="auto"/>
              <w:jc w:val="left"/>
            </w:pPr>
            <w:r>
              <w:rPr>
                <w:rFonts w:ascii="Calibri" w:hAnsi="Calibri" w:eastAsia="PingFang SC"/>
                <w:b w:val="0"/>
                <w:color w:val="1F2937"/>
                <w:sz w:val="14"/>
              </w:rPr>
              <w:t>alpha=0.5</w:t>
            </w:r>
          </w:p>
        </w:tc>
        <w:tc>
          <w:tcPr>
            <w:tcW w:type="dxa" w:w="1296"/>
            <w:vAlign w:val="center"/>
          </w:tcPr>
          <w:p>
            <w:pPr>
              <w:spacing w:before="20" w:after="20" w:line="252" w:lineRule="auto"/>
              <w:jc w:val="left"/>
            </w:pPr>
            <w:r>
              <w:rPr>
                <w:rFonts w:ascii="Calibri" w:hAnsi="Calibri" w:eastAsia="PingFang SC"/>
                <w:b w:val="0"/>
                <w:color w:val="1F2937"/>
                <w:sz w:val="14"/>
              </w:rPr>
              <w:t>370.513</w:t>
            </w:r>
          </w:p>
        </w:tc>
        <w:tc>
          <w:tcPr>
            <w:tcW w:type="dxa" w:w="2088"/>
            <w:vAlign w:val="center"/>
          </w:tcPr>
          <w:p>
            <w:pPr>
              <w:spacing w:before="20" w:after="20" w:line="252" w:lineRule="auto"/>
              <w:jc w:val="center"/>
            </w:pPr>
            <w:r>
              <w:rPr>
                <w:rFonts w:ascii="Calibri" w:hAnsi="Calibri" w:eastAsia="PingFang SC"/>
                <w:b w:val="0"/>
                <w:color w:val="1F2937"/>
                <w:sz w:val="14"/>
              </w:rPr>
              <w:t>370.482 +/- 0.023</w:t>
            </w:r>
          </w:p>
        </w:tc>
        <w:tc>
          <w:tcPr>
            <w:tcW w:type="dxa" w:w="1655"/>
            <w:vAlign w:val="center"/>
          </w:tcPr>
          <w:p>
            <w:pPr>
              <w:spacing w:before="20" w:after="20" w:line="252" w:lineRule="auto"/>
              <w:jc w:val="center"/>
            </w:pPr>
            <w:r>
              <w:rPr>
                <w:rFonts w:ascii="Calibri" w:hAnsi="Calibri" w:eastAsia="PingFang SC"/>
                <w:b w:val="0"/>
                <w:color w:val="1F2937"/>
                <w:sz w:val="14"/>
              </w:rPr>
              <w:t>-0.008%</w:t>
            </w:r>
          </w:p>
        </w:tc>
        <w:tc>
          <w:tcPr>
            <w:tcW w:type="dxa" w:w="1655"/>
            <w:vAlign w:val="center"/>
          </w:tcPr>
          <w:p>
            <w:pPr>
              <w:spacing w:before="20" w:after="20" w:line="252" w:lineRule="auto"/>
              <w:jc w:val="center"/>
            </w:pPr>
            <w:r>
              <w:rPr>
                <w:rFonts w:ascii="Calibri" w:hAnsi="Calibri" w:eastAsia="PingFang SC"/>
                <w:b w:val="0"/>
                <w:color w:val="1F2937"/>
                <w:sz w:val="14"/>
              </w:rPr>
              <w:t>0.135%</w:t>
            </w:r>
          </w:p>
        </w:tc>
      </w:tr>
      <w:tr>
        <w:tc>
          <w:tcPr>
            <w:tcW w:type="dxa" w:w="1655"/>
            <w:vAlign w:val="center"/>
          </w:tcPr>
          <w:p>
            <w:pPr>
              <w:spacing w:before="20" w:after="20" w:line="252" w:lineRule="auto"/>
              <w:jc w:val="left"/>
            </w:pPr>
            <w:r>
              <w:rPr>
                <w:rFonts w:ascii="Calibri" w:hAnsi="Calibri" w:eastAsia="PingFang SC"/>
                <w:b w:val="0"/>
                <w:color w:val="1F2937"/>
                <w:sz w:val="14"/>
              </w:rPr>
              <w:t>alpha=2</w:t>
            </w:r>
          </w:p>
        </w:tc>
        <w:tc>
          <w:tcPr>
            <w:tcW w:type="dxa" w:w="1296"/>
            <w:vAlign w:val="center"/>
          </w:tcPr>
          <w:p>
            <w:pPr>
              <w:spacing w:before="20" w:after="20" w:line="252" w:lineRule="auto"/>
              <w:jc w:val="left"/>
            </w:pPr>
            <w:r>
              <w:rPr>
                <w:rFonts w:ascii="Calibri" w:hAnsi="Calibri" w:eastAsia="PingFang SC"/>
                <w:b w:val="0"/>
                <w:color w:val="1F2937"/>
                <w:sz w:val="14"/>
              </w:rPr>
              <w:t>404.406</w:t>
            </w:r>
          </w:p>
        </w:tc>
        <w:tc>
          <w:tcPr>
            <w:tcW w:type="dxa" w:w="2088"/>
            <w:vAlign w:val="center"/>
          </w:tcPr>
          <w:p>
            <w:pPr>
              <w:spacing w:before="20" w:after="20" w:line="252" w:lineRule="auto"/>
              <w:jc w:val="center"/>
            </w:pPr>
            <w:r>
              <w:rPr>
                <w:rFonts w:ascii="Calibri" w:hAnsi="Calibri" w:eastAsia="PingFang SC"/>
                <w:b w:val="0"/>
                <w:color w:val="1F2937"/>
                <w:sz w:val="14"/>
              </w:rPr>
              <w:t>404.600 +/- 0.033</w:t>
            </w:r>
          </w:p>
        </w:tc>
        <w:tc>
          <w:tcPr>
            <w:tcW w:type="dxa" w:w="1655"/>
            <w:vAlign w:val="center"/>
          </w:tcPr>
          <w:p>
            <w:pPr>
              <w:spacing w:before="20" w:after="20" w:line="252" w:lineRule="auto"/>
              <w:jc w:val="center"/>
            </w:pPr>
            <w:r>
              <w:rPr>
                <w:rFonts w:ascii="Calibri" w:hAnsi="Calibri" w:eastAsia="PingFang SC"/>
                <w:b w:val="0"/>
                <w:color w:val="1F2937"/>
                <w:sz w:val="14"/>
              </w:rPr>
              <w:t>0.048%</w:t>
            </w:r>
          </w:p>
        </w:tc>
        <w:tc>
          <w:tcPr>
            <w:tcW w:type="dxa" w:w="1655"/>
            <w:vAlign w:val="center"/>
          </w:tcPr>
          <w:p>
            <w:pPr>
              <w:spacing w:before="20" w:after="20" w:line="252" w:lineRule="auto"/>
              <w:jc w:val="center"/>
            </w:pPr>
            <w:r>
              <w:rPr>
                <w:rFonts w:ascii="Calibri" w:hAnsi="Calibri" w:eastAsia="PingFang SC"/>
                <w:b w:val="0"/>
                <w:color w:val="1F2937"/>
                <w:sz w:val="14"/>
              </w:rPr>
              <w:t>0.247%</w:t>
            </w:r>
          </w:p>
        </w:tc>
      </w:tr>
      <w:tr>
        <w:tc>
          <w:tcPr>
            <w:tcW w:type="dxa" w:w="1655"/>
            <w:vAlign w:val="center"/>
          </w:tcPr>
          <w:p>
            <w:pPr>
              <w:spacing w:before="20" w:after="20" w:line="252" w:lineRule="auto"/>
              <w:jc w:val="left"/>
            </w:pPr>
            <w:r>
              <w:rPr>
                <w:rFonts w:ascii="Calibri" w:hAnsi="Calibri" w:eastAsia="PingFang SC"/>
                <w:b w:val="0"/>
                <w:color w:val="1F2937"/>
                <w:sz w:val="14"/>
              </w:rPr>
              <w:t>N0=5</w:t>
            </w:r>
          </w:p>
        </w:tc>
        <w:tc>
          <w:tcPr>
            <w:tcW w:type="dxa" w:w="1296"/>
            <w:vAlign w:val="center"/>
          </w:tcPr>
          <w:p>
            <w:pPr>
              <w:spacing w:before="20" w:after="20" w:line="252" w:lineRule="auto"/>
              <w:jc w:val="left"/>
            </w:pPr>
            <w:r>
              <w:rPr>
                <w:rFonts w:ascii="Calibri" w:hAnsi="Calibri" w:eastAsia="PingFang SC"/>
                <w:b w:val="0"/>
                <w:color w:val="1F2937"/>
                <w:sz w:val="14"/>
              </w:rPr>
              <w:t>371.118</w:t>
            </w:r>
          </w:p>
        </w:tc>
        <w:tc>
          <w:tcPr>
            <w:tcW w:type="dxa" w:w="2088"/>
            <w:vAlign w:val="center"/>
          </w:tcPr>
          <w:p>
            <w:pPr>
              <w:spacing w:before="20" w:after="20" w:line="252" w:lineRule="auto"/>
              <w:jc w:val="center"/>
            </w:pPr>
            <w:r>
              <w:rPr>
                <w:rFonts w:ascii="Calibri" w:hAnsi="Calibri" w:eastAsia="PingFang SC"/>
                <w:b w:val="0"/>
                <w:color w:val="1F2937"/>
                <w:sz w:val="14"/>
              </w:rPr>
              <w:t>371.168 +/- 0.037</w:t>
            </w:r>
          </w:p>
        </w:tc>
        <w:tc>
          <w:tcPr>
            <w:tcW w:type="dxa" w:w="1655"/>
            <w:vAlign w:val="center"/>
          </w:tcPr>
          <w:p>
            <w:pPr>
              <w:spacing w:before="20" w:after="20" w:line="252" w:lineRule="auto"/>
              <w:jc w:val="center"/>
            </w:pPr>
            <w:r>
              <w:rPr>
                <w:rFonts w:ascii="Calibri" w:hAnsi="Calibri" w:eastAsia="PingFang SC"/>
                <w:b w:val="0"/>
                <w:color w:val="1F2937"/>
                <w:sz w:val="14"/>
              </w:rPr>
              <w:t>0.013%</w:t>
            </w:r>
          </w:p>
        </w:tc>
        <w:tc>
          <w:tcPr>
            <w:tcW w:type="dxa" w:w="1655"/>
            <w:vAlign w:val="center"/>
          </w:tcPr>
          <w:p>
            <w:pPr>
              <w:spacing w:before="20" w:after="20" w:line="252" w:lineRule="auto"/>
              <w:jc w:val="center"/>
            </w:pPr>
            <w:r>
              <w:rPr>
                <w:rFonts w:ascii="Calibri" w:hAnsi="Calibri" w:eastAsia="PingFang SC"/>
                <w:b w:val="0"/>
                <w:color w:val="1F2937"/>
                <w:sz w:val="14"/>
              </w:rPr>
              <w:t>0.220%</w:t>
            </w:r>
          </w:p>
        </w:tc>
      </w:tr>
      <w:tr>
        <w:tc>
          <w:tcPr>
            <w:tcW w:type="dxa" w:w="1655"/>
            <w:vAlign w:val="center"/>
          </w:tcPr>
          <w:p>
            <w:pPr>
              <w:spacing w:before="20" w:after="20" w:line="252" w:lineRule="auto"/>
              <w:jc w:val="left"/>
            </w:pPr>
            <w:r>
              <w:rPr>
                <w:rFonts w:ascii="Calibri" w:hAnsi="Calibri" w:eastAsia="PingFang SC"/>
                <w:b w:val="0"/>
                <w:color w:val="1F2937"/>
                <w:sz w:val="14"/>
              </w:rPr>
              <w:t>N0=20</w:t>
            </w:r>
          </w:p>
        </w:tc>
        <w:tc>
          <w:tcPr>
            <w:tcW w:type="dxa" w:w="1296"/>
            <w:vAlign w:val="center"/>
          </w:tcPr>
          <w:p>
            <w:pPr>
              <w:spacing w:before="20" w:after="20" w:line="252" w:lineRule="auto"/>
              <w:jc w:val="left"/>
            </w:pPr>
            <w:r>
              <w:rPr>
                <w:rFonts w:ascii="Calibri" w:hAnsi="Calibri" w:eastAsia="PingFang SC"/>
                <w:b w:val="0"/>
                <w:color w:val="1F2937"/>
                <w:sz w:val="14"/>
              </w:rPr>
              <w:t>404.839</w:t>
            </w:r>
          </w:p>
        </w:tc>
        <w:tc>
          <w:tcPr>
            <w:tcW w:type="dxa" w:w="2088"/>
            <w:vAlign w:val="center"/>
          </w:tcPr>
          <w:p>
            <w:pPr>
              <w:spacing w:before="20" w:after="20" w:line="252" w:lineRule="auto"/>
              <w:jc w:val="center"/>
            </w:pPr>
            <w:r>
              <w:rPr>
                <w:rFonts w:ascii="Calibri" w:hAnsi="Calibri" w:eastAsia="PingFang SC"/>
                <w:b w:val="0"/>
                <w:color w:val="1F2937"/>
                <w:sz w:val="14"/>
              </w:rPr>
              <w:t>405.201 +/- 0.074</w:t>
            </w:r>
          </w:p>
        </w:tc>
        <w:tc>
          <w:tcPr>
            <w:tcW w:type="dxa" w:w="1655"/>
            <w:vAlign w:val="center"/>
          </w:tcPr>
          <w:p>
            <w:pPr>
              <w:spacing w:before="20" w:after="20" w:line="252" w:lineRule="auto"/>
              <w:jc w:val="center"/>
            </w:pPr>
            <w:r>
              <w:rPr>
                <w:rFonts w:ascii="Calibri" w:hAnsi="Calibri" w:eastAsia="PingFang SC"/>
                <w:b w:val="0"/>
                <w:color w:val="1F2937"/>
                <w:sz w:val="14"/>
              </w:rPr>
              <w:t>0.089%</w:t>
            </w:r>
          </w:p>
        </w:tc>
        <w:tc>
          <w:tcPr>
            <w:tcW w:type="dxa" w:w="1655"/>
            <w:vAlign w:val="center"/>
          </w:tcPr>
          <w:p>
            <w:pPr>
              <w:spacing w:before="20" w:after="20" w:line="252" w:lineRule="auto"/>
              <w:jc w:val="center"/>
            </w:pPr>
            <w:r>
              <w:rPr>
                <w:rFonts w:ascii="Calibri" w:hAnsi="Calibri" w:eastAsia="PingFang SC"/>
                <w:b w:val="0"/>
                <w:color w:val="1F2937"/>
                <w:sz w:val="14"/>
              </w:rPr>
              <w:t>0.174%</w:t>
            </w:r>
          </w:p>
        </w:tc>
      </w:tr>
    </w:tbl>
    <w:p>
      <w:pPr>
        <w:spacing w:after="80"/>
      </w:pPr>
    </w:p>
    <w:p>
      <w:pPr>
        <w:spacing w:after="120" w:line="252" w:lineRule="auto"/>
      </w:pPr>
      <w:r>
        <w:rPr>
          <w:rFonts w:ascii="Calibri" w:hAnsi="Calibri" w:eastAsia="PingFang SC"/>
          <w:b w:val="0"/>
          <w:color w:val="52606D"/>
          <w:sz w:val="16"/>
        </w:rPr>
        <w:t>* In this sensitivity table, direct J is obtained by direct minimization on an n=400 time mesh and then recomputed on the common fine time mesh. The small negative alpha=0.5 gap is within this numerical tolerance and should be read as a tie, not as beating the optimum.</w:t>
      </w:r>
    </w:p>
    <w:p>
      <w:pPr>
        <w:spacing w:after="120" w:line="264" w:lineRule="auto"/>
      </w:pPr>
      <w:r>
        <w:rPr>
          <w:rFonts w:ascii="Calibri" w:hAnsi="Calibri" w:eastAsia="PingFang SC"/>
          <w:b w:val="0"/>
          <w:color w:val="1F2937"/>
          <w:sz w:val="21"/>
        </w:rPr>
        <w:t>Across these one-factor tests, the Transformer remains within about 0.09% of direct minimization. Neural-PMP [3] is also close in objective value, but the Transformer is consistently closer to direct minimization and has a smaller PMP/KKT optimality gap.</w:t>
      </w:r>
    </w:p>
    <w:p>
      <w:pPr>
        <w:spacing w:before="80" w:after="60"/>
        <w:jc w:val="center"/>
      </w:pPr>
      <w:r>
        <w:drawing>
          <wp:inline xmlns:a="http://schemas.openxmlformats.org/drawingml/2006/main" xmlns:pic="http://schemas.openxmlformats.org/drawingml/2006/picture">
            <wp:extent cx="5806440" cy="2473338"/>
            <wp:docPr id="13" name="Picture 13"/>
            <wp:cNvGraphicFramePr>
              <a:graphicFrameLocks noChangeAspect="1"/>
            </wp:cNvGraphicFramePr>
            <a:graphic>
              <a:graphicData uri="http://schemas.openxmlformats.org/drawingml/2006/picture">
                <pic:pic>
                  <pic:nvPicPr>
                    <pic:cNvPr id="0" name="sensitivity_relative_gap_zoom.png"/>
                    <pic:cNvPicPr/>
                  </pic:nvPicPr>
                  <pic:blipFill>
                    <a:blip r:embed="rId22"/>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9. Difference in objective J from direct minimization across parameter and initial-condition changes.</w:t>
      </w:r>
    </w:p>
    <w:p>
      <w:pPr>
        <w:spacing w:before="80" w:after="60"/>
        <w:jc w:val="center"/>
      </w:pPr>
      <w:r>
        <w:drawing>
          <wp:inline xmlns:a="http://schemas.openxmlformats.org/drawingml/2006/main" xmlns:pic="http://schemas.openxmlformats.org/drawingml/2006/picture">
            <wp:extent cx="5806440" cy="2473338"/>
            <wp:docPr id="14" name="Picture 14"/>
            <wp:cNvGraphicFramePr>
              <a:graphicFrameLocks noChangeAspect="1"/>
            </wp:cNvGraphicFramePr>
            <a:graphic>
              <a:graphicData uri="http://schemas.openxmlformats.org/drawingml/2006/picture">
                <pic:pic>
                  <pic:nvPicPr>
                    <pic:cNvPr id="0" name="sensitivity_pmp_gap.png"/>
                    <pic:cNvPicPr/>
                  </pic:nvPicPr>
                  <pic:blipFill>
                    <a:blip r:embed="rId23"/>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10. PMP/KKT optimality gap across the same sensitivity conditions.</w:t>
      </w:r>
    </w:p>
    <w:p>
      <w:pPr>
        <w:spacing w:before="280" w:after="100"/>
      </w:pPr>
      <w:r>
        <w:rPr>
          <w:rFonts w:ascii="Calibri" w:hAnsi="Calibri" w:eastAsia="PingFang SC"/>
          <w:b/>
          <w:color w:val="2E74B5"/>
          <w:sz w:val="30"/>
        </w:rPr>
        <w:t>6. Conclusion</w:t>
      </w:r>
    </w:p>
    <w:p>
      <w:pPr>
        <w:spacing w:after="120" w:line="264" w:lineRule="auto"/>
      </w:pPr>
      <w:r>
        <w:rPr>
          <w:rFonts w:ascii="Calibri" w:hAnsi="Calibri" w:eastAsia="PingFang SC"/>
          <w:b w:val="0"/>
          <w:color w:val="1F2937"/>
          <w:sz w:val="21"/>
        </w:rPr>
        <w:t>The requested u(t) reproduction is complete. The Transformer control trained with the manuscript's PMP/KKT optimality-gap loss is smooth, satisfies the control bounds, and reduces the training optimality gap from about 76 to 0.026 in the best training. Across six Transformer trainings in the nominal setting, the recomputed objective is 386.738 +/- 0.045, close to direct minimization of J at 386.438 and better than Neural-PMP [3] in this comparison. The parameter sensitivity experiments further show that the same u(t) training procedure remains close to direct minimization under changes in beta, gamma, alpha, and N0. The state-dependent extension u(t,N) is left for separate work because it requires different optimality conditions.</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PingFang SC"/>
        <w:b w:val="0"/>
        <w:color w:val="52606D"/>
        <w:sz w:val="17"/>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