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8E009" w14:textId="77777777" w:rsidR="00BE0C4A" w:rsidRPr="00BE0C4A" w:rsidRDefault="00BE0C4A" w:rsidP="00BE0C4A">
      <w:pPr>
        <w:rPr>
          <w:b/>
          <w:bCs/>
          <w:sz w:val="40"/>
          <w:szCs w:val="40"/>
        </w:rPr>
      </w:pPr>
      <w:r w:rsidRPr="00BE0C4A">
        <w:rPr>
          <w:b/>
          <w:bCs/>
          <w:sz w:val="40"/>
          <w:szCs w:val="40"/>
        </w:rPr>
        <w:t>Rethinking Climate Attribution: Plurality, Pulses, and the Case for Open Hypothesis Space</w:t>
      </w:r>
    </w:p>
    <w:p w14:paraId="6E97AD1B" w14:textId="77777777" w:rsidR="00BE0C4A" w:rsidRPr="00BE0C4A" w:rsidRDefault="00BE0C4A" w:rsidP="00BE0C4A">
      <w:pPr>
        <w:rPr>
          <w:b/>
          <w:bCs/>
        </w:rPr>
      </w:pPr>
      <w:r w:rsidRPr="00BE0C4A">
        <w:rPr>
          <w:b/>
          <w:bCs/>
        </w:rPr>
        <w:t>Abstract</w:t>
      </w:r>
    </w:p>
    <w:p w14:paraId="4BD8DDF8" w14:textId="77777777" w:rsidR="00BE0C4A" w:rsidRPr="00BE0C4A" w:rsidRDefault="00BE0C4A" w:rsidP="00BE0C4A">
      <w:r w:rsidRPr="00BE0C4A">
        <w:t>The prevailing paradigm holds that anthropogenic greenhouse gas (GHG) emissions account for essentially 100% of observed global warming since 1850. While this framing has policy utility, it risks prematurely collapsing the hypothesis space and filtering out alternative contributors. Recent anomalies, notably the 2023–2024 oceanic heat pulses, expose weaknesses in the assumption of gradual, atmosphere-led warming. This paper argues for a plurality-based approach: anthropogenic forcing is a material driver of recent warming, but bottom-up geophysical fluxes, deep-ocean dynamics, and solar–cloud coupling remain underexplored. Sound climate science and policy require that such alternatives remain live hypotheses, subject to severe tests, not dismissed as denial.</w:t>
      </w:r>
    </w:p>
    <w:p w14:paraId="59C841FE" w14:textId="77777777" w:rsidR="00BE0C4A" w:rsidRPr="00BE0C4A" w:rsidRDefault="00BE0C4A" w:rsidP="00BE0C4A">
      <w:r w:rsidRPr="00BE0C4A">
        <w:pict w14:anchorId="5DF1056F">
          <v:rect id="_x0000_i1067" style="width:0;height:1.5pt" o:hralign="center" o:hrstd="t" o:hr="t" fillcolor="#a0a0a0" stroked="f"/>
        </w:pict>
      </w:r>
    </w:p>
    <w:p w14:paraId="72989160" w14:textId="77777777" w:rsidR="00BE0C4A" w:rsidRPr="00BE0C4A" w:rsidRDefault="00BE0C4A" w:rsidP="00BE0C4A">
      <w:pPr>
        <w:rPr>
          <w:b/>
          <w:bCs/>
        </w:rPr>
      </w:pPr>
      <w:r w:rsidRPr="00BE0C4A">
        <w:rPr>
          <w:b/>
          <w:bCs/>
        </w:rPr>
        <w:t>1. Introduction</w:t>
      </w:r>
    </w:p>
    <w:p w14:paraId="620E037D" w14:textId="77777777" w:rsidR="00BE0C4A" w:rsidRPr="00BE0C4A" w:rsidRDefault="00BE0C4A" w:rsidP="00BE0C4A">
      <w:r w:rsidRPr="00BE0C4A">
        <w:t xml:space="preserve">The Intergovernmental Panel on Climate Change (IPCC) Sixth Assessment Report concludes with high confidence that human activity is the </w:t>
      </w:r>
      <w:r w:rsidRPr="00BE0C4A">
        <w:rPr>
          <w:i/>
          <w:iCs/>
        </w:rPr>
        <w:t>principal</w:t>
      </w:r>
      <w:r w:rsidRPr="00BE0C4A">
        <w:t xml:space="preserve"> driver of observed warming since 1850, attributing ~1.07 °C of the 1.06 °C rise to anthropogenic causes [IPCC AR6, 2021]. This near-total attribution has become codified as “settled science.” Yet, when scientific frameworks cease to tolerate uncomfortable anomalies, they risk narrative overreach [</w:t>
      </w:r>
      <w:proofErr w:type="spellStart"/>
      <w:r w:rsidRPr="00BE0C4A">
        <w:t>Funtowicz</w:t>
      </w:r>
      <w:proofErr w:type="spellEnd"/>
      <w:r w:rsidRPr="00BE0C4A">
        <w:t xml:space="preserve"> &amp; </w:t>
      </w:r>
      <w:proofErr w:type="spellStart"/>
      <w:r w:rsidRPr="00BE0C4A">
        <w:t>Ravetz</w:t>
      </w:r>
      <w:proofErr w:type="spellEnd"/>
      <w:r w:rsidRPr="00BE0C4A">
        <w:t>, 1993; The Ethical Skeptic, 2023].</w:t>
      </w:r>
    </w:p>
    <w:p w14:paraId="4EA8B6BD" w14:textId="77777777" w:rsidR="00BE0C4A" w:rsidRPr="00BE0C4A" w:rsidRDefault="00BE0C4A" w:rsidP="00BE0C4A">
      <w:r w:rsidRPr="00BE0C4A">
        <w:pict w14:anchorId="026A581B">
          <v:rect id="_x0000_i1068" style="width:0;height:1.5pt" o:hralign="center" o:hrstd="t" o:hr="t" fillcolor="#a0a0a0" stroked="f"/>
        </w:pict>
      </w:r>
    </w:p>
    <w:p w14:paraId="397752D1" w14:textId="77777777" w:rsidR="00BE0C4A" w:rsidRPr="00BE0C4A" w:rsidRDefault="00BE0C4A" w:rsidP="00BE0C4A">
      <w:pPr>
        <w:rPr>
          <w:b/>
          <w:bCs/>
        </w:rPr>
      </w:pPr>
      <w:r w:rsidRPr="00BE0C4A">
        <w:rPr>
          <w:b/>
          <w:bCs/>
        </w:rPr>
        <w:t>2. Energy Balance and the Closure Test</w:t>
      </w:r>
    </w:p>
    <w:p w14:paraId="31B0F3D1" w14:textId="77777777" w:rsidR="00BE0C4A" w:rsidRPr="00BE0C4A" w:rsidRDefault="00BE0C4A" w:rsidP="00BE0C4A">
      <w:r w:rsidRPr="00BE0C4A">
        <w:t xml:space="preserve">The fundamental accounting test is whether </w:t>
      </w:r>
      <w:r w:rsidRPr="00BE0C4A">
        <w:rPr>
          <w:b/>
          <w:bCs/>
        </w:rPr>
        <w:t>top-of-atmosphere (TOA) energy imbalance (EEI)</w:t>
      </w:r>
      <w:r w:rsidRPr="00BE0C4A">
        <w:t xml:space="preserve"> and </w:t>
      </w:r>
      <w:r w:rsidRPr="00BE0C4A">
        <w:rPr>
          <w:b/>
          <w:bCs/>
        </w:rPr>
        <w:t>full-depth ocean heat content (OHC)</w:t>
      </w:r>
      <w:r w:rsidRPr="00BE0C4A">
        <w:t xml:space="preserve"> close. On decadal scales, CERES satellite fluxes (~0.5–1.0 W m</w:t>
      </w:r>
      <w:r w:rsidRPr="00BE0C4A">
        <w:rPr>
          <w:rFonts w:ascii="Cambria Math" w:hAnsi="Cambria Math" w:cs="Cambria Math"/>
        </w:rPr>
        <w:t>⁻</w:t>
      </w:r>
      <w:r w:rsidRPr="00BE0C4A">
        <w:rPr>
          <w:rFonts w:ascii="Aptos" w:hAnsi="Aptos" w:cs="Aptos"/>
        </w:rPr>
        <w:t>²</w:t>
      </w:r>
      <w:r w:rsidRPr="00BE0C4A">
        <w:t>) align with observed OHC changes (~0.4</w:t>
      </w:r>
      <w:r w:rsidRPr="00BE0C4A">
        <w:rPr>
          <w:rFonts w:ascii="Aptos" w:hAnsi="Aptos" w:cs="Aptos"/>
        </w:rPr>
        <w:t>–</w:t>
      </w:r>
      <w:r w:rsidRPr="00BE0C4A">
        <w:t>1.0 W m</w:t>
      </w:r>
      <w:r w:rsidRPr="00BE0C4A">
        <w:rPr>
          <w:rFonts w:ascii="Cambria Math" w:hAnsi="Cambria Math" w:cs="Cambria Math"/>
        </w:rPr>
        <w:t>⁻</w:t>
      </w:r>
      <w:r w:rsidRPr="00BE0C4A">
        <w:rPr>
          <w:rFonts w:ascii="Aptos" w:hAnsi="Aptos" w:cs="Aptos"/>
        </w:rPr>
        <w:t>²</w:t>
      </w:r>
      <w:r w:rsidRPr="00BE0C4A">
        <w:t>) [Loeb et al., 2021; von Schuckmann et al., 2023]. However, during 2023 the BAMS report noted an annual mean EEI of ~1.9 W m</w:t>
      </w:r>
      <w:r w:rsidRPr="00BE0C4A">
        <w:rPr>
          <w:rFonts w:ascii="Cambria Math" w:hAnsi="Cambria Math" w:cs="Cambria Math"/>
        </w:rPr>
        <w:t>⁻</w:t>
      </w:r>
      <w:r w:rsidRPr="00BE0C4A">
        <w:rPr>
          <w:rFonts w:ascii="Aptos" w:hAnsi="Aptos" w:cs="Aptos"/>
        </w:rPr>
        <w:t>²</w:t>
      </w:r>
      <w:r w:rsidRPr="00BE0C4A">
        <w:t xml:space="preserve"> [Christensen et al., 2024], while OHC increments were ~12</w:t>
      </w:r>
      <w:r w:rsidRPr="00BE0C4A">
        <w:rPr>
          <w:rFonts w:ascii="Aptos" w:hAnsi="Aptos" w:cs="Aptos"/>
        </w:rPr>
        <w:t>–</w:t>
      </w:r>
      <w:r w:rsidRPr="00BE0C4A">
        <w:t>23 ZJ (</w:t>
      </w:r>
      <w:r w:rsidRPr="00BE0C4A">
        <w:rPr>
          <w:rFonts w:ascii="Aptos" w:hAnsi="Aptos" w:cs="Aptos"/>
        </w:rPr>
        <w:t>≈</w:t>
      </w:r>
      <w:r w:rsidRPr="00BE0C4A">
        <w:t>0.6</w:t>
      </w:r>
      <w:r w:rsidRPr="00BE0C4A">
        <w:rPr>
          <w:rFonts w:ascii="Aptos" w:hAnsi="Aptos" w:cs="Aptos"/>
        </w:rPr>
        <w:t>–</w:t>
      </w:r>
      <w:r w:rsidRPr="00BE0C4A">
        <w:t>1.2 W m</w:t>
      </w:r>
      <w:r w:rsidRPr="00BE0C4A">
        <w:rPr>
          <w:rFonts w:ascii="Cambria Math" w:hAnsi="Cambria Math" w:cs="Cambria Math"/>
        </w:rPr>
        <w:t>⁻</w:t>
      </w:r>
      <w:r w:rsidRPr="00BE0C4A">
        <w:rPr>
          <w:rFonts w:ascii="Aptos" w:hAnsi="Aptos" w:cs="Aptos"/>
        </w:rPr>
        <w:t>²</w:t>
      </w:r>
      <w:r w:rsidRPr="00BE0C4A">
        <w:t>), leaving a gap of 0.5</w:t>
      </w:r>
      <w:r w:rsidRPr="00BE0C4A">
        <w:rPr>
          <w:rFonts w:ascii="Aptos" w:hAnsi="Aptos" w:cs="Aptos"/>
        </w:rPr>
        <w:t>–</w:t>
      </w:r>
      <w:r w:rsidRPr="00BE0C4A">
        <w:t>1.1 W m</w:t>
      </w:r>
      <w:r w:rsidRPr="00BE0C4A">
        <w:rPr>
          <w:rFonts w:ascii="Cambria Math" w:hAnsi="Cambria Math" w:cs="Cambria Math"/>
        </w:rPr>
        <w:t>⁻</w:t>
      </w:r>
      <w:r w:rsidRPr="00BE0C4A">
        <w:rPr>
          <w:rFonts w:ascii="Aptos" w:hAnsi="Aptos" w:cs="Aptos"/>
        </w:rPr>
        <w:t>²</w:t>
      </w:r>
      <w:r w:rsidRPr="00BE0C4A">
        <w:t xml:space="preserve">. Whether this mismatch reflects deep-ocean </w:t>
      </w:r>
      <w:proofErr w:type="spellStart"/>
      <w:r w:rsidRPr="00BE0C4A">
        <w:t>undersampling</w:t>
      </w:r>
      <w:proofErr w:type="spellEnd"/>
      <w:r w:rsidRPr="00BE0C4A">
        <w:t>, satellite calibration drift, or unmeasured bottom-up fluxes remains unresolved.</w:t>
      </w:r>
    </w:p>
    <w:p w14:paraId="6C86753C" w14:textId="32023771" w:rsidR="00BE0C4A" w:rsidRPr="00BE0C4A" w:rsidRDefault="00BE0C4A" w:rsidP="00BE0C4A">
      <w:r>
        <w:br/>
      </w:r>
    </w:p>
    <w:p w14:paraId="7D4C769B" w14:textId="77777777" w:rsidR="00BE0C4A" w:rsidRPr="00BE0C4A" w:rsidRDefault="00BE0C4A" w:rsidP="00BE0C4A">
      <w:pPr>
        <w:rPr>
          <w:b/>
          <w:bCs/>
        </w:rPr>
      </w:pPr>
      <w:r w:rsidRPr="00BE0C4A">
        <w:rPr>
          <w:b/>
          <w:bCs/>
        </w:rPr>
        <w:lastRenderedPageBreak/>
        <w:t>3. Anomalous Pulses: The 2023 Case</w:t>
      </w:r>
    </w:p>
    <w:p w14:paraId="796F033A" w14:textId="77777777" w:rsidR="00BE0C4A" w:rsidRPr="00BE0C4A" w:rsidRDefault="00BE0C4A" w:rsidP="00BE0C4A">
      <w:r w:rsidRPr="00BE0C4A">
        <w:t xml:space="preserve">In spring 2023, global SST rose sharply, preceding atmospheric warming by weeks [NOAA, 2023]. The North Atlantic marine heatwave exceeded prior records by &gt;0.5 °C, accounting for nearly half of SST gains since 1995 in just weeks (Jones, 2023). This temporal order challenges the conventional </w:t>
      </w:r>
      <w:proofErr w:type="spellStart"/>
      <w:r w:rsidRPr="00BE0C4A">
        <w:t>atmosphere→ocean</w:t>
      </w:r>
      <w:proofErr w:type="spellEnd"/>
      <w:r w:rsidRPr="00BE0C4A">
        <w:t xml:space="preserve"> causal chain. Given the atmosphere’s heat capacity is equivalent to ~3 m of ocean water, such abrupt pulses are difficult to reconcile as </w:t>
      </w:r>
      <w:proofErr w:type="gramStart"/>
      <w:r w:rsidRPr="00BE0C4A">
        <w:t>air-driven</w:t>
      </w:r>
      <w:proofErr w:type="gramEnd"/>
      <w:r w:rsidRPr="00BE0C4A">
        <w:t>. ENSO transition and aerosol reductions may contribute, but the magnitude and timing suggest internal or bottom-up release cannot be excluded [Hu et al., 2020; Peng et al., 2022].</w:t>
      </w:r>
    </w:p>
    <w:p w14:paraId="32DBD011" w14:textId="77777777" w:rsidR="00BE0C4A" w:rsidRPr="00BE0C4A" w:rsidRDefault="00BE0C4A" w:rsidP="00BE0C4A">
      <w:r w:rsidRPr="00BE0C4A">
        <w:pict w14:anchorId="7EC188E3">
          <v:rect id="_x0000_i1070" style="width:0;height:1.5pt" o:hralign="center" o:hrstd="t" o:hr="t" fillcolor="#a0a0a0" stroked="f"/>
        </w:pict>
      </w:r>
    </w:p>
    <w:p w14:paraId="35C9E9BA" w14:textId="77777777" w:rsidR="00BE0C4A" w:rsidRPr="00BE0C4A" w:rsidRDefault="00BE0C4A" w:rsidP="00BE0C4A">
      <w:pPr>
        <w:rPr>
          <w:b/>
          <w:bCs/>
        </w:rPr>
      </w:pPr>
      <w:r w:rsidRPr="00BE0C4A">
        <w:rPr>
          <w:b/>
          <w:bCs/>
        </w:rPr>
        <w:t>4. Deep and Abyssal Fingerprints</w:t>
      </w:r>
    </w:p>
    <w:p w14:paraId="1E185E56" w14:textId="77777777" w:rsidR="00BE0C4A" w:rsidRPr="00BE0C4A" w:rsidRDefault="00BE0C4A" w:rsidP="00BE0C4A">
      <w:r w:rsidRPr="00BE0C4A">
        <w:t xml:space="preserve">Core Argo floats measure </w:t>
      </w:r>
      <w:proofErr w:type="gramStart"/>
      <w:r w:rsidRPr="00BE0C4A">
        <w:t>only to</w:t>
      </w:r>
      <w:proofErr w:type="gramEnd"/>
      <w:r w:rsidRPr="00BE0C4A">
        <w:t xml:space="preserve"> 2000 m, leaving the deep (&gt;2000 m) and abyssal (&gt;4000 m) oceans sparsely observed. Hydrographic repeats and early Deep Argo floats confirm warming at great pressures (4300–5900 m), with global deep uptake ~30–40 TW [Purkey &amp; Johnson, 2010; </w:t>
      </w:r>
      <w:proofErr w:type="spellStart"/>
      <w:r w:rsidRPr="00BE0C4A">
        <w:t>Desbruyères</w:t>
      </w:r>
      <w:proofErr w:type="spellEnd"/>
      <w:r w:rsidRPr="00BE0C4A">
        <w:t xml:space="preserve"> et al., 2016]. Although small in absolute terms, a </w:t>
      </w:r>
      <w:r w:rsidRPr="00BE0C4A">
        <w:rPr>
          <w:b/>
          <w:bCs/>
        </w:rPr>
        <w:t>change (∆T)</w:t>
      </w:r>
      <w:r w:rsidRPr="00BE0C4A">
        <w:t xml:space="preserve"> in geothermal flux — even +1 W m</w:t>
      </w:r>
      <w:r w:rsidRPr="00BE0C4A">
        <w:rPr>
          <w:rFonts w:ascii="Cambria Math" w:hAnsi="Cambria Math" w:cs="Cambria Math"/>
        </w:rPr>
        <w:t>⁻</w:t>
      </w:r>
      <w:r w:rsidRPr="00BE0C4A">
        <w:rPr>
          <w:rFonts w:ascii="Aptos" w:hAnsi="Aptos" w:cs="Aptos"/>
        </w:rPr>
        <w:t>²</w:t>
      </w:r>
      <w:r w:rsidRPr="00BE0C4A">
        <w:t xml:space="preserve"> locally across &lt;0.2% of the seafloor </w:t>
      </w:r>
      <w:r w:rsidRPr="00BE0C4A">
        <w:rPr>
          <w:rFonts w:ascii="Aptos" w:hAnsi="Aptos" w:cs="Aptos"/>
        </w:rPr>
        <w:t>—</w:t>
      </w:r>
      <w:r w:rsidRPr="00BE0C4A">
        <w:t xml:space="preserve"> could equal the planetary imbalance. Local hot spot fluxes of 10</w:t>
      </w:r>
      <w:r w:rsidRPr="00BE0C4A">
        <w:rPr>
          <w:rFonts w:ascii="Aptos" w:hAnsi="Aptos" w:cs="Aptos"/>
        </w:rPr>
        <w:t>³–</w:t>
      </w:r>
      <w:r w:rsidRPr="00BE0C4A">
        <w:t>10</w:t>
      </w:r>
      <w:r w:rsidRPr="00BE0C4A">
        <w:rPr>
          <w:rFonts w:ascii="Aptos" w:hAnsi="Aptos" w:cs="Aptos"/>
        </w:rPr>
        <w:t>⁴</w:t>
      </w:r>
      <w:r w:rsidRPr="00BE0C4A">
        <w:t xml:space="preserve"> W m</w:t>
      </w:r>
      <w:r w:rsidRPr="00BE0C4A">
        <w:rPr>
          <w:rFonts w:ascii="Cambria Math" w:hAnsi="Cambria Math" w:cs="Cambria Math"/>
        </w:rPr>
        <w:t>⁻</w:t>
      </w:r>
      <w:r w:rsidRPr="00BE0C4A">
        <w:rPr>
          <w:rFonts w:ascii="Aptos" w:hAnsi="Aptos" w:cs="Aptos"/>
        </w:rPr>
        <w:t>²</w:t>
      </w:r>
      <w:r w:rsidRPr="00BE0C4A">
        <w:t xml:space="preserve"> at ridge systems [Baker et al., 1996] imply that small areal changes in activity could contribute significantly if synchronized.</w:t>
      </w:r>
    </w:p>
    <w:p w14:paraId="27E7D3F3" w14:textId="77777777" w:rsidR="00BE0C4A" w:rsidRPr="00BE0C4A" w:rsidRDefault="00BE0C4A" w:rsidP="00BE0C4A">
      <w:r w:rsidRPr="00BE0C4A">
        <w:pict w14:anchorId="61AD6207">
          <v:rect id="_x0000_i1071" style="width:0;height:1.5pt" o:hralign="center" o:hrstd="t" o:hr="t" fillcolor="#a0a0a0" stroked="f"/>
        </w:pict>
      </w:r>
    </w:p>
    <w:p w14:paraId="03BAC86E" w14:textId="77777777" w:rsidR="00BE0C4A" w:rsidRPr="00BE0C4A" w:rsidRDefault="00BE0C4A" w:rsidP="00BE0C4A">
      <w:pPr>
        <w:rPr>
          <w:b/>
          <w:bCs/>
        </w:rPr>
      </w:pPr>
      <w:r w:rsidRPr="00BE0C4A">
        <w:rPr>
          <w:b/>
          <w:bCs/>
        </w:rPr>
        <w:t>5. Plurality and Risk Ethics</w:t>
      </w:r>
    </w:p>
    <w:p w14:paraId="2FA7CB73" w14:textId="77777777" w:rsidR="00BE0C4A" w:rsidRPr="00BE0C4A" w:rsidRDefault="00BE0C4A" w:rsidP="00BE0C4A">
      <w:r w:rsidRPr="00BE0C4A">
        <w:t xml:space="preserve">Overstating human dominance risks legitimizing intrusive control measures under the banner of “climate emergency.” Understating it fuels apathy and environmental neglect. Both collapse complexity into political slogans. The prudent stance is plurality: humans are </w:t>
      </w:r>
      <w:r w:rsidRPr="00BE0C4A">
        <w:rPr>
          <w:i/>
          <w:iCs/>
        </w:rPr>
        <w:t>material contributors</w:t>
      </w:r>
      <w:r w:rsidRPr="00BE0C4A">
        <w:t>, but natural Earth–Sun–ocean–geothermal processes remain immense. Policy grounded in resilience and stewardship avoids the extremes of punitive control or reckless disregard [The Ethical Skeptic, 2020].</w:t>
      </w:r>
    </w:p>
    <w:p w14:paraId="5334CA0D" w14:textId="77777777" w:rsidR="00BE0C4A" w:rsidRPr="00BE0C4A" w:rsidRDefault="00BE0C4A" w:rsidP="00BE0C4A">
      <w:r w:rsidRPr="00BE0C4A">
        <w:pict w14:anchorId="5396803B">
          <v:rect id="_x0000_i1072" style="width:0;height:1.5pt" o:hralign="center" o:hrstd="t" o:hr="t" fillcolor="#a0a0a0" stroked="f"/>
        </w:pict>
      </w:r>
    </w:p>
    <w:p w14:paraId="2B38354F" w14:textId="77777777" w:rsidR="00BE0C4A" w:rsidRPr="00BE0C4A" w:rsidRDefault="00BE0C4A" w:rsidP="00BE0C4A">
      <w:pPr>
        <w:rPr>
          <w:b/>
          <w:bCs/>
        </w:rPr>
      </w:pPr>
      <w:r w:rsidRPr="00BE0C4A">
        <w:rPr>
          <w:b/>
          <w:bCs/>
        </w:rPr>
        <w:t>6. Conclusion</w:t>
      </w:r>
    </w:p>
    <w:p w14:paraId="2661D059" w14:textId="77777777" w:rsidR="00BE0C4A" w:rsidRPr="00BE0C4A" w:rsidRDefault="00BE0C4A" w:rsidP="00BE0C4A">
      <w:r w:rsidRPr="00BE0C4A">
        <w:t xml:space="preserve">The 2023–2024 ocean heat anomalies serve as a falsification probe. If repeated pulses continue to break closure between EEI and OHC, or if abyssal warming is shown to dominate increments, the null (anthropogenic-only) attribution will fail. Until then, plurality </w:t>
      </w:r>
      <w:r w:rsidRPr="00BE0C4A">
        <w:lastRenderedPageBreak/>
        <w:t>is the responsible epistemic stance. Science advances not by declaring premature singularity, but by keeping uncomfortable hypotheses live.</w:t>
      </w:r>
    </w:p>
    <w:p w14:paraId="1182A619" w14:textId="77777777" w:rsidR="00BE0C4A" w:rsidRPr="00BE0C4A" w:rsidRDefault="00BE0C4A" w:rsidP="00BE0C4A">
      <w:r w:rsidRPr="00BE0C4A">
        <w:pict w14:anchorId="4FC24188">
          <v:rect id="_x0000_i1073" style="width:0;height:1.5pt" o:hralign="center" o:hrstd="t" o:hr="t" fillcolor="#a0a0a0" stroked="f"/>
        </w:pict>
      </w:r>
    </w:p>
    <w:p w14:paraId="5C2AD6A9" w14:textId="77777777" w:rsidR="00BE0C4A" w:rsidRPr="00BE0C4A" w:rsidRDefault="00BE0C4A" w:rsidP="00BE0C4A">
      <w:pPr>
        <w:rPr>
          <w:b/>
          <w:bCs/>
        </w:rPr>
      </w:pPr>
      <w:r w:rsidRPr="00BE0C4A">
        <w:rPr>
          <w:b/>
          <w:bCs/>
        </w:rPr>
        <w:t>References</w:t>
      </w:r>
    </w:p>
    <w:p w14:paraId="7279F978" w14:textId="77777777" w:rsidR="00BE0C4A" w:rsidRPr="00BE0C4A" w:rsidRDefault="00BE0C4A" w:rsidP="00BE0C4A">
      <w:pPr>
        <w:numPr>
          <w:ilvl w:val="0"/>
          <w:numId w:val="1"/>
        </w:numPr>
      </w:pPr>
      <w:r w:rsidRPr="00BE0C4A">
        <w:t xml:space="preserve">IPCC AR6, WG1, 2021. </w:t>
      </w:r>
      <w:r w:rsidRPr="00BE0C4A">
        <w:rPr>
          <w:i/>
          <w:iCs/>
        </w:rPr>
        <w:t>Climate Change 2021: The Physical Science Basis.</w:t>
      </w:r>
    </w:p>
    <w:p w14:paraId="4C6455E5" w14:textId="77777777" w:rsidR="00BE0C4A" w:rsidRPr="00BE0C4A" w:rsidRDefault="00BE0C4A" w:rsidP="00BE0C4A">
      <w:pPr>
        <w:numPr>
          <w:ilvl w:val="0"/>
          <w:numId w:val="1"/>
        </w:numPr>
      </w:pPr>
      <w:r w:rsidRPr="00BE0C4A">
        <w:t xml:space="preserve">Loeb, N. G. et al., 2021. </w:t>
      </w:r>
      <w:r w:rsidRPr="00BE0C4A">
        <w:rPr>
          <w:i/>
          <w:iCs/>
        </w:rPr>
        <w:t>Satellite and ocean data reveal marked increase in Earth’s heating rate.</w:t>
      </w:r>
      <w:r w:rsidRPr="00BE0C4A">
        <w:t xml:space="preserve"> </w:t>
      </w:r>
      <w:proofErr w:type="spellStart"/>
      <w:r w:rsidRPr="00BE0C4A">
        <w:t>Geophys</w:t>
      </w:r>
      <w:proofErr w:type="spellEnd"/>
      <w:r w:rsidRPr="00BE0C4A">
        <w:t>. Res. Lett., 48, e2021GL093047.</w:t>
      </w:r>
    </w:p>
    <w:p w14:paraId="40402236" w14:textId="77777777" w:rsidR="00BE0C4A" w:rsidRPr="00BE0C4A" w:rsidRDefault="00BE0C4A" w:rsidP="00BE0C4A">
      <w:pPr>
        <w:numPr>
          <w:ilvl w:val="0"/>
          <w:numId w:val="1"/>
        </w:numPr>
      </w:pPr>
      <w:r w:rsidRPr="00BE0C4A">
        <w:t xml:space="preserve">von Schuckmann, K. et al., 2023. </w:t>
      </w:r>
      <w:r w:rsidRPr="00BE0C4A">
        <w:rPr>
          <w:i/>
          <w:iCs/>
        </w:rPr>
        <w:t>Heat stored in the Earth system 1960–2020.</w:t>
      </w:r>
      <w:r w:rsidRPr="00BE0C4A">
        <w:t xml:space="preserve"> Earth Syst. Sci. Data, 15, 1675–1725.</w:t>
      </w:r>
    </w:p>
    <w:p w14:paraId="776D3A4B" w14:textId="77777777" w:rsidR="00BE0C4A" w:rsidRPr="00BE0C4A" w:rsidRDefault="00BE0C4A" w:rsidP="00BE0C4A">
      <w:pPr>
        <w:numPr>
          <w:ilvl w:val="0"/>
          <w:numId w:val="1"/>
        </w:numPr>
      </w:pPr>
      <w:r w:rsidRPr="00BE0C4A">
        <w:t xml:space="preserve">Christensen, J. H. et al., 2024. </w:t>
      </w:r>
      <w:r w:rsidRPr="00BE0C4A">
        <w:rPr>
          <w:i/>
          <w:iCs/>
        </w:rPr>
        <w:t>State of the Climate in 2023.</w:t>
      </w:r>
      <w:r w:rsidRPr="00BE0C4A">
        <w:t xml:space="preserve"> Bull. Am. </w:t>
      </w:r>
      <w:proofErr w:type="spellStart"/>
      <w:r w:rsidRPr="00BE0C4A">
        <w:t>Meteorol</w:t>
      </w:r>
      <w:proofErr w:type="spellEnd"/>
      <w:r w:rsidRPr="00BE0C4A">
        <w:t>. Soc.</w:t>
      </w:r>
    </w:p>
    <w:p w14:paraId="346256CB" w14:textId="77777777" w:rsidR="00BE0C4A" w:rsidRPr="00BE0C4A" w:rsidRDefault="00BE0C4A" w:rsidP="00BE0C4A">
      <w:pPr>
        <w:numPr>
          <w:ilvl w:val="0"/>
          <w:numId w:val="1"/>
        </w:numPr>
      </w:pPr>
      <w:r w:rsidRPr="00BE0C4A">
        <w:t xml:space="preserve">Jones, A. R., 2023. </w:t>
      </w:r>
      <w:r w:rsidRPr="00BE0C4A">
        <w:rPr>
          <w:i/>
          <w:iCs/>
        </w:rPr>
        <w:t>Evidence and Explanation for the 2023 Global Warming Anomaly.</w:t>
      </w:r>
      <w:r w:rsidRPr="00BE0C4A">
        <w:t xml:space="preserve"> Preprint.</w:t>
      </w:r>
    </w:p>
    <w:p w14:paraId="3BA873DA" w14:textId="77777777" w:rsidR="00BE0C4A" w:rsidRPr="00BE0C4A" w:rsidRDefault="00BE0C4A" w:rsidP="00BE0C4A">
      <w:pPr>
        <w:numPr>
          <w:ilvl w:val="0"/>
          <w:numId w:val="1"/>
        </w:numPr>
      </w:pPr>
      <w:r w:rsidRPr="00BE0C4A">
        <w:t xml:space="preserve">Hu, S. et al., 2020. </w:t>
      </w:r>
      <w:r w:rsidRPr="00BE0C4A">
        <w:rPr>
          <w:i/>
          <w:iCs/>
        </w:rPr>
        <w:t>Acceleration of global mean ocean circulation over the past two decades.</w:t>
      </w:r>
      <w:r w:rsidRPr="00BE0C4A">
        <w:t xml:space="preserve"> Science Advances, 6(6).</w:t>
      </w:r>
    </w:p>
    <w:p w14:paraId="48713E53" w14:textId="77777777" w:rsidR="00BE0C4A" w:rsidRPr="00BE0C4A" w:rsidRDefault="00BE0C4A" w:rsidP="00BE0C4A">
      <w:pPr>
        <w:numPr>
          <w:ilvl w:val="0"/>
          <w:numId w:val="1"/>
        </w:numPr>
      </w:pPr>
      <w:r w:rsidRPr="00BE0C4A">
        <w:t xml:space="preserve">Peng, X. et al., 2022. </w:t>
      </w:r>
      <w:r w:rsidRPr="00BE0C4A">
        <w:rPr>
          <w:i/>
          <w:iCs/>
        </w:rPr>
        <w:t>Surface warming–induced acceleration of global upper-ocean currents.</w:t>
      </w:r>
      <w:r w:rsidRPr="00BE0C4A">
        <w:t xml:space="preserve"> Science Advances, 8(7).</w:t>
      </w:r>
    </w:p>
    <w:p w14:paraId="3B70BE9C" w14:textId="77777777" w:rsidR="00BE0C4A" w:rsidRPr="00BE0C4A" w:rsidRDefault="00BE0C4A" w:rsidP="00BE0C4A">
      <w:pPr>
        <w:numPr>
          <w:ilvl w:val="0"/>
          <w:numId w:val="1"/>
        </w:numPr>
      </w:pPr>
      <w:r w:rsidRPr="00BE0C4A">
        <w:t xml:space="preserve">Purkey, S. G. &amp; Johnson, G. C., 2010. </w:t>
      </w:r>
      <w:r w:rsidRPr="00BE0C4A">
        <w:rPr>
          <w:i/>
          <w:iCs/>
        </w:rPr>
        <w:t>Warming of global abyssal and deep Southern Ocean waters between the 1990s and 2000s.</w:t>
      </w:r>
      <w:r w:rsidRPr="00BE0C4A">
        <w:t xml:space="preserve"> J. Climate, 23(23), 6336–6351.</w:t>
      </w:r>
    </w:p>
    <w:p w14:paraId="6F4D32F2" w14:textId="77777777" w:rsidR="00BE0C4A" w:rsidRPr="00BE0C4A" w:rsidRDefault="00BE0C4A" w:rsidP="00BE0C4A">
      <w:pPr>
        <w:numPr>
          <w:ilvl w:val="0"/>
          <w:numId w:val="1"/>
        </w:numPr>
      </w:pPr>
      <w:proofErr w:type="spellStart"/>
      <w:r w:rsidRPr="00BE0C4A">
        <w:t>Desbruyères</w:t>
      </w:r>
      <w:proofErr w:type="spellEnd"/>
      <w:r w:rsidRPr="00BE0C4A">
        <w:t xml:space="preserve">, D. G. et al., 2016. </w:t>
      </w:r>
      <w:r w:rsidRPr="00BE0C4A">
        <w:rPr>
          <w:i/>
          <w:iCs/>
        </w:rPr>
        <w:t>Deep and abyssal ocean warming from 35 years of repeat hydrography.</w:t>
      </w:r>
      <w:r w:rsidRPr="00BE0C4A">
        <w:t xml:space="preserve"> </w:t>
      </w:r>
      <w:proofErr w:type="spellStart"/>
      <w:r w:rsidRPr="00BE0C4A">
        <w:t>Geophys</w:t>
      </w:r>
      <w:proofErr w:type="spellEnd"/>
      <w:r w:rsidRPr="00BE0C4A">
        <w:t>. Res. Lett., 43(19).</w:t>
      </w:r>
    </w:p>
    <w:p w14:paraId="7FA86AAB" w14:textId="77777777" w:rsidR="00BE0C4A" w:rsidRPr="00BE0C4A" w:rsidRDefault="00BE0C4A" w:rsidP="00BE0C4A">
      <w:pPr>
        <w:numPr>
          <w:ilvl w:val="0"/>
          <w:numId w:val="1"/>
        </w:numPr>
      </w:pPr>
      <w:r w:rsidRPr="00BE0C4A">
        <w:t xml:space="preserve">Baker, E. T. et al., 1996. </w:t>
      </w:r>
      <w:r w:rsidRPr="00BE0C4A">
        <w:rPr>
          <w:i/>
          <w:iCs/>
        </w:rPr>
        <w:t>Hydrothermal fluxes from mid-ocean ridges.</w:t>
      </w:r>
      <w:r w:rsidRPr="00BE0C4A">
        <w:t xml:space="preserve"> J. </w:t>
      </w:r>
      <w:proofErr w:type="spellStart"/>
      <w:r w:rsidRPr="00BE0C4A">
        <w:t>Geophys</w:t>
      </w:r>
      <w:proofErr w:type="spellEnd"/>
      <w:r w:rsidRPr="00BE0C4A">
        <w:t>. Res. 101(B2): 2941–2961.</w:t>
      </w:r>
    </w:p>
    <w:p w14:paraId="7B110C97" w14:textId="77777777" w:rsidR="00BE0C4A" w:rsidRPr="00BE0C4A" w:rsidRDefault="00BE0C4A" w:rsidP="00BE0C4A">
      <w:pPr>
        <w:numPr>
          <w:ilvl w:val="0"/>
          <w:numId w:val="1"/>
        </w:numPr>
      </w:pPr>
      <w:r w:rsidRPr="00BE0C4A">
        <w:t xml:space="preserve">The Ethical Skeptic, 2020–2023. </w:t>
      </w:r>
      <w:r w:rsidRPr="00BE0C4A">
        <w:rPr>
          <w:i/>
          <w:iCs/>
        </w:rPr>
        <w:t>Climate change commentary and ECDO model.</w:t>
      </w:r>
    </w:p>
    <w:p w14:paraId="1C6B8B2D" w14:textId="77777777" w:rsidR="00991506" w:rsidRDefault="00991506"/>
    <w:sectPr w:rsidR="00991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466DEA"/>
    <w:multiLevelType w:val="multilevel"/>
    <w:tmpl w:val="E97C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9985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C4A"/>
    <w:rsid w:val="00173BFC"/>
    <w:rsid w:val="004D3D6E"/>
    <w:rsid w:val="005661C0"/>
    <w:rsid w:val="00875C1C"/>
    <w:rsid w:val="00991506"/>
    <w:rsid w:val="00BE0C4A"/>
    <w:rsid w:val="00D37586"/>
    <w:rsid w:val="00F20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28F0F"/>
  <w15:chartTrackingRefBased/>
  <w15:docId w15:val="{B6A45CBD-2868-4B3C-A763-9B37A7950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0C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0C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0C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0C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0C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0C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C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C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C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C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0C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0C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0C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0C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0C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C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C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C4A"/>
    <w:rPr>
      <w:rFonts w:eastAsiaTheme="majorEastAsia" w:cstheme="majorBidi"/>
      <w:color w:val="272727" w:themeColor="text1" w:themeTint="D8"/>
    </w:rPr>
  </w:style>
  <w:style w:type="paragraph" w:styleId="Title">
    <w:name w:val="Title"/>
    <w:basedOn w:val="Normal"/>
    <w:next w:val="Normal"/>
    <w:link w:val="TitleChar"/>
    <w:uiPriority w:val="10"/>
    <w:qFormat/>
    <w:rsid w:val="00BE0C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C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C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C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C4A"/>
    <w:pPr>
      <w:spacing w:before="160"/>
      <w:jc w:val="center"/>
    </w:pPr>
    <w:rPr>
      <w:i/>
      <w:iCs/>
      <w:color w:val="404040" w:themeColor="text1" w:themeTint="BF"/>
    </w:rPr>
  </w:style>
  <w:style w:type="character" w:customStyle="1" w:styleId="QuoteChar">
    <w:name w:val="Quote Char"/>
    <w:basedOn w:val="DefaultParagraphFont"/>
    <w:link w:val="Quote"/>
    <w:uiPriority w:val="29"/>
    <w:rsid w:val="00BE0C4A"/>
    <w:rPr>
      <w:i/>
      <w:iCs/>
      <w:color w:val="404040" w:themeColor="text1" w:themeTint="BF"/>
    </w:rPr>
  </w:style>
  <w:style w:type="paragraph" w:styleId="ListParagraph">
    <w:name w:val="List Paragraph"/>
    <w:basedOn w:val="Normal"/>
    <w:uiPriority w:val="34"/>
    <w:qFormat/>
    <w:rsid w:val="00BE0C4A"/>
    <w:pPr>
      <w:ind w:left="720"/>
      <w:contextualSpacing/>
    </w:pPr>
  </w:style>
  <w:style w:type="character" w:styleId="IntenseEmphasis">
    <w:name w:val="Intense Emphasis"/>
    <w:basedOn w:val="DefaultParagraphFont"/>
    <w:uiPriority w:val="21"/>
    <w:qFormat/>
    <w:rsid w:val="00BE0C4A"/>
    <w:rPr>
      <w:i/>
      <w:iCs/>
      <w:color w:val="0F4761" w:themeColor="accent1" w:themeShade="BF"/>
    </w:rPr>
  </w:style>
  <w:style w:type="paragraph" w:styleId="IntenseQuote">
    <w:name w:val="Intense Quote"/>
    <w:basedOn w:val="Normal"/>
    <w:next w:val="Normal"/>
    <w:link w:val="IntenseQuoteChar"/>
    <w:uiPriority w:val="30"/>
    <w:qFormat/>
    <w:rsid w:val="00BE0C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0C4A"/>
    <w:rPr>
      <w:i/>
      <w:iCs/>
      <w:color w:val="0F4761" w:themeColor="accent1" w:themeShade="BF"/>
    </w:rPr>
  </w:style>
  <w:style w:type="character" w:styleId="IntenseReference">
    <w:name w:val="Intense Reference"/>
    <w:basedOn w:val="DefaultParagraphFont"/>
    <w:uiPriority w:val="32"/>
    <w:qFormat/>
    <w:rsid w:val="00BE0C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4191123">
      <w:bodyDiv w:val="1"/>
      <w:marLeft w:val="0"/>
      <w:marRight w:val="0"/>
      <w:marTop w:val="0"/>
      <w:marBottom w:val="0"/>
      <w:divBdr>
        <w:top w:val="none" w:sz="0" w:space="0" w:color="auto"/>
        <w:left w:val="none" w:sz="0" w:space="0" w:color="auto"/>
        <w:bottom w:val="none" w:sz="0" w:space="0" w:color="auto"/>
        <w:right w:val="none" w:sz="0" w:space="0" w:color="auto"/>
      </w:divBdr>
    </w:div>
    <w:div w:id="193439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826</Words>
  <Characters>4713</Characters>
  <Application>Microsoft Office Word</Application>
  <DocSecurity>0</DocSecurity>
  <Lines>39</Lines>
  <Paragraphs>11</Paragraphs>
  <ScaleCrop>false</ScaleCrop>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Prather</dc:creator>
  <cp:keywords/>
  <dc:description/>
  <cp:lastModifiedBy>Cole Prather</cp:lastModifiedBy>
  <cp:revision>1</cp:revision>
  <dcterms:created xsi:type="dcterms:W3CDTF">2025-08-28T01:02:00Z</dcterms:created>
  <dcterms:modified xsi:type="dcterms:W3CDTF">2025-08-28T01:04:00Z</dcterms:modified>
</cp:coreProperties>
</file>