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color w:val="888888"/>
          <w:sz w:val="14"/>
          <w:szCs w:val="14"/>
        </w:rPr>
        <w:t xml:space="preserve">On Dynamical Systems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i/>
          <w:iCs/>
          <w:color w:val="2E6099"/>
          <w:sz w:val="20"/>
          <w:szCs w:val="20"/>
        </w:rPr>
        <w:t xml:space="preserve">§ Supplementary Section</w:t>
      </w:r>
    </w:p>
    <w:p>
      <w:pPr>
        <w:spacing w:after="400" w:before="12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Thermal Inductance and the Cattaneo–Vernotte Equation</w:t>
      </w:r>
    </w:p>
    <w:p>
      <w:pPr>
        <w:pBdr>
          <w:left w:val="single" w:color="2E6099" w:sz="6" w:space="8"/>
        </w:pBdr>
        <w:spacing w:after="320" w:before="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Abstract. </w:t>
      </w:r>
      <w:r>
        <w:rPr>
          <w:rFonts w:ascii="Arial" w:cs="Arial" w:eastAsia="Arial" w:hAnsi="Arial"/>
          <w:sz w:val="22"/>
          <w:szCs w:val="22"/>
        </w:rPr>
        <w:t xml:space="preserve">Classical thermodynamics models heat conduction as a purely diffusive, first-order process governed by Fourier’s law. Within the bond graph framework, this corresponds to a system with resistance (R) and capacitance (C) elements but no inertance (I) element — a first-order system incapable of oscillation. This section examines whether this absence is a fundamental law of nature or a model limitation. We show that the Cattaneo–Vernotte (CV) hyperbolic heat equation introduces a thermal inertance parameter τⁱ (the heat flux relaxation time), elevates the governing equation to second order, and predicts wave-like heat propagation — a phenomenon experimentally confirmed in several physical systems. The implications for the bond graph analogy framework and for the ODS treatise are discussed.</w:t>
      </w:r>
    </w:p>
    <w:p>
      <w:pPr>
        <w:pBdr>
          <w:bottom w:val="single" w:color="2E6099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The Fourier Model and Its Bond Graph Representation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Fourier's law of heat conduction relates the heat flux vector q to the temperature gradient:</w:t>
      </w:r>
    </w:p>
    <w:p>
      <w:pPr>
        <w:pBdr>
          <w:left w:val="single" w:color="2E6099" w:sz="8" w:space="6"/>
        </w:pBdr>
        <w:shd w:fill="F5F8FC" w:val="clear"/>
        <w:spacing w:after="180" w:before="180"/>
        <w:jc w:val="center"/>
      </w:pPr>
      <w:r>
        <w:rPr>
          <w:rFonts w:ascii="Cambria Math" w:cs="Cambria Math" w:eastAsia="Cambria Math" w:hAnsi="Cambria Math"/>
          <w:i/>
          <w:iCs/>
          <w:color w:val="1A3A5C"/>
          <w:sz w:val="24"/>
          <w:szCs w:val="24"/>
        </w:rPr>
        <w:t xml:space="preserve">q = −k ∇T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(1)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Combined with conservation of energy, this yields the classical parabolic heat equation:</w:t>
      </w:r>
    </w:p>
    <w:p>
      <w:pPr>
        <w:pBdr>
          <w:left w:val="single" w:color="2E6099" w:sz="8" w:space="6"/>
        </w:pBdr>
        <w:shd w:fill="F5F8FC" w:val="clear"/>
        <w:spacing w:after="180" w:before="180"/>
        <w:jc w:val="center"/>
      </w:pPr>
      <w:r>
        <w:rPr>
          <w:rFonts w:ascii="Cambria Math" w:cs="Cambria Math" w:eastAsia="Cambria Math" w:hAnsi="Cambria Math"/>
          <w:i/>
          <w:iCs/>
          <w:color w:val="1A3A5C"/>
          <w:sz w:val="24"/>
          <w:szCs w:val="24"/>
        </w:rPr>
        <w:t xml:space="preserve">ρc_p ∂T/∂t = k ∇²T + Q̇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(2)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In bond graph terms, a lumped thermal system contains two passive elements: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 (thermal resistance, relating temperature difference to heat flow rate) and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_th (thermal capacitance, relating stored thermal energy to temperature). The governing equation for a single R–C thermal node is:</w:t>
      </w:r>
    </w:p>
    <w:p>
      <w:pPr>
        <w:pBdr>
          <w:left w:val="single" w:color="2E6099" w:sz="8" w:space="6"/>
        </w:pBdr>
        <w:shd w:fill="F5F8FC" w:val="clear"/>
        <w:spacing w:after="180" w:before="180"/>
        <w:jc w:val="center"/>
      </w:pPr>
      <w:r>
        <w:rPr>
          <w:rFonts w:ascii="Cambria Math" w:cs="Cambria Math" w:eastAsia="Cambria Math" w:hAnsi="Cambria Math"/>
          <w:i/>
          <w:iCs/>
          <w:color w:val="1A3A5C"/>
          <w:sz w:val="24"/>
          <w:szCs w:val="24"/>
        </w:rPr>
        <w:t xml:space="preserve">C_th · dT/dt + T/R_th = Q̇_s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(3)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characteristic equation </w:t>
      </w:r>
      <w:r>
        <w:rPr>
          <w:rFonts w:ascii="Courier New" w:cs="Courier New" w:eastAsia="Courier New" w:hAnsi="Courier New"/>
          <w:sz w:val="22"/>
          <w:szCs w:val="22"/>
        </w:rPr>
        <w:t xml:space="preserve">s + 1/(R_th C_th) = 0</w:t>
      </w:r>
      <w:r>
        <w:rPr>
          <w:rFonts w:ascii="Arial" w:cs="Arial" w:eastAsia="Arial" w:hAnsi="Arial"/>
          <w:sz w:val="22"/>
          <w:szCs w:val="22"/>
        </w:rPr>
        <w:t xml:space="preserve"> has a single real negative root. The system is inherently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first-order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non-oscillatory</w:t>
      </w:r>
      <w:r>
        <w:rPr>
          <w:rFonts w:ascii="Arial" w:cs="Arial" w:eastAsia="Arial" w:hAnsi="Arial"/>
          <w:sz w:val="22"/>
          <w:szCs w:val="22"/>
        </w:rPr>
        <w:t xml:space="preserve">. In the cross-domain analogy table, the thermal I element slot is marked “not physical” — but this deserves scrutiny.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The Cattaneo–Vernotte Equation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Fourier’s law implies that thermal disturbances propagate 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infinite speed</w:t>
      </w:r>
      <w:r>
        <w:rPr>
          <w:rFonts w:ascii="Arial" w:cs="Arial" w:eastAsia="Arial" w:hAnsi="Arial"/>
          <w:sz w:val="22"/>
          <w:szCs w:val="22"/>
        </w:rPr>
        <w:t xml:space="preserve"> — a consequence of the parabolic character of Equation (2). This is mathematically convenient but physically untenable: no signal can propagate faster than the speed of light, and at short timescales the thermal equilibration process has a finite relaxation time.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Carlo Cattaneo (1948) and Pieter Vernotte (1958) independently proposed a modification to Fourier’s law that introduces a heat flux relaxation time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τⁱ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left w:val="single" w:color="2E6099" w:sz="8" w:space="6"/>
        </w:pBdr>
        <w:shd w:fill="F5F8FC" w:val="clear"/>
        <w:spacing w:after="180" w:before="180"/>
        <w:jc w:val="center"/>
      </w:pPr>
      <w:r>
        <w:rPr>
          <w:rFonts w:ascii="Cambria Math" w:cs="Cambria Math" w:eastAsia="Cambria Math" w:hAnsi="Cambria Math"/>
          <w:i/>
          <w:iCs/>
          <w:color w:val="1A3A5C"/>
          <w:sz w:val="24"/>
          <w:szCs w:val="24"/>
        </w:rPr>
        <w:t xml:space="preserve">τ_q ∂q̇/∂t + q = −k∇T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(4)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Cattaneo–Vernotte (CV) constitutive law</w:t>
      </w:r>
      <w:r>
        <w:rPr>
          <w:rFonts w:ascii="Arial" w:cs="Arial" w:eastAsia="Arial" w:hAnsi="Arial"/>
          <w:sz w:val="22"/>
          <w:szCs w:val="22"/>
        </w:rPr>
        <w:t xml:space="preserve">. The term </w:t>
      </w:r>
      <w:r>
        <w:rPr>
          <w:rFonts w:ascii="Courier New" w:cs="Courier New" w:eastAsia="Courier New" w:hAnsi="Courier New"/>
          <w:sz w:val="22"/>
          <w:szCs w:val="22"/>
        </w:rPr>
        <w:t xml:space="preserve">τⁱ ∂q/∂t</w:t>
      </w:r>
      <w:r>
        <w:rPr>
          <w:rFonts w:ascii="Arial" w:cs="Arial" w:eastAsia="Arial" w:hAnsi="Arial"/>
          <w:sz w:val="22"/>
          <w:szCs w:val="22"/>
        </w:rPr>
        <w:t xml:space="preserve"> asserts that heat flux cannot change instantaneously — it has inertia. When this replaces Fourier’s law in the energy equation, the result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hyperbolic heat equation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left w:val="single" w:color="2E6099" w:sz="8" w:space="6"/>
        </w:pBdr>
        <w:shd w:fill="F5F8FC" w:val="clear"/>
        <w:spacing w:after="180" w:before="180"/>
        <w:jc w:val="center"/>
      </w:pPr>
      <w:r>
        <w:rPr>
          <w:rFonts w:ascii="Cambria Math" w:cs="Cambria Math" w:eastAsia="Cambria Math" w:hAnsi="Cambria Math"/>
          <w:i/>
          <w:iCs/>
          <w:color w:val="1A3A5C"/>
          <w:sz w:val="24"/>
          <w:szCs w:val="24"/>
        </w:rPr>
        <w:t xml:space="preserve">τ_q ∂²T/∂t² + ∂T/∂t = α ∇²T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(5)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where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α = k/(ρc_p)</w:t>
      </w:r>
      <w:r>
        <w:rPr>
          <w:rFonts w:ascii="Arial" w:cs="Arial" w:eastAsia="Arial" w:hAnsi="Arial"/>
          <w:sz w:val="22"/>
          <w:szCs w:val="22"/>
        </w:rPr>
        <w:t xml:space="preserve"> is the thermal diffusivity. Equation (5) is 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telegraph equation</w:t>
      </w:r>
      <w:r>
        <w:rPr>
          <w:rFonts w:ascii="Arial" w:cs="Arial" w:eastAsia="Arial" w:hAnsi="Arial"/>
          <w:sz w:val="22"/>
          <w:szCs w:val="22"/>
        </w:rPr>
        <w:t xml:space="preserve"> — the canonical form of a damped wave equation. It admits solutions of the form </w:t>
      </w:r>
      <w:r>
        <w:rPr>
          <w:rFonts w:ascii="Courier New" w:cs="Courier New" w:eastAsia="Courier New" w:hAnsi="Courier New"/>
          <w:sz w:val="22"/>
          <w:szCs w:val="22"/>
        </w:rPr>
        <w:t xml:space="preserve">T(x,t) = e^{−αt} cos(kx − ωt)</w:t>
      </w:r>
      <w:r>
        <w:rPr>
          <w:rFonts w:ascii="Arial" w:cs="Arial" w:eastAsia="Arial" w:hAnsi="Arial"/>
          <w:sz w:val="22"/>
          <w:szCs w:val="22"/>
        </w:rPr>
        <w:t xml:space="preserve">, describing temperature waves that propagate at finite speed </w:t>
      </w:r>
      <w:r>
        <w:rPr>
          <w:rFonts w:ascii="Courier New" w:cs="Courier New" w:eastAsia="Courier New" w:hAnsi="Courier New"/>
          <w:sz w:val="22"/>
          <w:szCs w:val="22"/>
        </w:rPr>
        <w:t xml:space="preserve">c = √(α/τⁱ)</w:t>
      </w:r>
      <w:r>
        <w:rPr>
          <w:rFonts w:ascii="Arial" w:cs="Arial" w:eastAsia="Arial" w:hAnsi="Arial"/>
          <w:sz w:val="22"/>
          <w:szCs w:val="22"/>
        </w:rPr>
        <w:t xml:space="preserve"> and decay exponentially in time.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099"/>
          <w:sz w:val="26"/>
          <w:szCs w:val="26"/>
        </w:rPr>
        <w:t xml:space="preserve">2.1 The Thermal Inertance Parameter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In lumped form, the CV equation for a single node becomes:</w:t>
      </w:r>
    </w:p>
    <w:p>
      <w:pPr>
        <w:pBdr>
          <w:left w:val="single" w:color="2E6099" w:sz="8" w:space="6"/>
        </w:pBdr>
        <w:shd w:fill="F5F8FC" w:val="clear"/>
        <w:spacing w:after="180" w:before="180"/>
        <w:jc w:val="center"/>
      </w:pPr>
      <w:r>
        <w:rPr>
          <w:rFonts w:ascii="Cambria Math" w:cs="Cambria Math" w:eastAsia="Cambria Math" w:hAnsi="Cambria Math"/>
          <w:i/>
          <w:iCs/>
          <w:color w:val="1A3A5C"/>
          <w:sz w:val="24"/>
          <w:szCs w:val="24"/>
        </w:rPr>
        <w:t xml:space="preserve">C_th τ_q · d²T/dt² + C_th · dT/dt + T/R_th = Q̇_s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(6)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Comparing with the standard second-order bond graph form </w:t>
      </w:r>
      <w:r>
        <w:rPr>
          <w:rFonts w:ascii="Courier New" w:cs="Courier New" w:eastAsia="Courier New" w:hAnsi="Courier New"/>
          <w:sz w:val="22"/>
          <w:szCs w:val="22"/>
        </w:rPr>
        <w:t xml:space="preserve">I·d²q/dt² + R·dq/dt + (1/C)·q = e</w:t>
      </w:r>
      <w:r>
        <w:rPr>
          <w:rFonts w:ascii="Arial" w:cs="Arial" w:eastAsia="Arial" w:hAnsi="Arial"/>
          <w:sz w:val="22"/>
          <w:szCs w:val="22"/>
        </w:rPr>
        <w:t xml:space="preserve">, the identification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1A2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8E8"/>
                <w:sz w:val="20"/>
                <w:szCs w:val="20"/>
              </w:rPr>
              <w:t xml:space="preserve">Bond Graph</w:t>
            </w:r>
          </w:p>
        </w:tc>
        <w:tc>
          <w:tcPr>
            <w:tcW w:type="dxa" w:w="234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1A2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8E8"/>
                <w:sz w:val="20"/>
                <w:szCs w:val="20"/>
              </w:rPr>
              <w:t xml:space="preserve">Symbol</w:t>
            </w:r>
          </w:p>
        </w:tc>
        <w:tc>
          <w:tcPr>
            <w:tcW w:type="dxa" w:w="234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1A2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8E8"/>
                <w:sz w:val="20"/>
                <w:szCs w:val="20"/>
              </w:rPr>
              <w:t xml:space="preserve">Thermal (Fourier)</w:t>
            </w:r>
          </w:p>
        </w:tc>
        <w:tc>
          <w:tcPr>
            <w:tcW w:type="dxa" w:w="234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1A2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8E8"/>
                <w:sz w:val="20"/>
                <w:szCs w:val="20"/>
              </w:rPr>
              <w:t xml:space="preserve">Thermal (CV)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  (inertance)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τ_q · C_th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—  (absent)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099"/>
                <w:sz w:val="18"/>
                <w:szCs w:val="18"/>
              </w:rPr>
              <w:t xml:space="preserve">Present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  (capacitance)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C_th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C_th = ρc_p 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C_th = ρc_p 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  (resistance)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R_th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R_th = L/(kA)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R_th = L/(kA)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System 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11111"/>
                <w:sz w:val="18"/>
                <w:szCs w:val="18"/>
              </w:rPr>
              <w:t xml:space="preserve">1st 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2nd order</w:t>
            </w:r>
          </w:p>
        </w:tc>
      </w:tr>
    </w:tbl>
    <w:p>
      <w:pPr>
        <w:spacing w:after="240" w:before="80" w:line="276"/>
        <w:jc w:val="both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1. Bond graph element mapping for classical Fourier and Cattaneo–Vernotte thermal models.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thermal inertance in the CV model is not an independent parameter — it is </w:t>
      </w:r>
      <w:r>
        <w:rPr>
          <w:rFonts w:ascii="Courier New" w:cs="Courier New" w:eastAsia="Courier New" w:hAnsi="Courier New"/>
          <w:sz w:val="22"/>
          <w:szCs w:val="22"/>
        </w:rPr>
        <w:t xml:space="preserve">I_th = τ_q · C_th</w:t>
      </w:r>
      <w:r>
        <w:rPr>
          <w:rFonts w:ascii="Arial" w:cs="Arial" w:eastAsia="Arial" w:hAnsi="Arial"/>
          <w:sz w:val="22"/>
          <w:szCs w:val="22"/>
        </w:rPr>
        <w:t xml:space="preserve">. The single new physical quantity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heat flux relaxation time τⁱ</w:t>
      </w:r>
      <w:r>
        <w:rPr>
          <w:rFonts w:ascii="Arial" w:cs="Arial" w:eastAsia="Arial" w:hAnsi="Arial"/>
          <w:sz w:val="22"/>
          <w:szCs w:val="22"/>
        </w:rPr>
        <w:t xml:space="preserve">. The natural frequency and damping ratio of the CV thermal system are:</w:t>
      </w:r>
    </w:p>
    <w:p>
      <w:pPr>
        <w:pBdr>
          <w:left w:val="single" w:color="2E6099" w:sz="8" w:space="6"/>
        </w:pBdr>
        <w:shd w:fill="F5F8FC" w:val="clear"/>
        <w:spacing w:after="180" w:before="180"/>
        <w:jc w:val="center"/>
      </w:pPr>
      <w:r>
        <w:rPr>
          <w:rFonts w:ascii="Cambria Math" w:cs="Cambria Math" w:eastAsia="Cambria Math" w:hAnsi="Cambria Math"/>
          <w:i/>
          <w:iCs/>
          <w:color w:val="1A3A5C"/>
          <w:sz w:val="24"/>
          <w:szCs w:val="24"/>
        </w:rPr>
        <w:t xml:space="preserve">ω_n = 1/√(I_th · C_th) = 1/τ_q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(7)</w:t>
      </w:r>
    </w:p>
    <w:p>
      <w:pPr>
        <w:pBdr>
          <w:left w:val="single" w:color="2E6099" w:sz="8" w:space="6"/>
        </w:pBdr>
        <w:shd w:fill="F5F8FC" w:val="clear"/>
        <w:spacing w:after="180" w:before="180"/>
        <w:jc w:val="center"/>
      </w:pPr>
      <w:r>
        <w:rPr>
          <w:rFonts w:ascii="Cambria Math" w:cs="Cambria Math" w:eastAsia="Cambria Math" w:hAnsi="Cambria Math"/>
          <w:i/>
          <w:iCs/>
          <w:color w:val="1A3A5C"/>
          <w:sz w:val="24"/>
          <w:szCs w:val="24"/>
        </w:rPr>
        <w:t xml:space="preserve">ζ = (R_th/2) · √(C_th / I_th) = R_th C_th / (2τ_q)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(8)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Experimental Evidence for Thermal Inertance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Thermal wave propagation is not theoretical — it has been directly observed in several systems where τⁱ is large enough to be measurable: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Superfluid Helium-4 below T_λ = 2.17 K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Thermal waves (“second sound”) propagate at ~20 m/s. First observed by Peshkov (1944). The clearest macroscopic demonstration of a finite heat flux relaxation time.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Solid Helium-3 and Helium-4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Second sound observed in solid phases, demonstrating that thermal inertance persists into crystalline states.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Sodium fluoride (NaF) crystals near 10 K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Jackson and Walker (1971) observed thermal pulses propagating as waves with τ_q on the order of 10⁻¹ s — measurable with standard electronics.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Bismuth at cryogenic temperatures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Thermal wave propagation observed by Narayanamurti and Dynes (1972).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Graphene and carbon nanotubes at room temperature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At nanoscale dimensions and picosecond timescales, phonon mean free paths exceed system dimensions and τ_q becomes significant. Active area of current research in nanoscale heat transfer.</w:t>
      </w:r>
    </w:p>
    <w:p>
      <w:pPr>
        <w:spacing w:after="120" w:before="2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In all cases, the observability of thermal waves requires either very low temperatures (where phonon–phonon scattering is suppressed and τ_q increases), or very small length scales and short timescales (where the phonon mean free path Λ becomes comparable to the system dimension L). The relevant dimensionless parameter is the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Knudsen number</w:t>
      </w:r>
      <w:r>
        <w:rPr>
          <w:rFonts w:ascii="Arial" w:cs="Arial" w:eastAsia="Arial" w:hAnsi="Arial"/>
          <w:sz w:val="22"/>
          <w:szCs w:val="22"/>
        </w:rPr>
        <w:t xml:space="preserve"> Kn = Λ/L. When Kn ≪ 1, Fourier’s law applies. When Kn ≈ 1 or Kn &gt; 1, the CV model (or full phonon Boltzmann transport) is required.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Implications for the Bond Graph Analogy Framework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thermal I element is not absent from nature — it is absent from the engineering scale. This distinction matters for the ODS treatise in three ways.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099"/>
          <w:sz w:val="26"/>
          <w:szCs w:val="26"/>
        </w:rPr>
        <w:t xml:space="preserve">4.1 The Analogy Is Scale-Dependent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standard claim that “thermal systems have no I element” should be qualified: thermal inertance is negligible when τ_q ≪ R_th C_th, which holds for all conventional engineering applications (HVAC, heat exchangers, electronic cooling). The Fourier first-order model is then an excellent approximation. At nanoscale or cryogenic conditions, τ_q becomes comparable to or larger than the system’s thermal time constant, and the full second-order CV model applies.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analogous to how the lumped capacitance model (Bi &lt; 0.1) breaks down when spatial temperature gradients become significant — the model is not wrong, it has a domain of validity.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099"/>
          <w:sz w:val="26"/>
          <w:szCs w:val="26"/>
        </w:rPr>
        <w:t xml:space="preserve">4.2 The Bond Graph Is More General Than the Fourier Model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bond graph framework, by admitting I elements in the thermal domain, is actually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more general</w:t>
      </w:r>
      <w:r>
        <w:rPr>
          <w:rFonts w:ascii="Arial" w:cs="Arial" w:eastAsia="Arial" w:hAnsi="Arial"/>
          <w:sz w:val="22"/>
          <w:szCs w:val="22"/>
        </w:rPr>
        <w:t xml:space="preserve"> than Fourier’s law. A bond graph with a thermal I element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is</w:t>
      </w:r>
      <w:r>
        <w:rPr>
          <w:rFonts w:ascii="Arial" w:cs="Arial" w:eastAsia="Arial" w:hAnsi="Arial"/>
          <w:sz w:val="22"/>
          <w:szCs w:val="22"/>
        </w:rPr>
        <w:t xml:space="preserve"> a valid physical model — it describes the CV system. The PhysicaFlow simulator should therefore allow users to add I elements to thermal systems and should display the resulting second-order behavior, with the annotation that the I value represents </w:t>
      </w:r>
      <w:r>
        <w:rPr>
          <w:rFonts w:ascii="Courier New" w:cs="Courier New" w:eastAsia="Courier New" w:hAnsi="Courier New"/>
          <w:sz w:val="22"/>
          <w:szCs w:val="22"/>
        </w:rPr>
        <w:t xml:space="preserve">τ_q · C_th</w:t>
      </w:r>
      <w:r>
        <w:rPr>
          <w:rFonts w:ascii="Arial" w:cs="Arial" w:eastAsia="Arial" w:hAnsi="Arial"/>
          <w:sz w:val="22"/>
          <w:szCs w:val="22"/>
        </w:rPr>
        <w:t xml:space="preserve"> and is physically relevant only at nanoscale or cryogenic conditions.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099"/>
          <w:sz w:val="26"/>
          <w:szCs w:val="26"/>
        </w:rPr>
        <w:t xml:space="preserve">4.3 Connection to the ODS Underdetermination Theorem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ODS treatise establishes that the product structure B = R × D is underdetermined — the same bond graph topology admits multiple physical interpretations. The thermal I example is a concrete instance: the abstract inertance element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can be interpreted as a mass, an inductor, a fluid inertance, or </w:t>
      </w:r>
      <w:r>
        <w:rPr>
          <w:rFonts w:ascii="Courier New" w:cs="Courier New" w:eastAsia="Courier New" w:hAnsi="Courier New"/>
          <w:sz w:val="22"/>
          <w:szCs w:val="22"/>
        </w:rPr>
        <w:t xml:space="preserve">τ_q C_th</w:t>
      </w:r>
      <w:r>
        <w:rPr>
          <w:rFonts w:ascii="Arial" w:cs="Arial" w:eastAsia="Arial" w:hAnsi="Arial"/>
          <w:sz w:val="22"/>
          <w:szCs w:val="22"/>
        </w:rPr>
        <w:t xml:space="preserve"> depending on domain. The fact that thermal inertance requires extreme conditions to be observable does not undermine the analogy — it reveals that physical realizability is a constraint on the domain D, not on the abstract bond graph structure B.</w:t>
      </w:r>
    </w:p>
    <w:p>
      <w:pPr>
        <w:pBdr>
          <w:bottom w:val="single" w:color="2E6099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1A2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8E8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1A2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8E8"/>
                <w:sz w:val="20"/>
                <w:szCs w:val="20"/>
              </w:rPr>
              <w:t xml:space="preserve">Fourier Model</w:t>
            </w:r>
          </w:p>
        </w:tc>
        <w:tc>
          <w:tcPr>
            <w:tcW w:type="dxa" w:w="312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1A2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D8E8"/>
                <w:sz w:val="20"/>
                <w:szCs w:val="20"/>
              </w:rPr>
              <w:t xml:space="preserve">Cattaneo–Vernotte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Governing PDE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Parabolic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Hyperbolic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Propagation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11111"/>
                <w:sz w:val="18"/>
                <w:szCs w:val="18"/>
              </w:rPr>
              <w:t xml:space="preserve">Infinite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 = √(α/τ_q)  (finite)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Bond graph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1st order (R–C)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2nd order (I–R–C)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Oscillation possible?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3333"/>
                <w:sz w:val="18"/>
                <w:szCs w:val="18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A"/>
                <w:sz w:val="18"/>
                <w:szCs w:val="18"/>
              </w:rPr>
              <w:t xml:space="preserve">Yes (second sound)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Domain of validity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Engineering scales (Kn ≪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Nanoscale, cryogenic (Kn ≈ 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Thermal I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111111"/>
                <w:sz w:val="18"/>
                <w:szCs w:val="18"/>
              </w:rPr>
              <w:t xml:space="preserve">Absent / negligible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6099"/>
                <w:sz w:val="18"/>
                <w:szCs w:val="18"/>
              </w:rPr>
              <w:t xml:space="preserve">τ_q · C_th</w:t>
            </w:r>
          </w:p>
        </w:tc>
      </w:tr>
    </w:tbl>
    <w:p>
      <w:pPr>
        <w:spacing w:after="300" w:before="80" w:line="276"/>
        <w:jc w:val="both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2. Comparison of Fourier and Cattaneo–Vernotte thermal models.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thermal I element exists physically — it is the heat flux relaxation time τ_q multiplied by the thermal capacitance. Its absence from standard engineering models reflects a scale assumption (Kn ≪ 1), not a law of nature. The bond graph framework, by treating I as a valid thermal element, is implicitly more general than Fourier’s law and correctly describes wave-like heat conduction when τ_q is non-negligible. This is precisely the kind of cross-domain structural insight the ODS treatise aims to formalize.</w:t>
      </w:r>
    </w:p>
    <w:p>
      <w:pPr>
        <w:pBdr>
          <w:bottom w:val="single" w:color="2E6099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References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[1]  Cattaneo, C. (1948). Sulla conduzione del calore. Atti del Seminario Matematico e Fisico dell’Università di Modena, 3, 83–101.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[2]  Vernotte, P. (1958). Les paradoxes de la théorie continue de l’équation de la chaleur. Comptes Rendus Hebdomadaires des Séances de l’Académie des Sciences, 246, 3154–3155.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[3]  Peshkov, V. (1944). Second sound in helium II. Journal of Physics USSR, 8, 381.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[4]  Jackson, H. E., &amp; Walker, C. T. (1971). Thermal conductivity, second sound, and phonon–phonon interactions in NaF. Physical Review B, 3(4), 1428.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[5]  Narayanamurti, V., &amp; Dynes, R. C. (1972). Observation of second sound in bismuth. Physical Review Letters, 28(22), 1461.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[6]  Joseph, D. D., &amp; Preziosi, L. (1989). Heat waves. Reviews of Modern Physics, 61(1), 41–73.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[7]  Karnopp, D. C., Margolis, D. L., &amp; Rosenberg, R. C. (2012). System Dynamics: Modeling, Simulation, and Control of Mechatronic Systems (5th ed.). Wiley.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[8]  Tzou, D. Y. (1997). Macro- to Micro-Scale Heat Transfer: The Lagging Behavior. Taylor &amp; Francis.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60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609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2026-04-02T16:11:04.146Z</dcterms:created>
  <dcterms:modified xsi:type="dcterms:W3CDTF">2026-04-02T16:11:04.148Z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