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Myth as a Long-Baseline Information Channel</w:t>
      </w:r>
    </w:p>
    <w:p>
      <w:pPr>
        <w:spacing w:after="60"/>
        <w:jc w:val="center"/>
      </w:pPr>
      <w:r>
        <w:rPr>
          <w:i/>
          <w:iCs/>
          <w:sz w:val="24"/>
          <w:szCs w:val="24"/>
        </w:rPr>
        <w:t xml:space="preserve">A Hypothesis on Narrative-Emotional Density and Cultural Information Persistence</w:t>
      </w:r>
    </w:p>
    <w:p>
      <w:pPr>
        <w:spacing w:after="280"/>
        <w:jc w:val="center"/>
      </w:pPr>
      <w:r>
        <w:rPr>
          <w:sz w:val="20"/>
          <w:szCs w:val="20"/>
        </w:rPr>
        <w:t xml:space="preserve">Peirastes  ·  Draft v0.1</w:t>
      </w:r>
    </w:p>
    <w:p>
      <w:pPr>
        <w:spacing w:after="100"/>
      </w:pPr>
      <w:r>
        <w:rPr>
          <w:b/>
          <w:bCs/>
          <w:sz w:val="24"/>
          <w:szCs w:val="24"/>
        </w:rPr>
        <w:t xml:space="preserve">Abstract</w:t>
      </w:r>
    </w:p>
    <w:p>
      <w:pPr>
        <w:spacing w:after="160" w:line="300"/>
        <w:jc w:val="both"/>
      </w:pPr>
      <w:r>
        <w:t xml:space="preserve">Cultural information persists across generations as a function of its </w:t>
      </w:r>
      <w:r>
        <w:rPr>
          <w:i/>
          <w:iCs/>
        </w:rPr>
        <w:t xml:space="preserve">narrative-emotional density</w:t>
      </w:r>
      <w:r>
        <w:t xml:space="preserve">, not its </w:t>
      </w:r>
      <w:r>
        <w:rPr>
          <w:i/>
          <w:iCs/>
        </w:rPr>
        <w:t xml:space="preserve">informational density</w:t>
      </w:r>
      <w:r>
        <w:t xml:space="preserve">. Mythological and sacred narrative structures therefore function as humanity's preferred medium for transmitting signals whose characteristic timescales exceed individual lifespan, while technical and procedural information—lacking narrative-emotional density—requires external preservation infrastructure to survive comparable timescales. This paper articulates the hypothesis, specifies its mechanism and predicted pattern, identifies the conditions under which it would be falsified, and proposes the zodiac as the cleanest extant test case.</w:t>
      </w:r>
    </w:p>
    <w:p>
      <w:pPr>
        <w:pStyle w:val="Heading2"/>
        <w:spacing w:after="120" w:before="240"/>
      </w:pPr>
      <w:r>
        <w:rPr>
          <w:b/>
          <w:bCs/>
        </w:rPr>
        <w:t xml:space="preserve">1. The Puzzle</w:t>
      </w:r>
    </w:p>
    <w:p>
      <w:pPr>
        <w:spacing w:after="160" w:line="300"/>
        <w:jc w:val="both"/>
      </w:pPr>
      <w:r>
        <w:t xml:space="preserve">Zodiacal and sky-tracking structures appear across geographically and temporally disconnected cultures with surprising structural similarity. Babylonian, Egyptian, Greek, Indian, Chinese, Persian, pre-Islamic Arab, and Mesoamerican traditions each developed systems for partitioning the ecliptic or the celestial sphere into named regions, often with associated narratives. Standard explanations—convergent practical astronomy on the one hand, diffusion from common sources on the other—are partially adequate. The Moon's sidereal period falls near 27.3 days, the solar year contains roughly twelve lunations, and Mesopotamian astronomical influence demonstrably spread along the trade and conquest routes of the first millennium BCE.</w:t>
      </w:r>
    </w:p>
    <w:p>
      <w:pPr>
        <w:spacing w:after="160" w:line="300"/>
        <w:jc w:val="both"/>
      </w:pPr>
      <w:r>
        <w:t xml:space="preserve">These explanations account for the existence of such systems but leave a more specific puzzle untouched. Literate civilizations of antiquity possessed both technical-procedural and narrative-mythological encoding formats and used both routinely. Yet long-baseline astronomical information—heliacal rising calendars, pole-star identities, ecliptic divisions—was preferentially embedded in the narrative-mythological format rather than the technical-procedural one. This preference requires explanation.</w:t>
      </w:r>
    </w:p>
    <w:p>
      <w:pPr>
        <w:pStyle w:val="Heading2"/>
        <w:spacing w:after="120" w:before="240"/>
      </w:pPr>
      <w:r>
        <w:rPr>
          <w:b/>
          <w:bCs/>
        </w:rPr>
        <w:t xml:space="preserve">2. Hypothesis</w:t>
      </w:r>
    </w:p>
    <w:p>
      <w:pPr>
        <w:spacing w:after="160" w:line="300"/>
        <w:jc w:val="both"/>
      </w:pPr>
      <w:r>
        <w:t xml:space="preserve">Cultural information persists across generations as a function of its </w:t>
      </w:r>
      <w:r>
        <w:rPr>
          <w:i/>
          <w:iCs/>
        </w:rPr>
        <w:t xml:space="preserve">narrative-emotional density</w:t>
      </w:r>
      <w:r>
        <w:t xml:space="preserve">, not its </w:t>
      </w:r>
      <w:r>
        <w:rPr>
          <w:i/>
          <w:iCs/>
        </w:rPr>
        <w:t xml:space="preserve">informational density</w:t>
      </w:r>
      <w:r>
        <w:t xml:space="preserve">. Mythological and sacred narrative structures therefore function as humanity's preferred medium for transmitting signals whose characteristic timescales exceed individual lifespan, while technical and procedural information—lacking narrative-emotional density—requires external preservation infrastructure to survive comparable timescales.</w:t>
      </w:r>
    </w:p>
    <w:p>
      <w:pPr>
        <w:spacing w:after="160" w:line="300"/>
        <w:jc w:val="both"/>
      </w:pPr>
      <w:r>
        <w:t xml:space="preserve">Two terms require precision. </w:t>
      </w:r>
      <w:r>
        <w:rPr>
          <w:i/>
          <w:iCs/>
        </w:rPr>
        <w:t xml:space="preserve">Informational density</w:t>
      </w:r>
      <w:r>
        <w:t xml:space="preserve"> refers to factual content per symbol or unit of expression: a grain receipt is high in informational density and low in everything else. </w:t>
      </w:r>
      <w:r>
        <w:rPr>
          <w:i/>
          <w:iCs/>
        </w:rPr>
        <w:t xml:space="preserve">Narrative-emotional density</w:t>
      </w:r>
      <w:r>
        <w:t xml:space="preserve"> refers to the capacity of an expression to bind to human emotional, identity, and ritual structures in ways that drive voluntary rehearsal across time. </w:t>
      </w:r>
      <w:r>
        <w:rPr>
          <w:i/>
          <w:iCs/>
        </w:rPr>
        <w:t xml:space="preserve">Characteristic timescale</w:t>
      </w:r>
      <w:r>
        <w:t xml:space="preserve"> refers to the duration over which a signal must be observed for its pattern to be recognized—whether through cyclical recurrence (precession, eclipse cycles), rare-event return periods (impacts, megaquakes), or signal-to-noise integration (climate trend versus weather). The hypothesis concerns signals whose characteristic timescale exceeds the active observational span of a single human, roughly 25 to 70 years.</w:t>
      </w:r>
    </w:p>
    <w:p>
      <w:pPr>
        <w:pStyle w:val="Heading2"/>
        <w:spacing w:after="120" w:before="240"/>
      </w:pPr>
      <w:r>
        <w:rPr>
          <w:b/>
          <w:bCs/>
        </w:rPr>
        <w:t xml:space="preserve">3. Mechanism</w:t>
      </w:r>
    </w:p>
    <w:p>
      <w:pPr>
        <w:spacing w:after="160" w:line="300"/>
        <w:jc w:val="both"/>
      </w:pPr>
      <w:r>
        <w:t xml:space="preserve">Cultural information does not persist by inertia. It persists only insofar as it is reproduced—rehearsed, retold, re-enacted—by successive generations of carriers. The selection pressure on cultural information formats therefore favors formats that humans will reproduce voluntarily, and disfavors formats that depend on external coercion or institutional continuity for their survival.</w:t>
      </w:r>
    </w:p>
    <w:p>
      <w:pPr>
        <w:spacing w:after="160" w:line="300"/>
        <w:jc w:val="both"/>
      </w:pPr>
      <w:r>
        <w:t xml:space="preserve">Narrative-emotional density is the property that drives voluntary reproduction. A myth bound to identity, ritual, and cosmological orientation will be retold across generations whether or not the retellers understand what the myth originally encoded; the emotional and identity-binding payload is what guarantees rehearsal. Sacred status functions as error-correction: modifications to a sacred narrative are culturally expensive, which protects the signal against drift over the same intervals during which technical content is freely emended.</w:t>
      </w:r>
    </w:p>
    <w:p>
      <w:pPr>
        <w:spacing w:after="160" w:line="300"/>
        <w:jc w:val="both"/>
      </w:pPr>
      <w:r>
        <w:t xml:space="preserve">Crucially, the signal embedded in a mythological structure can survive the loss of its own metadata. A culture that no longer practices systematic astronomy can still transmit a star-myth intact, and a later astronomically literate culture can recover the embedded observation. The format degrades gracefully. Technical-procedural formats, by contrast, require an unbroken interpretive lineage and lose their signal the moment that lineage breaks.</w:t>
      </w:r>
    </w:p>
    <w:p>
      <w:pPr>
        <w:pStyle w:val="Heading2"/>
        <w:spacing w:after="120" w:before="240"/>
      </w:pPr>
      <w:r>
        <w:rPr>
          <w:b/>
          <w:bCs/>
        </w:rPr>
        <w:t xml:space="preserve">4. Predicted Pattern</w:t>
      </w:r>
    </w:p>
    <w:p>
      <w:pPr>
        <w:spacing w:after="160" w:line="300"/>
        <w:jc w:val="both"/>
      </w:pPr>
      <w:r>
        <w:t xml:space="preserve">The hypothesis predicts a threshold effect anchored to the span of individual cultural memory. Below the threshold of roughly one generation, technical and procedural encoding is sufficient: the original observer or their direct successors can verify and transmit the information without narrative wrapping. Above the threshold, technical encoding alone is insufficient for survival, and surviving records of long-baseline signals should appear preferentially in mythologically wrapped form.</w:t>
      </w:r>
    </w:p>
    <w:p>
      <w:pPr>
        <w:spacing w:after="160" w:line="300"/>
        <w:jc w:val="both"/>
      </w:pPr>
      <w:r>
        <w:t xml:space="preserve">Concretely, across cultures and signal types, the proportion of cultural attention devoted to mythological versus procedural encoding of a given category of information should correlate positively with the characteristic timescale of the underlying signal. Astronomical information operating on millennial timescales (precession, ecliptic structure) should appear in mythologically dense form. Astronomical information operating on annual or sub-annual timescales (sunrise position by date, lunar phase) may appear in either format depending on use, but should not require mythological wrapping to survive.</w:t>
      </w:r>
    </w:p>
    <w:p>
      <w:pPr>
        <w:pStyle w:val="Heading2"/>
        <w:spacing w:after="120" w:before="240"/>
      </w:pPr>
      <w:r>
        <w:rPr>
          <w:b/>
          <w:bCs/>
        </w:rPr>
        <w:t xml:space="preserve">5. Falsification Conditions</w:t>
      </w:r>
    </w:p>
    <w:p>
      <w:pPr>
        <w:spacing w:after="160" w:line="300"/>
        <w:jc w:val="both"/>
      </w:pPr>
      <w:r>
        <w:t xml:space="preserve">The hypothesis is weakened by either of two observations. First, the persistent transmission of a mythological structure across multiple generations whose content tracks only short-timescale, verifiable-within-one-generation phenomena, with no embedded long-baseline signal, would undermine the claim that narrative-emotional density specifically serves long-baseline information transmission. Second, the consistent survival of long-baseline signals across cultural discontinuity in purely procedural form, without narrative wrapping, would undermine the claim that the mythological format is the preferred medium for such signals.</w:t>
      </w:r>
    </w:p>
    <w:p>
      <w:pPr>
        <w:spacing w:after="160" w:line="300"/>
        <w:jc w:val="both"/>
      </w:pPr>
      <w:r>
        <w:t xml:space="preserve">Neither failure condition would falsify the broader claim that some myths encode astronomical information—a result already established in the literature for specific cases. The hypothesis here is stronger: that the mythological format is structurally selected by the transmission requirements of long-baseline signals, and that the pattern should therefore hold across cultures and signal types rather than appearing as scattered coincidence.</w:t>
      </w:r>
    </w:p>
    <w:p>
      <w:pPr>
        <w:pStyle w:val="Heading2"/>
        <w:spacing w:after="120" w:before="240"/>
      </w:pPr>
      <w:r>
        <w:rPr>
          <w:b/>
          <w:bCs/>
        </w:rPr>
        <w:t xml:space="preserve">6. Test Case: The Zodiac</w:t>
      </w:r>
    </w:p>
    <w:p>
      <w:pPr>
        <w:spacing w:after="160" w:line="300"/>
        <w:jc w:val="both"/>
      </w:pPr>
      <w:r>
        <w:t xml:space="preserve">The zodiac and its relatives constitute the cleanest extant test case for the hypothesis. The signal they track—the positions and slow drift of bodies along the ecliptic—is still measurable today, the encoding spans documented millennia, and parallel astronomical knowledge in non-mythologized procedural form survives in the same source cultures, permitting direct comparison.</w:t>
      </w:r>
    </w:p>
    <w:p>
      <w:pPr>
        <w:spacing w:after="160" w:line="300"/>
        <w:jc w:val="both"/>
      </w:pPr>
      <w:r>
        <w:t xml:space="preserve">The Sumerian-Akkadian record offers a particularly clean comparison. Administrative cuneiform tablets—grain receipts, labor rosters, contracts—preserve technical information of high informational density. They survived to the present through physical preservation in dry climates and through nineteenth-century decipherment, not through continuous cultural reproduction; for roughly two millennia between the death of cuneiform literacy and modern recovery, their content was functionally inaccessible. The Epic of Gilgamesh, by contrast, originates in the same cultural sphere but contains narrative-emotional content of much higher density. Its themes—the flood, the failed quest for immortality, the civilizing of the wild man—propagated into Hebrew, Greek, and Islamic traditions and continued to be retold across the same two-thousand-year interval during which the administrative tablets lay buried. The procedural record required infrastructure to survive. The narrative record required only humans.</w:t>
      </w:r>
    </w:p>
    <w:p>
      <w:pPr>
        <w:spacing w:after="160" w:line="300"/>
        <w:jc w:val="both"/>
      </w:pPr>
      <w:r>
        <w:t xml:space="preserve">This contrast is what the hypothesis predicts. Long-baseline information that traveled through the format of myth survived cultural discontinuity. Short-baseline information of high informational density did not, except by accident of physical preservation.</w:t>
      </w:r>
    </w:p>
    <w:p>
      <w:pPr>
        <w:pStyle w:val="Heading2"/>
        <w:spacing w:after="120" w:before="240"/>
      </w:pPr>
      <w:r>
        <w:rPr>
          <w:b/>
          <w:bCs/>
        </w:rPr>
        <w:t xml:space="preserve">7. Scope and Future Work</w:t>
      </w:r>
    </w:p>
    <w:p>
      <w:pPr>
        <w:spacing w:after="160" w:line="300"/>
        <w:jc w:val="both"/>
      </w:pPr>
      <w:r>
        <w:t xml:space="preserve">This paper advances a single claim: that cultural information persistence is a function of narrative-emotional density, and that mythological structures function as the preferred medium for signals exceeding individual lifespan. Several adjacent questions are deferred to future work.</w:t>
      </w:r>
    </w:p>
    <w:p>
      <w:pPr>
        <w:spacing w:after="160" w:line="300"/>
        <w:jc w:val="both"/>
      </w:pPr>
      <w:r>
        <w:t xml:space="preserve">The mechanism by which narrative format becomes the natural high-persistence storage substrate for human cognition—whether cognitive, social, selectional, or functional in origin—is left open. The relationship between sacred status and signal preservation deserves dedicated treatment: whether sacredness functions primarily as error-correction, as the carrier wave for emotional reproduction, or as both. The historical emergence of an apparent religion-versus-science distinction, and its possible consequences for long-baseline cultural memory under modern conditions, is a corollary that follows naturally from the present hypothesis but requires its own development. The application of cybernetic and dynamical-systems frameworks—in particular, the Conant-Ashby requirement that a regulator embed a model of the system it regulates—offers a productive theoretical lens for these extensions but is not required to state the present claim.</w:t>
      </w:r>
    </w:p>
    <w:p>
      <w:pPr>
        <w:spacing w:after="160" w:line="300"/>
        <w:jc w:val="both"/>
      </w:pPr>
      <w:r>
        <w:t xml:space="preserve">The hypothesis as advanced here is intended to be narrow enough to test and broad enough to matter. If it survives initial scrutiny, the extensions follow.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Calibri" w:cs="Calibri" w:eastAsia="Calibri" w:hAnsi="Calibri"/>
      <w:b/>
      <w:bCs/>
      <w:sz w:val="28"/>
      <w:szCs w:val="28"/>
    </w:rPr>
  </w:style>
  <w:style w:type="paragraph" w:styleId="Heading2">
    <w:name w:val="Heading 2"/>
    <w:basedOn w:val="Normal"/>
    <w:next w:val="Normal"/>
    <w:qFormat/>
    <w:pPr>
      <w:spacing w:after="100" w:before="22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Myth as a Long-Baseline Information Channel</dc:title>
  <dc:creator>Peirastes</dc:creator>
  <cp:lastModifiedBy>Un-named</cp:lastModifiedBy>
  <cp:revision>1</cp:revision>
  <dcterms:created xsi:type="dcterms:W3CDTF">2026-05-16T18:57:29.205Z</dcterms:created>
  <dcterms:modified xsi:type="dcterms:W3CDTF">2026-05-16T18:57:29.218Z</dcterms:modified>
</cp:coreProperties>
</file>

<file path=docProps/custom.xml><?xml version="1.0" encoding="utf-8"?>
<Properties xmlns="http://schemas.openxmlformats.org/officeDocument/2006/custom-properties" xmlns:vt="http://schemas.openxmlformats.org/officeDocument/2006/docPropsVTypes"/>
</file>