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666666"/>
          <w:sz w:val="28"/>
          <w:szCs w:val="28"/>
        </w:rPr>
        <w:t xml:space="preserve">RESEARCH PROPOSAL</w:t>
      </w:r>
    </w:p>
    <w:p>
      <w:pPr>
        <w:spacing w:after="400"/>
        <w:jc w:val="center"/>
      </w:pPr>
      <w:r>
        <w:rPr>
          <w:rFonts w:ascii="Arial" w:cs="Arial" w:eastAsia="Arial" w:hAnsi="Arial"/>
          <w:i/>
          <w:iCs/>
          <w:color w:val="666666"/>
          <w:sz w:val="22"/>
          <w:szCs w:val="22"/>
        </w:rPr>
        <w:t xml:space="preserve">Draft for Review</w:t>
      </w:r>
    </w:p>
    <w:p>
      <w:pPr>
        <w:pBdr>
          <w:bottom w:val="single" w:color="2E75B6" w:sz="6" w:space="1"/>
        </w:pBdr>
        <w:spacing w:after="100"/>
        <w:jc w:val="center"/>
      </w:pPr>
    </w:p>
    <w:p>
      <w:pPr>
        <w:spacing w:after="400"/>
      </w:pPr>
    </w:p>
    <w:p>
      <w:pPr>
        <w:spacing w:after="200"/>
        <w:jc w:val="center"/>
      </w:pPr>
      <w:r>
        <w:rPr>
          <w:rFonts w:ascii="Arial" w:cs="Arial" w:eastAsia="Arial" w:hAnsi="Arial"/>
          <w:b/>
          <w:bCs/>
          <w:color w:val="1B3A5C"/>
          <w:sz w:val="40"/>
          <w:szCs w:val="40"/>
        </w:rPr>
        <w:t xml:space="preserve">The Intrinsic Fatigue Coefficient:</w:t>
      </w:r>
    </w:p>
    <w:p>
      <w:pPr>
        <w:spacing w:after="200"/>
        <w:jc w:val="center"/>
      </w:pPr>
      <w:r>
        <w:rPr>
          <w:rFonts w:ascii="Arial" w:cs="Arial" w:eastAsia="Arial" w:hAnsi="Arial"/>
          <w:color w:val="1B3A5C"/>
          <w:sz w:val="32"/>
          <w:szCs w:val="32"/>
        </w:rPr>
        <w:t xml:space="preserve">Characterizing a Dimensionless Constant in the</w:t>
      </w:r>
    </w:p>
    <w:p>
      <w:pPr>
        <w:spacing w:after="600"/>
        <w:jc w:val="center"/>
      </w:pPr>
      <w:r>
        <w:rPr>
          <w:rFonts w:ascii="Arial" w:cs="Arial" w:eastAsia="Arial" w:hAnsi="Arial"/>
          <w:color w:val="1B3A5C"/>
          <w:sz w:val="32"/>
          <w:szCs w:val="32"/>
        </w:rPr>
        <w:t xml:space="preserve">Exponential Rep–Weight Relationship</w:t>
      </w:r>
    </w:p>
    <w:p>
      <w:pPr>
        <w:spacing w:after="100"/>
        <w:jc w:val="center"/>
      </w:pPr>
      <w:r>
        <w:rPr>
          <w:rFonts w:ascii="Arial" w:cs="Arial" w:eastAsia="Arial" w:hAnsi="Arial"/>
          <w:color w:val="666666"/>
          <w:sz w:val="26"/>
          <w:szCs w:val="26"/>
        </w:rPr>
        <w:t xml:space="preserve">and Its Potential Correspondence with the</w:t>
      </w:r>
    </w:p>
    <w:p>
      <w:pPr>
        <w:spacing w:after="600"/>
        <w:jc w:val="center"/>
      </w:pPr>
      <w:r>
        <w:rPr>
          <w:rFonts w:ascii="Arial" w:cs="Arial" w:eastAsia="Arial" w:hAnsi="Arial"/>
          <w:color w:val="666666"/>
          <w:sz w:val="26"/>
          <w:szCs w:val="26"/>
        </w:rPr>
        <w:t xml:space="preserve">Banister Impulse–Response Model</w:t>
      </w:r>
    </w:p>
    <w:p>
      <w:pPr>
        <w:spacing w:after="800"/>
      </w:pPr>
    </w:p>
    <w:p>
      <w:pPr>
        <w:spacing w:after="100"/>
        <w:jc w:val="center"/>
      </w:pPr>
      <w:r>
        <w:rPr>
          <w:rFonts w:ascii="Arial" w:cs="Arial" w:eastAsia="Arial" w:hAnsi="Arial"/>
          <w:color w:val="666666"/>
          <w:sz w:val="22"/>
          <w:szCs w:val="22"/>
        </w:rPr>
        <w:t xml:space="preserve">Proposed by:</w:t>
      </w:r>
    </w:p>
    <w:p>
      <w:pPr>
        <w:spacing w:after="100"/>
        <w:jc w:val="center"/>
      </w:pPr>
      <w:r>
        <w:rPr>
          <w:rFonts w:ascii="Arial" w:cs="Arial" w:eastAsia="Arial" w:hAnsi="Arial"/>
          <w:b/>
          <w:bCs/>
          <w:sz w:val="26"/>
          <w:szCs w:val="26"/>
        </w:rPr>
        <w:t xml:space="preserve">Peirastes</w:t>
      </w:r>
    </w:p>
    <w:p>
      <w:pPr>
        <w:spacing w:after="100"/>
        <w:jc w:val="center"/>
      </w:pPr>
      <w:r>
        <w:rPr>
          <w:rFonts w:ascii="Arial" w:cs="Arial" w:eastAsia="Arial" w:hAnsi="Arial"/>
          <w:sz w:val="22"/>
          <w:szCs w:val="22"/>
        </w:rPr>
        <w:t xml:space="preserve">Department of Engineering Physics</w:t>
      </w:r>
    </w:p>
    <w:p>
      <w:pPr>
        <w:spacing w:after="400"/>
        <w:jc w:val="center"/>
      </w:pPr>
      <w:r>
        <w:rPr>
          <w:rFonts w:ascii="Arial" w:cs="Arial" w:eastAsia="Arial" w:hAnsi="Arial"/>
          <w:sz w:val="22"/>
          <w:szCs w:val="22"/>
        </w:rPr>
        <w:t xml:space="preserve">University of Central Oklahoma</w:t>
      </w: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Abstract</w:t>
      </w:r>
    </w:p>
    <w:p>
      <w:pPr>
        <w:spacing w:after="200" w:line="300"/>
        <w:jc w:val="left"/>
      </w:pPr>
      <w:r>
        <w:rPr>
          <w:rFonts w:ascii="Arial" w:cs="Arial" w:eastAsia="Arial" w:hAnsi="Arial"/>
          <w:sz w:val="24"/>
          <w:szCs w:val="24"/>
        </w:rPr>
        <w:t xml:space="preserve">This proposal outlines a study to characterize the dimensionless exponential decay constant </w:t>
      </w:r>
      <w:r>
        <w:rPr>
          <w:rFonts w:ascii="Arial" w:cs="Arial" w:eastAsia="Arial" w:hAnsi="Arial"/>
          <w:i/>
          <w:iCs/>
          <w:sz w:val="24"/>
          <w:szCs w:val="24"/>
        </w:rPr>
        <w:t xml:space="preserve">k</w:t>
      </w:r>
      <w:r>
        <w:rPr>
          <w:rFonts w:ascii="Arial" w:cs="Arial" w:eastAsia="Arial" w:hAnsi="Arial"/>
          <w:sz w:val="24"/>
          <w:szCs w:val="24"/>
        </w:rPr>
        <w:t xml:space="preserve"> in the rep–weight relationship W(r) = W</w:t>
      </w:r>
      <w:r>
        <w:rPr>
          <w:rFonts w:ascii="Arial" w:cs="Arial" w:eastAsia="Arial" w:hAnsi="Arial"/>
          <w:sz w:val="24"/>
          <w:szCs w:val="24"/>
          <w:vertAlign w:val="superscript"/>
        </w:rPr>
        <w:t xml:space="preserve">0</w:t>
      </w:r>
      <w:r>
        <w:rPr>
          <w:rFonts w:ascii="Arial" w:cs="Arial" w:eastAsia="Arial" w:hAnsi="Arial"/>
          <w:sz w:val="24"/>
          <w:szCs w:val="24"/>
        </w:rPr>
        <w:t xml:space="preserve"> · e</w:t>
      </w:r>
      <w:r>
        <w:rPr>
          <w:rFonts w:ascii="Arial" w:cs="Arial" w:eastAsia="Arial" w:hAnsi="Arial"/>
          <w:sz w:val="24"/>
          <w:szCs w:val="24"/>
          <w:vertAlign w:val="superscript"/>
        </w:rPr>
        <w:t xml:space="preserve">kr</w:t>
      </w:r>
      <w:r>
        <w:rPr>
          <w:rFonts w:ascii="Arial" w:cs="Arial" w:eastAsia="Arial" w:hAnsi="Arial"/>
          <w:sz w:val="24"/>
          <w:szCs w:val="24"/>
        </w:rPr>
        <w:t xml:space="preserve">, and to investigate whether this constant constitutes an intrinsic biometric property of the individual lifter. Preliminary data from a single subject across five mechanically distinct barbell exercises (bench press, deadlift, squat, overhead press, barbell row) collected over a two-year period shows remarkable consistency in </w:t>
      </w:r>
      <w:r>
        <w:rPr>
          <w:rFonts w:ascii="Arial" w:cs="Arial" w:eastAsia="Arial" w:hAnsi="Arial"/>
          <w:i/>
          <w:iCs/>
          <w:sz w:val="24"/>
          <w:szCs w:val="24"/>
        </w:rPr>
        <w:t xml:space="preserve">k</w:t>
      </w:r>
      <w:r>
        <w:rPr>
          <w:rFonts w:ascii="Arial" w:cs="Arial" w:eastAsia="Arial" w:hAnsi="Arial"/>
          <w:sz w:val="24"/>
          <w:szCs w:val="24"/>
        </w:rPr>
        <w:t xml:space="preserve"> (range: −0.028 to −0.036, mean ≈ −0.031), despite progressive overload shifting both the 1RM and high-rep maxima over time. We propose a cross-sectional cohort study (N = 40–60) to determine whether inter-individual variance in </w:t>
      </w:r>
      <w:r>
        <w:rPr>
          <w:rFonts w:ascii="Arial" w:cs="Arial" w:eastAsia="Arial" w:hAnsi="Arial"/>
          <w:i/>
          <w:iCs/>
          <w:sz w:val="24"/>
          <w:szCs w:val="24"/>
        </w:rPr>
        <w:t xml:space="preserve">k</w:t>
      </w:r>
      <w:r>
        <w:rPr>
          <w:rFonts w:ascii="Arial" w:cs="Arial" w:eastAsia="Arial" w:hAnsi="Arial"/>
          <w:sz w:val="24"/>
          <w:szCs w:val="24"/>
        </w:rPr>
        <w:t xml:space="preserve"> significantly exceeds intra-individual (across-exercise) variance, and a longitudinal pilot study to test whether </w:t>
      </w:r>
      <w:r>
        <w:rPr>
          <w:rFonts w:ascii="Arial" w:cs="Arial" w:eastAsia="Arial" w:hAnsi="Arial"/>
          <w:i/>
          <w:iCs/>
          <w:sz w:val="24"/>
          <w:szCs w:val="24"/>
        </w:rPr>
        <w:t xml:space="preserve">k</w:t>
      </w:r>
      <w:r>
        <w:rPr>
          <w:rFonts w:ascii="Arial" w:cs="Arial" w:eastAsia="Arial" w:hAnsi="Arial"/>
          <w:sz w:val="24"/>
          <w:szCs w:val="24"/>
        </w:rPr>
        <w:t xml:space="preserve"> correlates with the time constants τ in the Banister fitness–fatigue impulse–response model. A dimensional analysis reveals that </w:t>
      </w:r>
      <w:r>
        <w:rPr>
          <w:rFonts w:ascii="Arial" w:cs="Arial" w:eastAsia="Arial" w:hAnsi="Arial"/>
          <w:i/>
          <w:iCs/>
          <w:sz w:val="24"/>
          <w:szCs w:val="24"/>
        </w:rPr>
        <w:t xml:space="preserve">k</w:t>
      </w:r>
      <w:r>
        <w:rPr>
          <w:rFonts w:ascii="Arial" w:cs="Arial" w:eastAsia="Arial" w:hAnsi="Arial"/>
          <w:sz w:val="24"/>
          <w:szCs w:val="24"/>
        </w:rPr>
        <w:t xml:space="preserve"> is dimensionless, suggesting it represents a ratio of metabolic recovery rate to depletion rate—a systemic, rather than peripheral, property of the neuromuscular system.</w:t>
      </w:r>
    </w:p>
    <w:p>
      <w:pPr>
        <w:spacing w:after="100"/>
      </w:pPr>
    </w:p>
    <w:p>
      <w:pPr>
        <w:pStyle w:val="Heading1"/>
      </w:pPr>
      <w:r>
        <w:rPr>
          <w:rFonts w:ascii="Arial" w:cs="Arial" w:eastAsia="Arial" w:hAnsi="Arial"/>
        </w:rPr>
        <w:t xml:space="preserve">1. Introduction and Motivation</w:t>
      </w:r>
    </w:p>
    <w:p>
      <w:pPr>
        <w:spacing w:after="200" w:line="300"/>
        <w:jc w:val="left"/>
      </w:pPr>
      <w:r>
        <w:rPr>
          <w:rFonts w:ascii="Arial" w:cs="Arial" w:eastAsia="Arial" w:hAnsi="Arial"/>
          <w:sz w:val="24"/>
          <w:szCs w:val="24"/>
        </w:rPr>
        <w:t xml:space="preserve">The relationship between the load a trained individual can lift and the number of repetitions achievable at that load is one of the most fundamental observations in strength science. Multiple empirical formulas exist to model this relationship—Epley (1985), Brzycki (1993), Mayhew et al. (1992), Lombardi (1989), Wathan (1994)—and all attempt to predict 1RM from submaximal performance. The Epley formula (1RM = W × (1 + r/30)) is linear in reps. The Mayhew and Wathan formulas use exponential forms with decay constants of −0.055 and −0.075 respectively, derived from population-level regression on bench press data.</w:t>
      </w:r>
    </w:p>
    <w:p>
      <w:pPr>
        <w:spacing w:after="200" w:line="300"/>
        <w:jc w:val="left"/>
      </w:pPr>
      <w:r>
        <w:rPr>
          <w:rFonts w:ascii="Arial" w:cs="Arial" w:eastAsia="Arial" w:hAnsi="Arial"/>
          <w:sz w:val="24"/>
          <w:szCs w:val="24"/>
        </w:rPr>
        <w:t xml:space="preserve">These population constants obscure a potentially important individual-level phenomenon. Preliminary self-tracking data collected by the author over approximately two years shows that when an exponential model W(r) = W</w:t>
      </w:r>
      <w:r>
        <w:rPr>
          <w:rFonts w:ascii="Arial" w:cs="Arial" w:eastAsia="Arial" w:hAnsi="Arial"/>
          <w:sz w:val="24"/>
          <w:szCs w:val="24"/>
          <w:vertAlign w:val="superscript"/>
        </w:rPr>
        <w:t xml:space="preserve">0</w:t>
      </w:r>
      <w:r>
        <w:rPr>
          <w:rFonts w:ascii="Arial" w:cs="Arial" w:eastAsia="Arial" w:hAnsi="Arial"/>
          <w:sz w:val="24"/>
          <w:szCs w:val="24"/>
        </w:rPr>
        <w:t xml:space="preserve"> · e</w:t>
      </w:r>
      <w:r>
        <w:rPr>
          <w:rFonts w:ascii="Arial" w:cs="Arial" w:eastAsia="Arial" w:hAnsi="Arial"/>
          <w:sz w:val="24"/>
          <w:szCs w:val="24"/>
          <w:vertAlign w:val="superscript"/>
        </w:rPr>
        <w:t xml:space="preserve">kr</w:t>
      </w:r>
      <w:r>
        <w:rPr>
          <w:rFonts w:ascii="Arial" w:cs="Arial" w:eastAsia="Arial" w:hAnsi="Arial"/>
          <w:sz w:val="24"/>
          <w:szCs w:val="24"/>
        </w:rPr>
        <w:t xml:space="preserve"> is fitted to individual performance across five barbell exercises, the resulting exponent </w:t>
      </w:r>
      <w:r>
        <w:rPr>
          <w:rFonts w:ascii="Arial" w:cs="Arial" w:eastAsia="Arial" w:hAnsi="Arial"/>
          <w:i/>
          <w:iCs/>
          <w:sz w:val="24"/>
          <w:szCs w:val="24"/>
        </w:rPr>
        <w:t xml:space="preserve">k</w:t>
      </w:r>
      <w:r>
        <w:rPr>
          <w:rFonts w:ascii="Arial" w:cs="Arial" w:eastAsia="Arial" w:hAnsi="Arial"/>
          <w:sz w:val="24"/>
          <w:szCs w:val="24"/>
        </w:rPr>
        <w:t xml:space="preserve"> clusters tightly around −0.031, with a range of only 0.008 across mechanically dissimilar movements (see Table 1). This consistency persists despite the fact that the underlying data points (1RM, 5RM, 12RM, 20RM) have been progressively updated over the two-year collection period as new PRs were established. The absolute values of W</w:t>
      </w:r>
      <w:r>
        <w:rPr>
          <w:rFonts w:ascii="Arial" w:cs="Arial" w:eastAsia="Arial" w:hAnsi="Arial"/>
          <w:sz w:val="24"/>
          <w:szCs w:val="24"/>
          <w:vertAlign w:val="superscript"/>
        </w:rPr>
        <w:t xml:space="preserve">0</w:t>
      </w:r>
      <w:r>
        <w:rPr>
          <w:rFonts w:ascii="Arial" w:cs="Arial" w:eastAsia="Arial" w:hAnsi="Arial"/>
          <w:sz w:val="24"/>
          <w:szCs w:val="24"/>
        </w:rPr>
        <w:t xml:space="preserve"> have shifted; the decay rate has not.</w:t>
      </w:r>
    </w:p>
    <w:p>
      <w:pPr>
        <w:spacing w:after="100" w:before="200"/>
        <w:jc w:val="center"/>
      </w:pPr>
      <w:r>
        <w:rPr>
          <w:rFonts w:ascii="Arial" w:cs="Arial" w:eastAsia="Arial" w:hAnsi="Arial"/>
          <w:b/>
          <w:bCs/>
          <w:color w:val="1B3A5C"/>
          <w:sz w:val="20"/>
          <w:szCs w:val="20"/>
        </w:rPr>
        <w:t xml:space="preserve">Table 1. Exponential fatigue coefficients from preliminary data (N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500"/>
        <w:gridCol w:w="2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Exercise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N (= −1/k)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R²</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Data Period</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Bench Press (flat)</w:t>
            </w:r>
          </w:p>
        </w:tc>
        <w:tc>
          <w:tcPr>
            <w:tcW w:type="dxa" w:w="14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−0.030</w:t>
            </w:r>
          </w:p>
        </w:tc>
        <w:tc>
          <w:tcPr>
            <w:tcW w:type="dxa" w:w="1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33.3</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0.9858</w:t>
            </w:r>
          </w:p>
        </w:tc>
        <w:tc>
          <w:tcPr>
            <w:tcW w:type="dxa" w:w="26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Aug 2023 – Jul 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Deadlift (conv.)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0.9752</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Aug 2023 – Jul 2025</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Squat (back)</w:t>
            </w:r>
          </w:p>
        </w:tc>
        <w:tc>
          <w:tcPr>
            <w:tcW w:type="dxa" w:w="14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−0.036</w:t>
            </w:r>
          </w:p>
        </w:tc>
        <w:tc>
          <w:tcPr>
            <w:tcW w:type="dxa" w:w="1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27.8</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0.8925</w:t>
            </w:r>
          </w:p>
        </w:tc>
        <w:tc>
          <w:tcPr>
            <w:tcW w:type="dxa" w:w="26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Aug 2023 – Feb 2024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Overhead Press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0.9295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Aug 2023 – Dec 2023</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Barbell Row</w:t>
            </w:r>
          </w:p>
        </w:tc>
        <w:tc>
          <w:tcPr>
            <w:tcW w:type="dxa" w:w="14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−0.029</w:t>
            </w:r>
          </w:p>
        </w:tc>
        <w:tc>
          <w:tcPr>
            <w:tcW w:type="dxa" w:w="1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34.5</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0.8659</w:t>
            </w:r>
          </w:p>
        </w:tc>
        <w:tc>
          <w:tcPr>
            <w:tcW w:type="dxa" w:w="26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Aug 2023 – Dec 2023</w:t>
            </w:r>
          </w:p>
        </w:tc>
      </w:tr>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Mean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−0.031</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32.0</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0.9498</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w:t>
            </w:r>
          </w:p>
        </w:tc>
      </w:tr>
    </w:tbl>
    <w:p>
      <w:pPr>
        <w:spacing w:after="200"/>
      </w:pPr>
    </w:p>
    <w:p>
      <w:pPr>
        <w:spacing w:after="200" w:line="300"/>
        <w:jc w:val="left"/>
      </w:pPr>
      <w:r>
        <w:rPr>
          <w:rFonts w:ascii="Arial" w:cs="Arial" w:eastAsia="Arial" w:hAnsi="Arial"/>
          <w:sz w:val="24"/>
          <w:szCs w:val="24"/>
        </w:rPr>
        <w:t xml:space="preserve">This observation raises three questions that this proposal seeks to address:</w:t>
      </w:r>
    </w:p>
    <w:p>
      <w:pPr>
        <w:spacing w:after="200" w:line="300"/>
        <w:jc w:val="left"/>
      </w:pPr>
      <w:r>
        <w:rPr>
          <w:rFonts w:ascii="Arial" w:cs="Arial" w:eastAsia="Arial" w:hAnsi="Arial"/>
          <w:b/>
          <w:bCs/>
          <w:sz w:val="24"/>
          <w:szCs w:val="24"/>
        </w:rPr>
        <w:t xml:space="preserve">Q1. </w:t>
      </w:r>
      <w:r>
        <w:rPr>
          <w:rFonts w:ascii="Arial" w:cs="Arial" w:eastAsia="Arial" w:hAnsi="Arial"/>
          <w:sz w:val="24"/>
          <w:szCs w:val="24"/>
        </w:rPr>
        <w:t xml:space="preserve">Is </w:t>
      </w:r>
      <w:r>
        <w:rPr>
          <w:rFonts w:ascii="Arial" w:cs="Arial" w:eastAsia="Arial" w:hAnsi="Arial"/>
          <w:i/>
          <w:iCs/>
          <w:sz w:val="24"/>
          <w:szCs w:val="24"/>
        </w:rPr>
        <w:t xml:space="preserve">k</w:t>
      </w:r>
      <w:r>
        <w:rPr>
          <w:rFonts w:ascii="Arial" w:cs="Arial" w:eastAsia="Arial" w:hAnsi="Arial"/>
          <w:sz w:val="24"/>
          <w:szCs w:val="24"/>
        </w:rPr>
        <w:t xml:space="preserve"> an intrinsic property of the individual lifter? That is, does inter-individual variance in </w:t>
      </w:r>
      <w:r>
        <w:rPr>
          <w:rFonts w:ascii="Arial" w:cs="Arial" w:eastAsia="Arial" w:hAnsi="Arial"/>
          <w:i/>
          <w:iCs/>
          <w:sz w:val="24"/>
          <w:szCs w:val="24"/>
        </w:rPr>
        <w:t xml:space="preserve">k</w:t>
      </w:r>
      <w:r>
        <w:rPr>
          <w:rFonts w:ascii="Arial" w:cs="Arial" w:eastAsia="Arial" w:hAnsi="Arial"/>
          <w:sz w:val="24"/>
          <w:szCs w:val="24"/>
        </w:rPr>
        <w:t xml:space="preserve"> significantly exceed intra-individual (across-exercise) variance?</w:t>
      </w:r>
    </w:p>
    <w:p>
      <w:pPr>
        <w:spacing w:after="200" w:line="300"/>
        <w:jc w:val="left"/>
      </w:pPr>
      <w:r>
        <w:rPr>
          <w:rFonts w:ascii="Arial" w:cs="Arial" w:eastAsia="Arial" w:hAnsi="Arial"/>
          <w:b/>
          <w:bCs/>
          <w:sz w:val="24"/>
          <w:szCs w:val="24"/>
        </w:rPr>
        <w:t xml:space="preserve">Q2. </w:t>
      </w:r>
      <w:r>
        <w:rPr>
          <w:rFonts w:ascii="Arial" w:cs="Arial" w:eastAsia="Arial" w:hAnsi="Arial"/>
          <w:sz w:val="24"/>
          <w:szCs w:val="24"/>
        </w:rPr>
        <w:t xml:space="preserve">What physiological mechanisms determine </w:t>
      </w:r>
      <w:r>
        <w:rPr>
          <w:rFonts w:ascii="Arial" w:cs="Arial" w:eastAsia="Arial" w:hAnsi="Arial"/>
          <w:i/>
          <w:iCs/>
          <w:sz w:val="24"/>
          <w:szCs w:val="24"/>
        </w:rPr>
        <w:t xml:space="preserve">k</w:t>
      </w:r>
      <w:r>
        <w:rPr>
          <w:rFonts w:ascii="Arial" w:cs="Arial" w:eastAsia="Arial" w:hAnsi="Arial"/>
          <w:sz w:val="24"/>
          <w:szCs w:val="24"/>
        </w:rPr>
        <w:t xml:space="preserve">? The dimensional analysis (Section 2) constrains the candidate mechanisms.</w:t>
      </w:r>
    </w:p>
    <w:p>
      <w:pPr>
        <w:spacing w:after="200" w:line="300"/>
        <w:jc w:val="left"/>
      </w:pPr>
      <w:r>
        <w:rPr>
          <w:rFonts w:ascii="Arial" w:cs="Arial" w:eastAsia="Arial" w:hAnsi="Arial"/>
          <w:b/>
          <w:bCs/>
          <w:sz w:val="24"/>
          <w:szCs w:val="24"/>
        </w:rPr>
        <w:t xml:space="preserve">Q3. </w:t>
      </w:r>
      <w:r>
        <w:rPr>
          <w:rFonts w:ascii="Arial" w:cs="Arial" w:eastAsia="Arial" w:hAnsi="Arial"/>
          <w:sz w:val="24"/>
          <w:szCs w:val="24"/>
        </w:rPr>
        <w:t xml:space="preserve">Does </w:t>
      </w:r>
      <w:r>
        <w:rPr>
          <w:rFonts w:ascii="Arial" w:cs="Arial" w:eastAsia="Arial" w:hAnsi="Arial"/>
          <w:i/>
          <w:iCs/>
          <w:sz w:val="24"/>
          <w:szCs w:val="24"/>
        </w:rPr>
        <w:t xml:space="preserve">k</w:t>
      </w:r>
      <w:r>
        <w:rPr>
          <w:rFonts w:ascii="Arial" w:cs="Arial" w:eastAsia="Arial" w:hAnsi="Arial"/>
          <w:sz w:val="24"/>
          <w:szCs w:val="24"/>
        </w:rPr>
        <w:t xml:space="preserve"> correlate with the time constants τ</w:t>
      </w:r>
      <w:r>
        <w:rPr>
          <w:rFonts w:ascii="Arial" w:cs="Arial" w:eastAsia="Arial" w:hAnsi="Arial"/>
          <w:sz w:val="24"/>
          <w:szCs w:val="24"/>
          <w:vertAlign w:val="superscript"/>
        </w:rPr>
        <w:t xml:space="preserve">1</w:t>
      </w:r>
      <w:r>
        <w:rPr>
          <w:rFonts w:ascii="Arial" w:cs="Arial" w:eastAsia="Arial" w:hAnsi="Arial"/>
          <w:sz w:val="24"/>
          <w:szCs w:val="24"/>
        </w:rPr>
        <w:t xml:space="preserve"> (fitness decay) and τ</w:t>
      </w:r>
      <w:r>
        <w:rPr>
          <w:rFonts w:ascii="Arial" w:cs="Arial" w:eastAsia="Arial" w:hAnsi="Arial"/>
          <w:sz w:val="24"/>
          <w:szCs w:val="24"/>
          <w:vertAlign w:val="superscript"/>
        </w:rPr>
        <w:t xml:space="preserve">2</w:t>
      </w:r>
      <w:r>
        <w:rPr>
          <w:rFonts w:ascii="Arial" w:cs="Arial" w:eastAsia="Arial" w:hAnsi="Arial"/>
          <w:sz w:val="24"/>
          <w:szCs w:val="24"/>
        </w:rPr>
        <w:t xml:space="preserve"> (fatigue decay) in the Banister impulse–response model? If so, this would establish a bridge between within-set neuromuscular fatigue and between-session recovery dynamics.</w:t>
      </w:r>
    </w:p>
    <w:p>
      <w:pPr>
        <w:spacing w:after="100"/>
      </w:pPr>
    </w:p>
    <w:p>
      <w:pPr>
        <w:pStyle w:val="Heading1"/>
      </w:pPr>
      <w:r>
        <w:rPr>
          <w:rFonts w:ascii="Arial" w:cs="Arial" w:eastAsia="Arial" w:hAnsi="Arial"/>
        </w:rPr>
        <w:t xml:space="preserve">2. Theoretical Framework</w:t>
      </w:r>
    </w:p>
    <w:p>
      <w:pPr>
        <w:pStyle w:val="Heading2"/>
      </w:pPr>
      <w:r>
        <w:rPr>
          <w:rFonts w:ascii="Arial" w:cs="Arial" w:eastAsia="Arial" w:hAnsi="Arial"/>
        </w:rPr>
        <w:t xml:space="preserve">2.1 The exponential rep–weight model</w:t>
      </w:r>
    </w:p>
    <w:p>
      <w:pPr>
        <w:spacing w:after="200" w:line="300"/>
        <w:jc w:val="left"/>
      </w:pPr>
      <w:r>
        <w:rPr>
          <w:rFonts w:ascii="Arial" w:cs="Arial" w:eastAsia="Arial" w:hAnsi="Arial"/>
          <w:sz w:val="24"/>
          <w:szCs w:val="24"/>
        </w:rPr>
        <w:t xml:space="preserve">We adopt the exponential form for the load–repetition relationship:</w:t>
      </w:r>
    </w:p>
    <w:p>
      <w:pPr>
        <w:spacing w:after="200" w:before="200"/>
        <w:jc w:val="center"/>
      </w:pPr>
      <w:r>
        <w:rPr>
          <w:rFonts w:ascii="Cambria Math" w:cs="Cambria Math" w:eastAsia="Cambria Math" w:hAnsi="Cambria Math"/>
          <w:i/>
          <w:iCs/>
          <w:sz w:val="26"/>
          <w:szCs w:val="26"/>
        </w:rPr>
        <w:t xml:space="preserve">W(r) = W</w:t>
      </w:r>
      <w:r>
        <w:rPr>
          <w:rFonts w:ascii="Cambria Math" w:cs="Cambria Math" w:eastAsia="Cambria Math" w:hAnsi="Cambria Math"/>
          <w:sz w:val="18"/>
          <w:szCs w:val="18"/>
          <w:vertAlign w:val="subscript"/>
        </w:rPr>
        <w:t xml:space="preserve">0</w:t>
      </w:r>
      <w:r>
        <w:rPr>
          <w:rFonts w:ascii="Cambria Math" w:cs="Cambria Math" w:eastAsia="Cambria Math" w:hAnsi="Cambria Math"/>
          <w:i/>
          <w:iCs/>
          <w:sz w:val="26"/>
          <w:szCs w:val="26"/>
        </w:rPr>
        <w:t xml:space="preserve"> · e</w:t>
      </w:r>
      <w:r>
        <w:rPr>
          <w:rFonts w:ascii="Cambria Math" w:cs="Cambria Math" w:eastAsia="Cambria Math" w:hAnsi="Cambria Math"/>
          <w:sz w:val="18"/>
          <w:szCs w:val="18"/>
          <w:vertAlign w:val="superscript"/>
        </w:rPr>
        <w:t xml:space="preserve">kr</w:t>
      </w:r>
      <w:r>
        <w:rPr>
          <w:rFonts w:ascii="Arial" w:cs="Arial" w:eastAsia="Arial" w:hAnsi="Arial"/>
          <w:color w:val="666666"/>
          <w:sz w:val="22"/>
          <w:szCs w:val="22"/>
        </w:rPr>
        <w:t xml:space="preserve">          (1)</w:t>
      </w:r>
    </w:p>
    <w:p>
      <w:pPr>
        <w:spacing w:after="200" w:line="300"/>
        <w:jc w:val="left"/>
      </w:pPr>
      <w:r>
        <w:rPr>
          <w:rFonts w:ascii="Arial" w:cs="Arial" w:eastAsia="Arial" w:hAnsi="Arial"/>
          <w:sz w:val="24"/>
          <w:szCs w:val="24"/>
        </w:rPr>
        <w:t xml:space="preserve">where W(r) is the maximum load sustainable for r repetitions, W</w:t>
      </w:r>
      <w:r>
        <w:rPr>
          <w:rFonts w:ascii="Arial" w:cs="Arial" w:eastAsia="Arial" w:hAnsi="Arial"/>
          <w:sz w:val="24"/>
          <w:szCs w:val="24"/>
          <w:vertAlign w:val="superscript"/>
        </w:rPr>
        <w:t xml:space="preserve">0</w:t>
      </w:r>
      <w:r>
        <w:rPr>
          <w:rFonts w:ascii="Arial" w:cs="Arial" w:eastAsia="Arial" w:hAnsi="Arial"/>
          <w:sz w:val="24"/>
          <w:szCs w:val="24"/>
        </w:rPr>
        <w:t xml:space="preserve"> is the theoretical 1RM (the y-intercept of the exponential, which may differ slightly from the tested 1RM), and </w:t>
      </w:r>
      <w:r>
        <w:rPr>
          <w:rFonts w:ascii="Arial" w:cs="Arial" w:eastAsia="Arial" w:hAnsi="Arial"/>
          <w:i/>
          <w:iCs/>
          <w:sz w:val="24"/>
          <w:szCs w:val="24"/>
        </w:rPr>
        <w:t xml:space="preserve">k</w:t>
      </w:r>
      <w:r>
        <w:rPr>
          <w:rFonts w:ascii="Arial" w:cs="Arial" w:eastAsia="Arial" w:hAnsi="Arial"/>
          <w:sz w:val="24"/>
          <w:szCs w:val="24"/>
        </w:rPr>
        <w:t xml:space="preserve"> is the exponential fatigue coefficient with k &lt; 0.</w:t>
      </w:r>
    </w:p>
    <w:p>
      <w:pPr>
        <w:pStyle w:val="Heading2"/>
      </w:pPr>
      <w:r>
        <w:rPr>
          <w:rFonts w:ascii="Arial" w:cs="Arial" w:eastAsia="Arial" w:hAnsi="Arial"/>
        </w:rPr>
        <w:t xml:space="preserve">2.2 Dimensional analysis</w:t>
      </w:r>
    </w:p>
    <w:p>
      <w:pPr>
        <w:spacing w:after="200" w:line="300"/>
        <w:jc w:val="left"/>
      </w:pPr>
      <w:r>
        <w:rPr>
          <w:rFonts w:ascii="Arial" w:cs="Arial" w:eastAsia="Arial" w:hAnsi="Arial"/>
          <w:sz w:val="24"/>
          <w:szCs w:val="24"/>
        </w:rPr>
        <w:t xml:space="preserve">Since the argument of an exponential must be dimensionless, and the repetition count r is a pure number (dimensionless), the coefficient </w:t>
      </w:r>
      <w:r>
        <w:rPr>
          <w:rFonts w:ascii="Arial" w:cs="Arial" w:eastAsia="Arial" w:hAnsi="Arial"/>
          <w:i/>
          <w:iCs/>
          <w:sz w:val="24"/>
          <w:szCs w:val="24"/>
        </w:rPr>
        <w:t xml:space="preserve">k</w:t>
      </w:r>
      <w:r>
        <w:rPr>
          <w:rFonts w:ascii="Arial" w:cs="Arial" w:eastAsia="Arial" w:hAnsi="Arial"/>
          <w:sz w:val="24"/>
          <w:szCs w:val="24"/>
        </w:rPr>
        <w:t xml:space="preserve"> is itself </w:t>
      </w:r>
      <w:r>
        <w:rPr>
          <w:rFonts w:ascii="Arial" w:cs="Arial" w:eastAsia="Arial" w:hAnsi="Arial"/>
          <w:b/>
          <w:bCs/>
          <w:sz w:val="24"/>
          <w:szCs w:val="24"/>
        </w:rPr>
        <w:t xml:space="preserve">dimensionless</w:t>
      </w:r>
      <w:r>
        <w:rPr>
          <w:rFonts w:ascii="Arial" w:cs="Arial" w:eastAsia="Arial" w:hAnsi="Arial"/>
          <w:sz w:val="24"/>
          <w:szCs w:val="24"/>
        </w:rPr>
        <w:t xml:space="preserve">. In physics, dimensionless constants that are invariant across conditions typically represent ratios of two quantities with the same dimensions. We can rewrite Eq. (1) as:</w:t>
      </w:r>
    </w:p>
    <w:p>
      <w:pPr>
        <w:spacing w:after="200" w:before="200"/>
        <w:jc w:val="center"/>
      </w:pPr>
      <w:r>
        <w:rPr>
          <w:rFonts w:ascii="Cambria Math" w:cs="Cambria Math" w:eastAsia="Cambria Math" w:hAnsi="Cambria Math"/>
          <w:i/>
          <w:iCs/>
          <w:sz w:val="26"/>
          <w:szCs w:val="26"/>
        </w:rPr>
        <w:t xml:space="preserve">W(r) = W</w:t>
      </w:r>
      <w:r>
        <w:rPr>
          <w:rFonts w:ascii="Cambria Math" w:cs="Cambria Math" w:eastAsia="Cambria Math" w:hAnsi="Cambria Math"/>
          <w:sz w:val="18"/>
          <w:szCs w:val="18"/>
          <w:vertAlign w:val="subscript"/>
        </w:rPr>
        <w:t xml:space="preserve">0</w:t>
      </w:r>
      <w:r>
        <w:rPr>
          <w:rFonts w:ascii="Cambria Math" w:cs="Cambria Math" w:eastAsia="Cambria Math" w:hAnsi="Cambria Math"/>
          <w:i/>
          <w:iCs/>
          <w:sz w:val="26"/>
          <w:szCs w:val="26"/>
        </w:rPr>
        <w:t xml:space="preserve"> · e</w:t>
      </w:r>
      <w:r>
        <w:rPr>
          <w:rFonts w:ascii="Cambria Math" w:cs="Cambria Math" w:eastAsia="Cambria Math" w:hAnsi="Cambria Math"/>
          <w:sz w:val="18"/>
          <w:szCs w:val="18"/>
          <w:vertAlign w:val="superscript"/>
        </w:rPr>
        <w:t xml:space="preserve">−r/N</w:t>
      </w:r>
      <w:r>
        <w:rPr>
          <w:rFonts w:ascii="Arial" w:cs="Arial" w:eastAsia="Arial" w:hAnsi="Arial"/>
          <w:color w:val="666666"/>
          <w:sz w:val="22"/>
          <w:szCs w:val="22"/>
        </w:rPr>
        <w:t xml:space="preserve">          (2)</w:t>
      </w:r>
    </w:p>
    <w:p>
      <w:pPr>
        <w:spacing w:after="200" w:line="300"/>
        <w:jc w:val="left"/>
      </w:pPr>
      <w:r>
        <w:rPr>
          <w:rFonts w:ascii="Arial" w:cs="Arial" w:eastAsia="Arial" w:hAnsi="Arial"/>
          <w:sz w:val="24"/>
          <w:szCs w:val="24"/>
        </w:rPr>
        <w:t xml:space="preserve">where N = −1/k is the </w:t>
      </w:r>
      <w:r>
        <w:rPr>
          <w:rFonts w:ascii="Arial" w:cs="Arial" w:eastAsia="Arial" w:hAnsi="Arial"/>
          <w:i/>
          <w:iCs/>
          <w:sz w:val="24"/>
          <w:szCs w:val="24"/>
        </w:rPr>
        <w:t xml:space="preserve">characteristic rep count</w:t>
      </w:r>
      <w:r>
        <w:rPr>
          <w:rFonts w:ascii="Arial" w:cs="Arial" w:eastAsia="Arial" w:hAnsi="Arial"/>
          <w:sz w:val="24"/>
          <w:szCs w:val="24"/>
        </w:rPr>
        <w:t xml:space="preserve">—the number of repetitions at which load capacity has decayed to 1/e (≈37%) of the 1RM. For the preliminary data, N ≈ 32. This formulation suggests the following physical interpretation. Each repetition involves a contraction–relaxation cycle with associated ATP and creatine phosphate (CP) depletion. The parameter N represents the ratio:</w:t>
      </w:r>
    </w:p>
    <w:p>
      <w:pPr>
        <w:spacing w:after="200" w:before="200"/>
        <w:jc w:val="center"/>
      </w:pPr>
      <w:r>
        <w:rPr>
          <w:rFonts w:ascii="Cambria Math" w:cs="Cambria Math" w:eastAsia="Cambria Math" w:hAnsi="Cambria Math"/>
          <w:i/>
          <w:iCs/>
          <w:sz w:val="24"/>
          <w:szCs w:val="24"/>
        </w:rPr>
        <w:t xml:space="preserve">N  ∼  (total available metabolic substrate) / (substrate consumed per rep)</w:t>
      </w:r>
      <w:r>
        <w:rPr>
          <w:rFonts w:ascii="Arial" w:cs="Arial" w:eastAsia="Arial" w:hAnsi="Arial"/>
          <w:color w:val="666666"/>
          <w:sz w:val="22"/>
          <w:szCs w:val="22"/>
        </w:rPr>
        <w:t xml:space="preserve">          (3)</w:t>
      </w:r>
    </w:p>
    <w:p>
      <w:pPr>
        <w:spacing w:after="200" w:line="300"/>
        <w:jc w:val="left"/>
      </w:pPr>
      <w:r>
        <w:rPr>
          <w:rFonts w:ascii="Arial" w:cs="Arial" w:eastAsia="Arial" w:hAnsi="Arial"/>
          <w:sz w:val="24"/>
          <w:szCs w:val="24"/>
        </w:rPr>
        <w:t xml:space="preserve">or equivalently, the ratio of the inter-rep recovery rate to the intra-rep depletion rate. The consistency of N across mechanically dissimilar exercises suggests that N (and therefore </w:t>
      </w:r>
      <w:r>
        <w:rPr>
          <w:rFonts w:ascii="Arial" w:cs="Arial" w:eastAsia="Arial" w:hAnsi="Arial"/>
          <w:i/>
          <w:iCs/>
          <w:sz w:val="24"/>
          <w:szCs w:val="24"/>
        </w:rPr>
        <w:t xml:space="preserve">k</w:t>
      </w:r>
      <w:r>
        <w:rPr>
          <w:rFonts w:ascii="Arial" w:cs="Arial" w:eastAsia="Arial" w:hAnsi="Arial"/>
          <w:sz w:val="24"/>
          <w:szCs w:val="24"/>
        </w:rPr>
        <w:t xml:space="preserve">) is governed by systemic factors—cardiovascular O</w:t>
      </w:r>
      <w:r>
        <w:rPr>
          <w:rFonts w:ascii="Arial" w:cs="Arial" w:eastAsia="Arial" w:hAnsi="Arial"/>
          <w:sz w:val="24"/>
          <w:szCs w:val="24"/>
          <w:vertAlign w:val="superscript"/>
        </w:rPr>
        <w:t xml:space="preserve">2</w:t>
      </w:r>
      <w:r>
        <w:rPr>
          <w:rFonts w:ascii="Arial" w:cs="Arial" w:eastAsia="Arial" w:hAnsi="Arial"/>
          <w:sz w:val="24"/>
          <w:szCs w:val="24"/>
        </w:rPr>
        <w:t xml:space="preserve"> delivery, CP recycling kinetics, central nervous system fatigue accumulation—rather than peripheral, muscle-specific properties.</w:t>
      </w:r>
    </w:p>
    <w:p>
      <w:pPr>
        <w:pStyle w:val="Heading2"/>
      </w:pPr>
      <w:r>
        <w:rPr>
          <w:rFonts w:ascii="Arial" w:cs="Arial" w:eastAsia="Arial" w:hAnsi="Arial"/>
        </w:rPr>
        <w:t xml:space="preserve">2.3 The Banister impulse–response model</w:t>
      </w:r>
    </w:p>
    <w:p>
      <w:pPr>
        <w:spacing w:after="200" w:line="300"/>
        <w:jc w:val="left"/>
      </w:pPr>
      <w:r>
        <w:rPr>
          <w:rFonts w:ascii="Arial" w:cs="Arial" w:eastAsia="Arial" w:hAnsi="Arial"/>
          <w:sz w:val="24"/>
          <w:szCs w:val="24"/>
        </w:rPr>
        <w:t xml:space="preserve">The Banister fitness–fatigue model (Banister et al., 1975; Morton et al., 1990) describes performance as:</w:t>
      </w:r>
    </w:p>
    <w:p>
      <w:pPr>
        <w:spacing w:after="200" w:before="200"/>
        <w:jc w:val="center"/>
      </w:pPr>
      <w:r>
        <w:rPr>
          <w:rFonts w:ascii="Cambria Math" w:cs="Cambria Math" w:eastAsia="Cambria Math" w:hAnsi="Cambria Math"/>
          <w:i/>
          <w:iCs/>
          <w:sz w:val="26"/>
          <w:szCs w:val="26"/>
        </w:rPr>
        <w:t xml:space="preserve">p(t) = p* + k</w:t>
      </w:r>
      <w:r>
        <w:rPr>
          <w:rFonts w:ascii="Cambria Math" w:cs="Cambria Math" w:eastAsia="Cambria Math" w:hAnsi="Cambria Math"/>
          <w:sz w:val="18"/>
          <w:szCs w:val="18"/>
          <w:vertAlign w:val="subscript"/>
        </w:rPr>
        <w:t xml:space="preserve">1</w:t>
      </w:r>
      <w:r>
        <w:rPr>
          <w:rFonts w:ascii="Cambria Math" w:cs="Cambria Math" w:eastAsia="Cambria Math" w:hAnsi="Cambria Math"/>
          <w:i/>
          <w:iCs/>
          <w:sz w:val="26"/>
          <w:szCs w:val="26"/>
        </w:rPr>
        <w:t xml:space="preserve"> ∑ w</w:t>
      </w:r>
      <w:r>
        <w:rPr>
          <w:rFonts w:ascii="Cambria Math" w:cs="Cambria Math" w:eastAsia="Cambria Math" w:hAnsi="Cambria Math"/>
          <w:sz w:val="18"/>
          <w:szCs w:val="18"/>
          <w:vertAlign w:val="subscript"/>
        </w:rPr>
        <w:t xml:space="preserve">i</w:t>
      </w:r>
      <w:r>
        <w:rPr>
          <w:rFonts w:ascii="Cambria Math" w:cs="Cambria Math" w:eastAsia="Cambria Math" w:hAnsi="Cambria Math"/>
          <w:i/>
          <w:iCs/>
          <w:sz w:val="26"/>
          <w:szCs w:val="26"/>
        </w:rPr>
        <w:t xml:space="preserve"> e</w:t>
      </w:r>
      <w:r>
        <w:rPr>
          <w:rFonts w:ascii="Cambria Math" w:cs="Cambria Math" w:eastAsia="Cambria Math" w:hAnsi="Cambria Math"/>
          <w:sz w:val="18"/>
          <w:szCs w:val="18"/>
          <w:vertAlign w:val="superscript"/>
        </w:rPr>
        <w:t xml:space="preserve">−(t−i)/τ₁</w:t>
      </w:r>
      <w:r>
        <w:rPr>
          <w:rFonts w:ascii="Cambria Math" w:cs="Cambria Math" w:eastAsia="Cambria Math" w:hAnsi="Cambria Math"/>
          <w:i/>
          <w:iCs/>
          <w:sz w:val="26"/>
          <w:szCs w:val="26"/>
        </w:rPr>
        <w:t xml:space="preserve">  −  k</w:t>
      </w:r>
      <w:r>
        <w:rPr>
          <w:rFonts w:ascii="Cambria Math" w:cs="Cambria Math" w:eastAsia="Cambria Math" w:hAnsi="Cambria Math"/>
          <w:sz w:val="18"/>
          <w:szCs w:val="18"/>
          <w:vertAlign w:val="subscript"/>
        </w:rPr>
        <w:t xml:space="preserve">2</w:t>
      </w:r>
      <w:r>
        <w:rPr>
          <w:rFonts w:ascii="Cambria Math" w:cs="Cambria Math" w:eastAsia="Cambria Math" w:hAnsi="Cambria Math"/>
          <w:i/>
          <w:iCs/>
          <w:sz w:val="26"/>
          <w:szCs w:val="26"/>
        </w:rPr>
        <w:t xml:space="preserve"> ∑ w</w:t>
      </w:r>
      <w:r>
        <w:rPr>
          <w:rFonts w:ascii="Cambria Math" w:cs="Cambria Math" w:eastAsia="Cambria Math" w:hAnsi="Cambria Math"/>
          <w:sz w:val="18"/>
          <w:szCs w:val="18"/>
          <w:vertAlign w:val="subscript"/>
        </w:rPr>
        <w:t xml:space="preserve">i</w:t>
      </w:r>
      <w:r>
        <w:rPr>
          <w:rFonts w:ascii="Cambria Math" w:cs="Cambria Math" w:eastAsia="Cambria Math" w:hAnsi="Cambria Math"/>
          <w:i/>
          <w:iCs/>
          <w:sz w:val="26"/>
          <w:szCs w:val="26"/>
        </w:rPr>
        <w:t xml:space="preserve"> e</w:t>
      </w:r>
      <w:r>
        <w:rPr>
          <w:rFonts w:ascii="Cambria Math" w:cs="Cambria Math" w:eastAsia="Cambria Math" w:hAnsi="Cambria Math"/>
          <w:sz w:val="18"/>
          <w:szCs w:val="18"/>
          <w:vertAlign w:val="superscript"/>
        </w:rPr>
        <w:t xml:space="preserve">−(t−i)/τ₂</w:t>
      </w:r>
      <w:r>
        <w:rPr>
          <w:rFonts w:ascii="Arial" w:cs="Arial" w:eastAsia="Arial" w:hAnsi="Arial"/>
          <w:color w:val="666666"/>
          <w:sz w:val="22"/>
          <w:szCs w:val="22"/>
        </w:rPr>
        <w:t xml:space="preserve">          (4)</w:t>
      </w:r>
    </w:p>
    <w:p>
      <w:pPr>
        <w:spacing w:after="200" w:line="300"/>
        <w:jc w:val="left"/>
      </w:pPr>
      <w:r>
        <w:rPr>
          <w:rFonts w:ascii="Arial" w:cs="Arial" w:eastAsia="Arial" w:hAnsi="Arial"/>
          <w:sz w:val="24"/>
          <w:szCs w:val="24"/>
        </w:rPr>
        <w:t xml:space="preserve">where τ</w:t>
      </w:r>
      <w:r>
        <w:rPr>
          <w:rFonts w:ascii="Arial" w:cs="Arial" w:eastAsia="Arial" w:hAnsi="Arial"/>
          <w:sz w:val="24"/>
          <w:szCs w:val="24"/>
          <w:vertAlign w:val="superscript"/>
        </w:rPr>
        <w:t xml:space="preserve">1</w:t>
      </w:r>
      <w:r>
        <w:rPr>
          <w:rFonts w:ascii="Arial" w:cs="Arial" w:eastAsia="Arial" w:hAnsi="Arial"/>
          <w:sz w:val="24"/>
          <w:szCs w:val="24"/>
        </w:rPr>
        <w:t xml:space="preserve"> and τ</w:t>
      </w:r>
      <w:r>
        <w:rPr>
          <w:rFonts w:ascii="Arial" w:cs="Arial" w:eastAsia="Arial" w:hAnsi="Arial"/>
          <w:sz w:val="24"/>
          <w:szCs w:val="24"/>
          <w:vertAlign w:val="superscript"/>
        </w:rPr>
        <w:t xml:space="preserve">2</w:t>
      </w:r>
      <w:r>
        <w:rPr>
          <w:rFonts w:ascii="Arial" w:cs="Arial" w:eastAsia="Arial" w:hAnsi="Arial"/>
          <w:sz w:val="24"/>
          <w:szCs w:val="24"/>
        </w:rPr>
        <w:t xml:space="preserve"> are the fitness and fatigue decay time constants (in days), k</w:t>
      </w:r>
      <w:r>
        <w:rPr>
          <w:rFonts w:ascii="Arial" w:cs="Arial" w:eastAsia="Arial" w:hAnsi="Arial"/>
          <w:sz w:val="24"/>
          <w:szCs w:val="24"/>
          <w:vertAlign w:val="superscript"/>
        </w:rPr>
        <w:t xml:space="preserve">1</w:t>
      </w:r>
      <w:r>
        <w:rPr>
          <w:rFonts w:ascii="Arial" w:cs="Arial" w:eastAsia="Arial" w:hAnsi="Arial"/>
          <w:sz w:val="24"/>
          <w:szCs w:val="24"/>
        </w:rPr>
        <w:t xml:space="preserve"> and k</w:t>
      </w:r>
      <w:r>
        <w:rPr>
          <w:rFonts w:ascii="Arial" w:cs="Arial" w:eastAsia="Arial" w:hAnsi="Arial"/>
          <w:sz w:val="24"/>
          <w:szCs w:val="24"/>
          <w:vertAlign w:val="superscript"/>
        </w:rPr>
        <w:t xml:space="preserve">2</w:t>
      </w:r>
      <w:r>
        <w:rPr>
          <w:rFonts w:ascii="Arial" w:cs="Arial" w:eastAsia="Arial" w:hAnsi="Arial"/>
          <w:sz w:val="24"/>
          <w:szCs w:val="24"/>
        </w:rPr>
        <w:t xml:space="preserve"> are the magnitude factors, and w</w:t>
      </w:r>
      <w:r>
        <w:rPr>
          <w:rFonts w:ascii="Arial" w:cs="Arial" w:eastAsia="Arial" w:hAnsi="Arial"/>
          <w:sz w:val="24"/>
          <w:szCs w:val="24"/>
          <w:vertAlign w:val="subscript"/>
        </w:rPr>
        <w:t xml:space="preserve">i</w:t>
      </w:r>
      <w:r>
        <w:rPr>
          <w:rFonts w:ascii="Arial" w:cs="Arial" w:eastAsia="Arial" w:hAnsi="Arial"/>
          <w:sz w:val="24"/>
          <w:szCs w:val="24"/>
        </w:rPr>
        <w:t xml:space="preserve"> is the training load on day i. Reported values for τ</w:t>
      </w:r>
      <w:r>
        <w:rPr>
          <w:rFonts w:ascii="Arial" w:cs="Arial" w:eastAsia="Arial" w:hAnsi="Arial"/>
          <w:sz w:val="24"/>
          <w:szCs w:val="24"/>
          <w:vertAlign w:val="superscript"/>
        </w:rPr>
        <w:t xml:space="preserve">1</w:t>
      </w:r>
      <w:r>
        <w:rPr>
          <w:rFonts w:ascii="Arial" w:cs="Arial" w:eastAsia="Arial" w:hAnsi="Arial"/>
          <w:sz w:val="24"/>
          <w:szCs w:val="24"/>
        </w:rPr>
        <w:t xml:space="preserve"> range from 20 to 50 days; τ</w:t>
      </w:r>
      <w:r>
        <w:rPr>
          <w:rFonts w:ascii="Arial" w:cs="Arial" w:eastAsia="Arial" w:hAnsi="Arial"/>
          <w:sz w:val="24"/>
          <w:szCs w:val="24"/>
          <w:vertAlign w:val="superscript"/>
        </w:rPr>
        <w:t xml:space="preserve">2</w:t>
      </w:r>
      <w:r>
        <w:rPr>
          <w:rFonts w:ascii="Arial" w:cs="Arial" w:eastAsia="Arial" w:hAnsi="Arial"/>
          <w:sz w:val="24"/>
          <w:szCs w:val="24"/>
        </w:rPr>
        <w:t xml:space="preserve"> from 7 to 15 days (Morton et al., 1990; Busso et al., 1994; Mujika et al., 1996).</w:t>
      </w:r>
    </w:p>
    <w:p>
      <w:pPr>
        <w:pStyle w:val="Heading2"/>
      </w:pPr>
      <w:r>
        <w:rPr>
          <w:rFonts w:ascii="Arial" w:cs="Arial" w:eastAsia="Arial" w:hAnsi="Arial"/>
        </w:rPr>
        <w:t xml:space="preserve">2.4 The hypothesized bridge</w:t>
      </w:r>
    </w:p>
    <w:p>
      <w:pPr>
        <w:spacing w:after="200" w:line="300"/>
        <w:jc w:val="left"/>
      </w:pPr>
      <w:r>
        <w:rPr>
          <w:rFonts w:ascii="Arial" w:cs="Arial" w:eastAsia="Arial" w:hAnsi="Arial"/>
          <w:sz w:val="24"/>
          <w:szCs w:val="24"/>
        </w:rPr>
        <w:t xml:space="preserve">Although </w:t>
      </w:r>
      <w:r>
        <w:rPr>
          <w:rFonts w:ascii="Arial" w:cs="Arial" w:eastAsia="Arial" w:hAnsi="Arial"/>
          <w:i/>
          <w:iCs/>
          <w:sz w:val="24"/>
          <w:szCs w:val="24"/>
        </w:rPr>
        <w:t xml:space="preserve">k</w:t>
      </w:r>
      <w:r>
        <w:rPr>
          <w:rFonts w:ascii="Arial" w:cs="Arial" w:eastAsia="Arial" w:hAnsi="Arial"/>
          <w:sz w:val="24"/>
          <w:szCs w:val="24"/>
        </w:rPr>
        <w:t xml:space="preserve"> (dimensionless, rep-domain) and τ (days, time-domain) operate in different mathematical spaces, both emerge from the same underlying neuromuscular fatigue physiology. We hypothesize that </w:t>
      </w:r>
      <w:r>
        <w:rPr>
          <w:rFonts w:ascii="Arial" w:cs="Arial" w:eastAsia="Arial" w:hAnsi="Arial"/>
          <w:i/>
          <w:iCs/>
          <w:sz w:val="24"/>
          <w:szCs w:val="24"/>
        </w:rPr>
        <w:t xml:space="preserve">k</w:t>
      </w:r>
      <w:r>
        <w:rPr>
          <w:rFonts w:ascii="Arial" w:cs="Arial" w:eastAsia="Arial" w:hAnsi="Arial"/>
          <w:sz w:val="24"/>
          <w:szCs w:val="24"/>
        </w:rPr>
        <w:t xml:space="preserve"> may be more precisely analogous to the </w:t>
      </w:r>
      <w:r>
        <w:rPr>
          <w:rFonts w:ascii="Arial" w:cs="Arial" w:eastAsia="Arial" w:hAnsi="Arial"/>
          <w:b/>
          <w:bCs/>
          <w:sz w:val="24"/>
          <w:szCs w:val="24"/>
        </w:rPr>
        <w:t xml:space="preserve">damping ratio ζ</w:t>
      </w:r>
      <w:r>
        <w:rPr>
          <w:rFonts w:ascii="Arial" w:cs="Arial" w:eastAsia="Arial" w:hAnsi="Arial"/>
          <w:sz w:val="24"/>
          <w:szCs w:val="24"/>
        </w:rPr>
        <w:t xml:space="preserve"> in the second-order system representation of the SRA curve, rather than to τ directly. The within-set fatigue exponent captures how efficiently the neuromuscular system manages cumulative fatigue under continuous load; the between-session τ captures how quickly the system dissipates fatigue and consolidates adaptation at rest. If both are governed by overlapping metabolic machinery (CP recycling, mitochondrial density, lactate clearance), a correlation is expected even though the mapping is not a simple identity.</w:t>
      </w:r>
    </w:p>
    <w:p>
      <w:pPr>
        <w:spacing w:after="200" w:line="300"/>
        <w:jc w:val="left"/>
      </w:pPr>
      <w:r>
        <w:rPr>
          <w:rFonts w:ascii="Arial" w:cs="Arial" w:eastAsia="Arial" w:hAnsi="Arial"/>
          <w:sz w:val="24"/>
          <w:szCs w:val="24"/>
        </w:rPr>
        <w:t xml:space="preserve">Specifically, we predict that individuals with lower |</w:t>
      </w:r>
      <w:r>
        <w:rPr>
          <w:rFonts w:ascii="Arial" w:cs="Arial" w:eastAsia="Arial" w:hAnsi="Arial"/>
          <w:i/>
          <w:iCs/>
          <w:sz w:val="24"/>
          <w:szCs w:val="24"/>
        </w:rPr>
        <w:t xml:space="preserve">k</w:t>
      </w:r>
      <w:r>
        <w:rPr>
          <w:rFonts w:ascii="Arial" w:cs="Arial" w:eastAsia="Arial" w:hAnsi="Arial"/>
          <w:sz w:val="24"/>
          <w:szCs w:val="24"/>
        </w:rPr>
        <w:t xml:space="preserve">| (more fatigue-resistant, higher N) will tend to exhibit shorter τ</w:t>
      </w:r>
      <w:r>
        <w:rPr>
          <w:rFonts w:ascii="Arial" w:cs="Arial" w:eastAsia="Arial" w:hAnsi="Arial"/>
          <w:sz w:val="24"/>
          <w:szCs w:val="24"/>
          <w:vertAlign w:val="superscript"/>
        </w:rPr>
        <w:t xml:space="preserve">2</w:t>
      </w:r>
      <w:r>
        <w:rPr>
          <w:rFonts w:ascii="Arial" w:cs="Arial" w:eastAsia="Arial" w:hAnsi="Arial"/>
          <w:sz w:val="24"/>
          <w:szCs w:val="24"/>
        </w:rPr>
        <w:t xml:space="preserve"> (faster fatigue decay between sessions)—because the same metabolic efficiency that extends within-set endurance should also accelerate between-session recovery.</w:t>
      </w:r>
    </w:p>
    <w:p>
      <w:pPr>
        <w:spacing w:after="100"/>
      </w:pPr>
    </w:p>
    <w:p>
      <w:pPr>
        <w:pStyle w:val="Heading1"/>
      </w:pPr>
      <w:r>
        <w:rPr>
          <w:rFonts w:ascii="Arial" w:cs="Arial" w:eastAsia="Arial" w:hAnsi="Arial"/>
        </w:rPr>
        <w:t xml:space="preserve">3. Study Design</w:t>
      </w:r>
    </w:p>
    <w:p>
      <w:pPr>
        <w:pStyle w:val="Heading2"/>
      </w:pPr>
      <w:r>
        <w:rPr>
          <w:rFonts w:ascii="Arial" w:cs="Arial" w:eastAsia="Arial" w:hAnsi="Arial"/>
        </w:rPr>
        <w:t xml:space="preserve">3.1 Study 1: Cross-sectional characterization of k</w:t>
      </w:r>
    </w:p>
    <w:p>
      <w:pPr>
        <w:spacing w:after="200" w:line="300"/>
        <w:jc w:val="left"/>
      </w:pPr>
      <w:r>
        <w:rPr>
          <w:rFonts w:ascii="Arial" w:cs="Arial" w:eastAsia="Arial" w:hAnsi="Arial"/>
          <w:b/>
          <w:bCs/>
          <w:sz w:val="24"/>
          <w:szCs w:val="24"/>
        </w:rPr>
        <w:t xml:space="preserve">Objective: </w:t>
      </w:r>
      <w:r>
        <w:rPr>
          <w:rFonts w:ascii="Arial" w:cs="Arial" w:eastAsia="Arial" w:hAnsi="Arial"/>
          <w:sz w:val="24"/>
          <w:szCs w:val="24"/>
        </w:rPr>
        <w:t xml:space="preserve">Determine whether </w:t>
      </w:r>
      <w:r>
        <w:rPr>
          <w:rFonts w:ascii="Arial" w:cs="Arial" w:eastAsia="Arial" w:hAnsi="Arial"/>
          <w:i/>
          <w:iCs/>
          <w:sz w:val="24"/>
          <w:szCs w:val="24"/>
        </w:rPr>
        <w:t xml:space="preserve">k</w:t>
      </w:r>
      <w:r>
        <w:rPr>
          <w:rFonts w:ascii="Arial" w:cs="Arial" w:eastAsia="Arial" w:hAnsi="Arial"/>
          <w:sz w:val="24"/>
          <w:szCs w:val="24"/>
        </w:rPr>
        <w:t xml:space="preserve"> is an intrinsic, person-level parameter by comparing inter-individual to intra-individual variance.</w:t>
      </w:r>
    </w:p>
    <w:p>
      <w:pPr>
        <w:spacing w:after="200" w:line="300"/>
        <w:jc w:val="left"/>
      </w:pPr>
      <w:r>
        <w:rPr>
          <w:rFonts w:ascii="Arial" w:cs="Arial" w:eastAsia="Arial" w:hAnsi="Arial"/>
          <w:b/>
          <w:bCs/>
          <w:sz w:val="24"/>
          <w:szCs w:val="24"/>
        </w:rPr>
        <w:t xml:space="preserve">Participants: </w:t>
      </w:r>
      <w:r>
        <w:rPr>
          <w:rFonts w:ascii="Arial" w:cs="Arial" w:eastAsia="Arial" w:hAnsi="Arial"/>
          <w:sz w:val="24"/>
          <w:szCs w:val="24"/>
        </w:rPr>
        <w:t xml:space="preserve">40–60 recreationally trained adults (minimum 1 year consistent resistance training, capable of performing barbell bench press, squat, deadlift, overhead press, and barbell row with technically competent form). Stratified recruitment targeting equal representation of males and females and a range of training ages (1–3 yr, 3–7 yr, 7+ yr).</w:t>
      </w:r>
    </w:p>
    <w:p>
      <w:pPr>
        <w:spacing w:after="200" w:line="300"/>
        <w:jc w:val="left"/>
      </w:pPr>
      <w:r>
        <w:rPr>
          <w:rFonts w:ascii="Arial" w:cs="Arial" w:eastAsia="Arial" w:hAnsi="Arial"/>
          <w:b/>
          <w:bCs/>
          <w:sz w:val="24"/>
          <w:szCs w:val="24"/>
        </w:rPr>
        <w:t xml:space="preserve">Protocol: </w:t>
      </w:r>
      <w:r>
        <w:rPr>
          <w:rFonts w:ascii="Arial" w:cs="Arial" w:eastAsia="Arial" w:hAnsi="Arial"/>
          <w:sz w:val="24"/>
          <w:szCs w:val="24"/>
        </w:rPr>
        <w:t xml:space="preserve">Each participant completes a reps-to-failure (RTF) protocol across five barbell exercises over two testing sessions separated by 72–96 hours. Session A: bench press, deadlift, barbell row (randomized order). Session B: squat, overhead press (randomized order). For each exercise, the participant performs RTF sets at 60%, 70%, 80%, and 90% of a previously established 1RM (determined in a familiarization session 5–7 days prior). Each RTF set is separated by 5 minutes of passive rest. This produces four (W, r) data points per exercise per participant.</w:t>
      </w:r>
    </w:p>
    <w:p>
      <w:pPr>
        <w:spacing w:after="200" w:line="300"/>
        <w:jc w:val="left"/>
      </w:pPr>
      <w:r>
        <w:rPr>
          <w:rFonts w:ascii="Arial" w:cs="Arial" w:eastAsia="Arial" w:hAnsi="Arial"/>
          <w:b/>
          <w:bCs/>
          <w:sz w:val="24"/>
          <w:szCs w:val="24"/>
        </w:rPr>
        <w:t xml:space="preserve">Analysis: </w:t>
      </w:r>
      <w:r>
        <w:rPr>
          <w:rFonts w:ascii="Arial" w:cs="Arial" w:eastAsia="Arial" w:hAnsi="Arial"/>
          <w:sz w:val="24"/>
          <w:szCs w:val="24"/>
        </w:rPr>
        <w:t xml:space="preserve">For each participant, an exponential curve W(r) = W</w:t>
      </w:r>
      <w:r>
        <w:rPr>
          <w:rFonts w:ascii="Arial" w:cs="Arial" w:eastAsia="Arial" w:hAnsi="Arial"/>
          <w:sz w:val="24"/>
          <w:szCs w:val="24"/>
          <w:vertAlign w:val="superscript"/>
        </w:rPr>
        <w:t xml:space="preserve">0</w:t>
      </w:r>
      <w:r>
        <w:rPr>
          <w:rFonts w:ascii="Arial" w:cs="Arial" w:eastAsia="Arial" w:hAnsi="Arial"/>
          <w:sz w:val="24"/>
          <w:szCs w:val="24"/>
        </w:rPr>
        <w:t xml:space="preserve"> · e</w:t>
      </w:r>
      <w:r>
        <w:rPr>
          <w:rFonts w:ascii="Arial" w:cs="Arial" w:eastAsia="Arial" w:hAnsi="Arial"/>
          <w:sz w:val="24"/>
          <w:szCs w:val="24"/>
          <w:vertAlign w:val="superscript"/>
        </w:rPr>
        <w:t xml:space="preserve">kr</w:t>
      </w:r>
      <w:r>
        <w:rPr>
          <w:rFonts w:ascii="Arial" w:cs="Arial" w:eastAsia="Arial" w:hAnsi="Arial"/>
          <w:sz w:val="24"/>
          <w:szCs w:val="24"/>
        </w:rPr>
        <w:t xml:space="preserve"> is fitted to the RTF data for each exercise independently, yielding five estimates of </w:t>
      </w:r>
      <w:r>
        <w:rPr>
          <w:rFonts w:ascii="Arial" w:cs="Arial" w:eastAsia="Arial" w:hAnsi="Arial"/>
          <w:i/>
          <w:iCs/>
          <w:sz w:val="24"/>
          <w:szCs w:val="24"/>
        </w:rPr>
        <w:t xml:space="preserve">k</w:t>
      </w:r>
      <w:r>
        <w:rPr>
          <w:rFonts w:ascii="Arial" w:cs="Arial" w:eastAsia="Arial" w:hAnsi="Arial"/>
          <w:sz w:val="24"/>
          <w:szCs w:val="24"/>
        </w:rPr>
        <w:t xml:space="preserve"> per participant. A two-way random-effects ANOVA (ICC model) partitions variance in </w:t>
      </w:r>
      <w:r>
        <w:rPr>
          <w:rFonts w:ascii="Arial" w:cs="Arial" w:eastAsia="Arial" w:hAnsi="Arial"/>
          <w:i/>
          <w:iCs/>
          <w:sz w:val="24"/>
          <w:szCs w:val="24"/>
        </w:rPr>
        <w:t xml:space="preserve">k</w:t>
      </w:r>
      <w:r>
        <w:rPr>
          <w:rFonts w:ascii="Arial" w:cs="Arial" w:eastAsia="Arial" w:hAnsi="Arial"/>
          <w:sz w:val="24"/>
          <w:szCs w:val="24"/>
        </w:rPr>
        <w:t xml:space="preserve"> into between-person and between-exercise components. If the ICC (person) is high (≥0.70) and ICC (exercise) is low, this supports the hypothesis that </w:t>
      </w:r>
      <w:r>
        <w:rPr>
          <w:rFonts w:ascii="Arial" w:cs="Arial" w:eastAsia="Arial" w:hAnsi="Arial"/>
          <w:i/>
          <w:iCs/>
          <w:sz w:val="24"/>
          <w:szCs w:val="24"/>
        </w:rPr>
        <w:t xml:space="preserve">k</w:t>
      </w:r>
      <w:r>
        <w:rPr>
          <w:rFonts w:ascii="Arial" w:cs="Arial" w:eastAsia="Arial" w:hAnsi="Arial"/>
          <w:sz w:val="24"/>
          <w:szCs w:val="24"/>
        </w:rPr>
        <w:t xml:space="preserve"> is an intrinsic property of the lifter. Secondary analyses examine the effect of sex, training age, and body composition on </w:t>
      </w:r>
      <w:r>
        <w:rPr>
          <w:rFonts w:ascii="Arial" w:cs="Arial" w:eastAsia="Arial" w:hAnsi="Arial"/>
          <w:i/>
          <w:iCs/>
          <w:sz w:val="24"/>
          <w:szCs w:val="24"/>
        </w:rPr>
        <w:t xml:space="preserve">k</w:t>
      </w:r>
      <w:r>
        <w:rPr>
          <w:rFonts w:ascii="Arial" w:cs="Arial" w:eastAsia="Arial" w:hAnsi="Arial"/>
          <w:sz w:val="24"/>
          <w:szCs w:val="24"/>
        </w:rPr>
        <w:t xml:space="preserve">.</w:t>
      </w:r>
    </w:p>
    <w:p>
      <w:pPr>
        <w:pStyle w:val="Heading2"/>
      </w:pPr>
      <w:r>
        <w:rPr>
          <w:rFonts w:ascii="Arial" w:cs="Arial" w:eastAsia="Arial" w:hAnsi="Arial"/>
        </w:rPr>
        <w:t xml:space="preserve">3.2 Study 2: Longitudinal stability and Banister correspondence</w:t>
      </w:r>
    </w:p>
    <w:p>
      <w:pPr>
        <w:spacing w:after="200" w:line="300"/>
        <w:jc w:val="left"/>
      </w:pPr>
      <w:r>
        <w:rPr>
          <w:rFonts w:ascii="Arial" w:cs="Arial" w:eastAsia="Arial" w:hAnsi="Arial"/>
          <w:b/>
          <w:bCs/>
          <w:sz w:val="24"/>
          <w:szCs w:val="24"/>
        </w:rPr>
        <w:t xml:space="preserve">Objective: </w:t>
      </w:r>
      <w:r>
        <w:rPr>
          <w:rFonts w:ascii="Arial" w:cs="Arial" w:eastAsia="Arial" w:hAnsi="Arial"/>
          <w:sz w:val="24"/>
          <w:szCs w:val="24"/>
        </w:rPr>
        <w:t xml:space="preserve">(a) Confirm that </w:t>
      </w:r>
      <w:r>
        <w:rPr>
          <w:rFonts w:ascii="Arial" w:cs="Arial" w:eastAsia="Arial" w:hAnsi="Arial"/>
          <w:i/>
          <w:iCs/>
          <w:sz w:val="24"/>
          <w:szCs w:val="24"/>
        </w:rPr>
        <w:t xml:space="preserve">k</w:t>
      </w:r>
      <w:r>
        <w:rPr>
          <w:rFonts w:ascii="Arial" w:cs="Arial" w:eastAsia="Arial" w:hAnsi="Arial"/>
          <w:sz w:val="24"/>
          <w:szCs w:val="24"/>
        </w:rPr>
        <w:t xml:space="preserve"> is stable across time and progressive overload. (b) Estimate Banister model parameters (τ</w:t>
      </w:r>
      <w:r>
        <w:rPr>
          <w:rFonts w:ascii="Arial" w:cs="Arial" w:eastAsia="Arial" w:hAnsi="Arial"/>
          <w:sz w:val="24"/>
          <w:szCs w:val="24"/>
          <w:vertAlign w:val="superscript"/>
        </w:rPr>
        <w:t xml:space="preserve">1</w:t>
      </w:r>
      <w:r>
        <w:rPr>
          <w:rFonts w:ascii="Arial" w:cs="Arial" w:eastAsia="Arial" w:hAnsi="Arial"/>
          <w:sz w:val="24"/>
          <w:szCs w:val="24"/>
        </w:rPr>
        <w:t xml:space="preserve">, τ</w:t>
      </w:r>
      <w:r>
        <w:rPr>
          <w:rFonts w:ascii="Arial" w:cs="Arial" w:eastAsia="Arial" w:hAnsi="Arial"/>
          <w:sz w:val="24"/>
          <w:szCs w:val="24"/>
          <w:vertAlign w:val="superscript"/>
        </w:rPr>
        <w:t xml:space="preserve">2</w:t>
      </w:r>
      <w:r>
        <w:rPr>
          <w:rFonts w:ascii="Arial" w:cs="Arial" w:eastAsia="Arial" w:hAnsi="Arial"/>
          <w:sz w:val="24"/>
          <w:szCs w:val="24"/>
        </w:rPr>
        <w:t xml:space="preserve">) for each participant and test for correlation with </w:t>
      </w:r>
      <w:r>
        <w:rPr>
          <w:rFonts w:ascii="Arial" w:cs="Arial" w:eastAsia="Arial" w:hAnsi="Arial"/>
          <w:i/>
          <w:iCs/>
          <w:sz w:val="24"/>
          <w:szCs w:val="24"/>
        </w:rPr>
        <w:t xml:space="preserve">k</w:t>
      </w:r>
      <w:r>
        <w:rPr>
          <w:rFonts w:ascii="Arial" w:cs="Arial" w:eastAsia="Arial" w:hAnsi="Arial"/>
          <w:sz w:val="24"/>
          <w:szCs w:val="24"/>
        </w:rPr>
        <w:t xml:space="preserve">.</w:t>
      </w:r>
    </w:p>
    <w:p>
      <w:pPr>
        <w:spacing w:after="200" w:line="300"/>
        <w:jc w:val="left"/>
      </w:pPr>
      <w:r>
        <w:rPr>
          <w:rFonts w:ascii="Arial" w:cs="Arial" w:eastAsia="Arial" w:hAnsi="Arial"/>
          <w:b/>
          <w:bCs/>
          <w:sz w:val="24"/>
          <w:szCs w:val="24"/>
        </w:rPr>
        <w:t xml:space="preserve">Participants: </w:t>
      </w:r>
      <w:r>
        <w:rPr>
          <w:rFonts w:ascii="Arial" w:cs="Arial" w:eastAsia="Arial" w:hAnsi="Arial"/>
          <w:sz w:val="24"/>
          <w:szCs w:val="24"/>
        </w:rPr>
        <w:t xml:space="preserve">A subset of 15–20 participants from Study 1 who consent to a 12-week longitudinal protocol.</w:t>
      </w:r>
    </w:p>
    <w:p>
      <w:pPr>
        <w:spacing w:after="200" w:line="300"/>
        <w:jc w:val="left"/>
      </w:pPr>
      <w:r>
        <w:rPr>
          <w:rFonts w:ascii="Arial" w:cs="Arial" w:eastAsia="Arial" w:hAnsi="Arial"/>
          <w:b/>
          <w:bCs/>
          <w:sz w:val="24"/>
          <w:szCs w:val="24"/>
        </w:rPr>
        <w:t xml:space="preserve">Protocol: </w:t>
      </w:r>
      <w:r>
        <w:rPr>
          <w:rFonts w:ascii="Arial" w:cs="Arial" w:eastAsia="Arial" w:hAnsi="Arial"/>
          <w:sz w:val="24"/>
          <w:szCs w:val="24"/>
        </w:rPr>
        <w:t xml:space="preserve">Participants follow a standardized 12-week periodized training program (3–4 sessions/week) with prescribed exercises including the five barbell lifts from Study 1. Each session is logged: exercise, load, reps, RPE (1–10 scale). The RTF battery from Study 1 is repeated at weeks 0, 4, 8, and 12, yielding four time-resolved estimates of </w:t>
      </w:r>
      <w:r>
        <w:rPr>
          <w:rFonts w:ascii="Arial" w:cs="Arial" w:eastAsia="Arial" w:hAnsi="Arial"/>
          <w:i/>
          <w:iCs/>
          <w:sz w:val="24"/>
          <w:szCs w:val="24"/>
        </w:rPr>
        <w:t xml:space="preserve">k</w:t>
      </w:r>
      <w:r>
        <w:rPr>
          <w:rFonts w:ascii="Arial" w:cs="Arial" w:eastAsia="Arial" w:hAnsi="Arial"/>
          <w:sz w:val="24"/>
          <w:szCs w:val="24"/>
        </w:rPr>
        <w:t xml:space="preserve"> per participant per exercise. Between these RTF batteries, performance is assessed via weekly 3RM tests on one primary lift (rotated), providing a time series suitable for Banister model fitting.</w:t>
      </w:r>
    </w:p>
    <w:p>
      <w:pPr>
        <w:spacing w:after="200" w:line="300"/>
        <w:jc w:val="left"/>
      </w:pPr>
      <w:r>
        <w:rPr>
          <w:rFonts w:ascii="Arial" w:cs="Arial" w:eastAsia="Arial" w:hAnsi="Arial"/>
          <w:b/>
          <w:bCs/>
          <w:sz w:val="24"/>
          <w:szCs w:val="24"/>
        </w:rPr>
        <w:t xml:space="preserve">Analysis: </w:t>
      </w:r>
      <w:r>
        <w:rPr>
          <w:rFonts w:ascii="Arial" w:cs="Arial" w:eastAsia="Arial" w:hAnsi="Arial"/>
          <w:sz w:val="24"/>
          <w:szCs w:val="24"/>
        </w:rPr>
        <w:t xml:space="preserve">(a) Stability: repeated-measures ANOVA on </w:t>
      </w:r>
      <w:r>
        <w:rPr>
          <w:rFonts w:ascii="Arial" w:cs="Arial" w:eastAsia="Arial" w:hAnsi="Arial"/>
          <w:i/>
          <w:iCs/>
          <w:sz w:val="24"/>
          <w:szCs w:val="24"/>
        </w:rPr>
        <w:t xml:space="preserve">k</w:t>
      </w:r>
      <w:r>
        <w:rPr>
          <w:rFonts w:ascii="Arial" w:cs="Arial" w:eastAsia="Arial" w:hAnsi="Arial"/>
          <w:sz w:val="24"/>
          <w:szCs w:val="24"/>
        </w:rPr>
        <w:t xml:space="preserve"> across the four time points. A non-significant main effect of time, combined with a significant main effect of person, confirms temporal stability. (b) Banister fitting: using the logged training loads (session RPE × duration as the impulse) and weekly performance measurements, the four-parameter Banister model is fitted per-participant using nonlinear least squares. The resulting τ</w:t>
      </w:r>
      <w:r>
        <w:rPr>
          <w:rFonts w:ascii="Arial" w:cs="Arial" w:eastAsia="Arial" w:hAnsi="Arial"/>
          <w:sz w:val="24"/>
          <w:szCs w:val="24"/>
          <w:vertAlign w:val="superscript"/>
        </w:rPr>
        <w:t xml:space="preserve">1</w:t>
      </w:r>
      <w:r>
        <w:rPr>
          <w:rFonts w:ascii="Arial" w:cs="Arial" w:eastAsia="Arial" w:hAnsi="Arial"/>
          <w:sz w:val="24"/>
          <w:szCs w:val="24"/>
        </w:rPr>
        <w:t xml:space="preserve"> and τ</w:t>
      </w:r>
      <w:r>
        <w:rPr>
          <w:rFonts w:ascii="Arial" w:cs="Arial" w:eastAsia="Arial" w:hAnsi="Arial"/>
          <w:sz w:val="24"/>
          <w:szCs w:val="24"/>
          <w:vertAlign w:val="superscript"/>
        </w:rPr>
        <w:t xml:space="preserve">2</w:t>
      </w:r>
      <w:r>
        <w:rPr>
          <w:rFonts w:ascii="Arial" w:cs="Arial" w:eastAsia="Arial" w:hAnsi="Arial"/>
          <w:sz w:val="24"/>
          <w:szCs w:val="24"/>
        </w:rPr>
        <w:t xml:space="preserve"> are then tested for correlation (Pearson or Spearman) with each participant’s mean </w:t>
      </w:r>
      <w:r>
        <w:rPr>
          <w:rFonts w:ascii="Arial" w:cs="Arial" w:eastAsia="Arial" w:hAnsi="Arial"/>
          <w:i/>
          <w:iCs/>
          <w:sz w:val="24"/>
          <w:szCs w:val="24"/>
        </w:rPr>
        <w:t xml:space="preserve">k</w:t>
      </w:r>
      <w:r>
        <w:rPr>
          <w:rFonts w:ascii="Arial" w:cs="Arial" w:eastAsia="Arial" w:hAnsi="Arial"/>
          <w:sz w:val="24"/>
          <w:szCs w:val="24"/>
        </w:rPr>
        <w:t xml:space="preserve">. The primary hypothesis is a negative correlation between |</w:t>
      </w:r>
      <w:r>
        <w:rPr>
          <w:rFonts w:ascii="Arial" w:cs="Arial" w:eastAsia="Arial" w:hAnsi="Arial"/>
          <w:i/>
          <w:iCs/>
          <w:sz w:val="24"/>
          <w:szCs w:val="24"/>
        </w:rPr>
        <w:t xml:space="preserve">k</w:t>
      </w:r>
      <w:r>
        <w:rPr>
          <w:rFonts w:ascii="Arial" w:cs="Arial" w:eastAsia="Arial" w:hAnsi="Arial"/>
          <w:sz w:val="24"/>
          <w:szCs w:val="24"/>
        </w:rPr>
        <w:t xml:space="preserve">| and τ</w:t>
      </w:r>
      <w:r>
        <w:rPr>
          <w:rFonts w:ascii="Arial" w:cs="Arial" w:eastAsia="Arial" w:hAnsi="Arial"/>
          <w:sz w:val="24"/>
          <w:szCs w:val="24"/>
          <w:vertAlign w:val="superscript"/>
        </w:rPr>
        <w:t xml:space="preserve">2</w:t>
      </w:r>
      <w:r>
        <w:rPr>
          <w:rFonts w:ascii="Arial" w:cs="Arial" w:eastAsia="Arial" w:hAnsi="Arial"/>
          <w:sz w:val="24"/>
          <w:szCs w:val="24"/>
        </w:rPr>
        <w:t xml:space="preserve"> (higher fatigue resistance within a set predicts faster fatigue dissipation between sessions).</w:t>
      </w:r>
    </w:p>
    <w:p>
      <w:pPr>
        <w:spacing w:after="100"/>
      </w:pPr>
    </w:p>
    <w:p>
      <w:pPr>
        <w:pStyle w:val="Heading1"/>
      </w:pPr>
      <w:r>
        <w:rPr>
          <w:rFonts w:ascii="Arial" w:cs="Arial" w:eastAsia="Arial" w:hAnsi="Arial"/>
        </w:rPr>
        <w:t xml:space="preserve">4. Expected Outcomes and Significance</w:t>
      </w:r>
    </w:p>
    <w:p>
      <w:pPr>
        <w:pStyle w:val="Heading2"/>
      </w:pPr>
      <w:r>
        <w:rPr>
          <w:rFonts w:ascii="Arial" w:cs="Arial" w:eastAsia="Arial" w:hAnsi="Arial"/>
        </w:rPr>
        <w:t xml:space="preserve">4.1 If k is person-invariant (Q1 supported)</w:t>
      </w:r>
    </w:p>
    <w:p>
      <w:pPr>
        <w:spacing w:after="200" w:line="300"/>
        <w:jc w:val="left"/>
      </w:pPr>
      <w:r>
        <w:rPr>
          <w:rFonts w:ascii="Arial" w:cs="Arial" w:eastAsia="Arial" w:hAnsi="Arial"/>
          <w:sz w:val="24"/>
          <w:szCs w:val="24"/>
        </w:rPr>
        <w:t xml:space="preserve">This would establish </w:t>
      </w:r>
      <w:r>
        <w:rPr>
          <w:rFonts w:ascii="Arial" w:cs="Arial" w:eastAsia="Arial" w:hAnsi="Arial"/>
          <w:i/>
          <w:iCs/>
          <w:sz w:val="24"/>
          <w:szCs w:val="24"/>
        </w:rPr>
        <w:t xml:space="preserve">k</w:t>
      </w:r>
      <w:r>
        <w:rPr>
          <w:rFonts w:ascii="Arial" w:cs="Arial" w:eastAsia="Arial" w:hAnsi="Arial"/>
          <w:sz w:val="24"/>
          <w:szCs w:val="24"/>
        </w:rPr>
        <w:t xml:space="preserve"> (or equivalently N = −1/k) as a novel biometric—a single dimensionless number characterizing an individual’s neuromuscular fatigue profile. Practical applications include: personalized 1RM prediction (using an individually calibrated exponential rather than population-level formulas like Epley or Brzycki), individualized training prescription (athletes with low N may benefit from lower-rep, higher-intensity protocols, while high-N athletes can tolerate higher volumes), and screening for metabolic phenotype (N may correlate with muscle fiber type distribution, providing a non-invasive proxy).</w:t>
      </w:r>
    </w:p>
    <w:p>
      <w:pPr>
        <w:pStyle w:val="Heading2"/>
      </w:pPr>
      <w:r>
        <w:rPr>
          <w:rFonts w:ascii="Arial" w:cs="Arial" w:eastAsia="Arial" w:hAnsi="Arial"/>
        </w:rPr>
        <w:t xml:space="preserve">4.2 If k correlates with Banister τ (Q3 supported)</w:t>
      </w:r>
    </w:p>
    <w:p>
      <w:pPr>
        <w:spacing w:after="200" w:line="300"/>
        <w:jc w:val="left"/>
      </w:pPr>
      <w:r>
        <w:rPr>
          <w:rFonts w:ascii="Arial" w:cs="Arial" w:eastAsia="Arial" w:hAnsi="Arial"/>
          <w:sz w:val="24"/>
          <w:szCs w:val="24"/>
        </w:rPr>
        <w:t xml:space="preserve">This would be the more consequential result. It would mean that a single RTF test—which takes approximately 30 minutes—can predict an individual’s recovery kinetics, which currently require weeks of longitudinal data to estimate. This bridges two domains of exercise science that have developed largely independently: the within-set fatigue literature (Brzycki, Epley, Mayhew) and the between-session periodization literature (Banister, Busso, Zatsiorsky). If the bridge holds, it implies that both phenomena are governed by the same underlying metabolic transfer function, merely observed at different timescales.</w:t>
      </w:r>
    </w:p>
    <w:p>
      <w:pPr>
        <w:pStyle w:val="Heading2"/>
      </w:pPr>
      <w:r>
        <w:rPr>
          <w:rFonts w:ascii="Arial" w:cs="Arial" w:eastAsia="Arial" w:hAnsi="Arial"/>
        </w:rPr>
        <w:t xml:space="preserve">4.3 If k varies by exercise (Q1 not supported)</w:t>
      </w:r>
    </w:p>
    <w:p>
      <w:pPr>
        <w:spacing w:after="200" w:line="300"/>
        <w:jc w:val="left"/>
      </w:pPr>
      <w:r>
        <w:rPr>
          <w:rFonts w:ascii="Arial" w:cs="Arial" w:eastAsia="Arial" w:hAnsi="Arial"/>
          <w:sz w:val="24"/>
          <w:szCs w:val="24"/>
        </w:rPr>
        <w:t xml:space="preserve">This would still be informative. If the variance structure shows that </w:t>
      </w:r>
      <w:r>
        <w:rPr>
          <w:rFonts w:ascii="Arial" w:cs="Arial" w:eastAsia="Arial" w:hAnsi="Arial"/>
          <w:i/>
          <w:iCs/>
          <w:sz w:val="24"/>
          <w:szCs w:val="24"/>
        </w:rPr>
        <w:t xml:space="preserve">k</w:t>
      </w:r>
      <w:r>
        <w:rPr>
          <w:rFonts w:ascii="Arial" w:cs="Arial" w:eastAsia="Arial" w:hAnsi="Arial"/>
          <w:sz w:val="24"/>
          <w:szCs w:val="24"/>
        </w:rPr>
        <w:t xml:space="preserve"> clusters by movement pattern (e.g., pressing vs. pulling vs. hip hinge) rather than by person, this would suggest that the fatigue coefficient is a property of the motor pattern or the muscle groups involved, not the systemic physiology. This would redirect investigation toward peripheral mechanisms (fiber type composition of the primary movers, local vascular density, joint-specific mechanical efficiency).</w:t>
      </w:r>
    </w:p>
    <w:p>
      <w:pPr>
        <w:spacing w:after="100"/>
      </w:pPr>
    </w:p>
    <w:p>
      <w:pPr>
        <w:pStyle w:val="Heading1"/>
      </w:pPr>
      <w:r>
        <w:rPr>
          <w:rFonts w:ascii="Arial" w:cs="Arial" w:eastAsia="Arial" w:hAnsi="Arial"/>
        </w:rPr>
        <w:t xml:space="preserve">5. Preliminary Data and Feasibility</w:t>
      </w:r>
    </w:p>
    <w:p>
      <w:pPr>
        <w:spacing w:after="200" w:line="300"/>
        <w:jc w:val="left"/>
      </w:pPr>
      <w:r>
        <w:rPr>
          <w:rFonts w:ascii="Arial" w:cs="Arial" w:eastAsia="Arial" w:hAnsi="Arial"/>
          <w:sz w:val="24"/>
          <w:szCs w:val="24"/>
        </w:rPr>
        <w:t xml:space="preserve">The preliminary dataset (Table 1) was collected using a custom Excel-based tracking system (“Power Stack v1.1”) over approximately two years of self-directed training. The exponential model was fitted using least-squares regression on (rep count, weight) pairs at 1RM, 5RM, 12RM, and 20RM for each lift. The R</w:t>
      </w:r>
      <w:r>
        <w:rPr>
          <w:rFonts w:ascii="Arial" w:cs="Arial" w:eastAsia="Arial" w:hAnsi="Arial"/>
          <w:sz w:val="24"/>
          <w:szCs w:val="24"/>
          <w:vertAlign w:val="superscript"/>
        </w:rPr>
        <w:t xml:space="preserve">2</w:t>
      </w:r>
      <w:r>
        <w:rPr>
          <w:rFonts w:ascii="Arial" w:cs="Arial" w:eastAsia="Arial" w:hAnsi="Arial"/>
          <w:sz w:val="24"/>
          <w:szCs w:val="24"/>
        </w:rPr>
        <w:t xml:space="preserve"> values range from 0.87 to 0.99, with the highest goodness-of-fit on bench press and deadlift (the lifts with the most data points and the longest collection period).</w:t>
      </w:r>
    </w:p>
    <w:p>
      <w:pPr>
        <w:spacing w:after="200" w:line="300"/>
        <w:jc w:val="left"/>
      </w:pPr>
      <w:r>
        <w:rPr>
          <w:rFonts w:ascii="Arial" w:cs="Arial" w:eastAsia="Arial" w:hAnsi="Arial"/>
          <w:sz w:val="24"/>
          <w:szCs w:val="24"/>
        </w:rPr>
        <w:t xml:space="preserve">The key observation motivating this proposal is that the five independently fitted exponents cluster within a range of 0.008 (−0.028 to −0.036), with a coefficient of variation of approximately 8.5%. The consistency has persisted as individual data points have been updated over time—that is, as the subject’s 1RM and 20RM have both increased through progressive overload, the ratio between them (which determines </w:t>
      </w:r>
      <w:r>
        <w:rPr>
          <w:rFonts w:ascii="Arial" w:cs="Arial" w:eastAsia="Arial" w:hAnsi="Arial"/>
          <w:i/>
          <w:iCs/>
          <w:sz w:val="24"/>
          <w:szCs w:val="24"/>
        </w:rPr>
        <w:t xml:space="preserve">k</w:t>
      </w:r>
      <w:r>
        <w:rPr>
          <w:rFonts w:ascii="Arial" w:cs="Arial" w:eastAsia="Arial" w:hAnsi="Arial"/>
          <w:sz w:val="24"/>
          <w:szCs w:val="24"/>
        </w:rPr>
        <w:t xml:space="preserve">) has remained approximately constant. This temporal stability under changing absolute performance is what distinguishes </w:t>
      </w:r>
      <w:r>
        <w:rPr>
          <w:rFonts w:ascii="Arial" w:cs="Arial" w:eastAsia="Arial" w:hAnsi="Arial"/>
          <w:i/>
          <w:iCs/>
          <w:sz w:val="24"/>
          <w:szCs w:val="24"/>
        </w:rPr>
        <w:t xml:space="preserve">k</w:t>
      </w:r>
      <w:r>
        <w:rPr>
          <w:rFonts w:ascii="Arial" w:cs="Arial" w:eastAsia="Arial" w:hAnsi="Arial"/>
          <w:sz w:val="24"/>
          <w:szCs w:val="24"/>
        </w:rPr>
        <w:t xml:space="preserve"> from a snapshot measurement.</w:t>
      </w:r>
    </w:p>
    <w:p>
      <w:pPr>
        <w:spacing w:after="200" w:line="300"/>
        <w:jc w:val="left"/>
      </w:pPr>
      <w:r>
        <w:rPr>
          <w:rFonts w:ascii="Arial" w:cs="Arial" w:eastAsia="Arial" w:hAnsi="Arial"/>
          <w:sz w:val="24"/>
          <w:szCs w:val="24"/>
        </w:rPr>
        <w:t xml:space="preserve">The squat exponent (−0.036) is the most negative (steepest decay), which is consistent with the squat being the most systemically taxing lift—it loads the largest muscle groups and demands the highest cardiovascular support. Whether this deviation reflects a genuine exercise-specific effect or noise from the shorter data collection period (Aug 2023–Feb 2024, vs. through Jul 2025 for bench and deadlift) is a question Study 1 is designed to resolve.</w:t>
      </w:r>
    </w:p>
    <w:p>
      <w:pPr>
        <w:spacing w:after="100"/>
      </w:pPr>
    </w:p>
    <w:p>
      <w:pPr>
        <w:pStyle w:val="Heading1"/>
      </w:pPr>
      <w:r>
        <w:rPr>
          <w:rFonts w:ascii="Arial" w:cs="Arial" w:eastAsia="Arial" w:hAnsi="Arial"/>
        </w:rPr>
        <w:t xml:space="preserve">6. Limitations and Risks</w:t>
      </w:r>
    </w:p>
    <w:p>
      <w:pPr>
        <w:spacing w:after="200" w:line="300"/>
        <w:jc w:val="left"/>
      </w:pPr>
      <w:r>
        <w:rPr>
          <w:rFonts w:ascii="Arial" w:cs="Arial" w:eastAsia="Arial" w:hAnsi="Arial"/>
          <w:sz w:val="24"/>
          <w:szCs w:val="24"/>
        </w:rPr>
        <w:t xml:space="preserve">The Banister model has known identification problems: fitting four free parameters (τ</w:t>
      </w:r>
      <w:r>
        <w:rPr>
          <w:rFonts w:ascii="Arial" w:cs="Arial" w:eastAsia="Arial" w:hAnsi="Arial"/>
          <w:sz w:val="24"/>
          <w:szCs w:val="24"/>
          <w:vertAlign w:val="superscript"/>
        </w:rPr>
        <w:t xml:space="preserve">1</w:t>
      </w:r>
      <w:r>
        <w:rPr>
          <w:rFonts w:ascii="Arial" w:cs="Arial" w:eastAsia="Arial" w:hAnsi="Arial"/>
          <w:sz w:val="24"/>
          <w:szCs w:val="24"/>
        </w:rPr>
        <w:t xml:space="preserve">, τ</w:t>
      </w:r>
      <w:r>
        <w:rPr>
          <w:rFonts w:ascii="Arial" w:cs="Arial" w:eastAsia="Arial" w:hAnsi="Arial"/>
          <w:sz w:val="24"/>
          <w:szCs w:val="24"/>
          <w:vertAlign w:val="superscript"/>
        </w:rPr>
        <w:t xml:space="preserve">2</w:t>
      </w:r>
      <w:r>
        <w:rPr>
          <w:rFonts w:ascii="Arial" w:cs="Arial" w:eastAsia="Arial" w:hAnsi="Arial"/>
          <w:sz w:val="24"/>
          <w:szCs w:val="24"/>
        </w:rPr>
        <w:t xml:space="preserve">, k</w:t>
      </w:r>
      <w:r>
        <w:rPr>
          <w:rFonts w:ascii="Arial" w:cs="Arial" w:eastAsia="Arial" w:hAnsi="Arial"/>
          <w:sz w:val="24"/>
          <w:szCs w:val="24"/>
          <w:vertAlign w:val="superscript"/>
        </w:rPr>
        <w:t xml:space="preserve">1</w:t>
      </w:r>
      <w:r>
        <w:rPr>
          <w:rFonts w:ascii="Arial" w:cs="Arial" w:eastAsia="Arial" w:hAnsi="Arial"/>
          <w:sz w:val="24"/>
          <w:szCs w:val="24"/>
        </w:rPr>
        <w:t xml:space="preserve">, k</w:t>
      </w:r>
      <w:r>
        <w:rPr>
          <w:rFonts w:ascii="Arial" w:cs="Arial" w:eastAsia="Arial" w:hAnsi="Arial"/>
          <w:sz w:val="24"/>
          <w:szCs w:val="24"/>
          <w:vertAlign w:val="superscript"/>
        </w:rPr>
        <w:t xml:space="preserve">2</w:t>
      </w:r>
      <w:r>
        <w:rPr>
          <w:rFonts w:ascii="Arial" w:cs="Arial" w:eastAsia="Arial" w:hAnsi="Arial"/>
          <w:sz w:val="24"/>
          <w:szCs w:val="24"/>
        </w:rPr>
        <w:t xml:space="preserve">) requires dense performance measurements, and the resulting parameters are often poorly constrained (Hellard et al., 2006; Taha &amp; Thomas, 2003). High correlations between τ</w:t>
      </w:r>
      <w:r>
        <w:rPr>
          <w:rFonts w:ascii="Arial" w:cs="Arial" w:eastAsia="Arial" w:hAnsi="Arial"/>
          <w:sz w:val="24"/>
          <w:szCs w:val="24"/>
          <w:vertAlign w:val="superscript"/>
        </w:rPr>
        <w:t xml:space="preserve">1</w:t>
      </w:r>
      <w:r>
        <w:rPr>
          <w:rFonts w:ascii="Arial" w:cs="Arial" w:eastAsia="Arial" w:hAnsi="Arial"/>
          <w:sz w:val="24"/>
          <w:szCs w:val="24"/>
        </w:rPr>
        <w:t xml:space="preserve"> and τ</w:t>
      </w:r>
      <w:r>
        <w:rPr>
          <w:rFonts w:ascii="Arial" w:cs="Arial" w:eastAsia="Arial" w:hAnsi="Arial"/>
          <w:sz w:val="24"/>
          <w:szCs w:val="24"/>
          <w:vertAlign w:val="superscript"/>
        </w:rPr>
        <w:t xml:space="preserve">2</w:t>
      </w:r>
      <w:r>
        <w:rPr>
          <w:rFonts w:ascii="Arial" w:cs="Arial" w:eastAsia="Arial" w:hAnsi="Arial"/>
          <w:sz w:val="24"/>
          <w:szCs w:val="24"/>
        </w:rPr>
        <w:t xml:space="preserve"> can make individual estimates unreliable. Study 2 mitigates this with weekly performance testing and session-level load logging, but the parameter estimates will carry meaningful uncertainty. The correlation analysis between </w:t>
      </w:r>
      <w:r>
        <w:rPr>
          <w:rFonts w:ascii="Arial" w:cs="Arial" w:eastAsia="Arial" w:hAnsi="Arial"/>
          <w:i/>
          <w:iCs/>
          <w:sz w:val="24"/>
          <w:szCs w:val="24"/>
        </w:rPr>
        <w:t xml:space="preserve">k</w:t>
      </w:r>
      <w:r>
        <w:rPr>
          <w:rFonts w:ascii="Arial" w:cs="Arial" w:eastAsia="Arial" w:hAnsi="Arial"/>
          <w:sz w:val="24"/>
          <w:szCs w:val="24"/>
        </w:rPr>
        <w:t xml:space="preserve"> and τ should be interpreted as hypothesis-generating rather than confirmatory.</w:t>
      </w:r>
    </w:p>
    <w:p>
      <w:pPr>
        <w:spacing w:after="200" w:line="300"/>
        <w:jc w:val="left"/>
      </w:pPr>
      <w:r>
        <w:rPr>
          <w:rFonts w:ascii="Arial" w:cs="Arial" w:eastAsia="Arial" w:hAnsi="Arial"/>
          <w:sz w:val="24"/>
          <w:szCs w:val="24"/>
        </w:rPr>
        <w:t xml:space="preserve">The RTF protocol introduces a potential confound: the order of intensity conditions (60%, 70%, 80%, 90%) may affect results due to cumulative fatigue within the testing session. Randomizing the order across participants and including set order as a covariate in the statistical model addresses this partially. A counterbalanced design (half ascending, half descending) is preferable.</w:t>
      </w:r>
    </w:p>
    <w:p>
      <w:pPr>
        <w:spacing w:after="200" w:line="300"/>
        <w:jc w:val="left"/>
      </w:pPr>
      <w:r>
        <w:rPr>
          <w:rFonts w:ascii="Arial" w:cs="Arial" w:eastAsia="Arial" w:hAnsi="Arial"/>
          <w:sz w:val="24"/>
          <w:szCs w:val="24"/>
        </w:rPr>
        <w:t xml:space="preserve">The exponential model itself is an approximation. At very low reps (1–3), neural factors dominate and the relationship between load and reps may not follow the same exponential as the 5–20 rep range. At very high reps (&gt;20), cardiovascular and psychological factors increasingly influence the result. The RTF protocol deliberately samples across this range (4 intensity levels) to evaluate model fit, and Study 1 should report residual analysis to identify systematic deviations from the exponential form.</w:t>
      </w:r>
    </w:p>
    <w:p>
      <w:pPr>
        <w:spacing w:after="100"/>
      </w:pPr>
    </w:p>
    <w:p>
      <w:pPr>
        <w:pStyle w:val="Heading1"/>
      </w:pPr>
      <w:r>
        <w:rPr>
          <w:rFonts w:ascii="Arial" w:cs="Arial" w:eastAsia="Arial" w:hAnsi="Arial"/>
        </w:rPr>
        <w:t xml:space="preserve">7. Timeline and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1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Duration</w:t>
            </w:r>
          </w:p>
        </w:tc>
      </w:tr>
      <w:tr>
        <w:tc>
          <w:tcPr>
            <w:tcW w:type="dxa" w:w="1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Months 1–2</w:t>
            </w:r>
          </w:p>
        </w:tc>
        <w:tc>
          <w:tcPr>
            <w:tcW w:type="dxa" w:w="5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IRB approval, participant recruitment, familiarization sessions</w:t>
            </w:r>
          </w:p>
        </w:tc>
        <w:tc>
          <w:tcPr>
            <w:tcW w:type="dxa" w:w="2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8 weeks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Months 3–4</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Study 1 data collection: RTF testing sessions (2 per participant)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weeks</w:t>
            </w:r>
          </w:p>
        </w:tc>
      </w:tr>
      <w:tr>
        <w:tc>
          <w:tcPr>
            <w:tcW w:type="dxa" w:w="1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Month 5</w:t>
            </w:r>
          </w:p>
        </w:tc>
        <w:tc>
          <w:tcPr>
            <w:tcW w:type="dxa" w:w="5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Study 1 analysis and interim report</w:t>
            </w:r>
          </w:p>
        </w:tc>
        <w:tc>
          <w:tcPr>
            <w:tcW w:type="dxa" w:w="2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4 weeks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Months 5–16</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Study 2 data collection: 12-week training intervention + RTF retests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weeks</w:t>
            </w:r>
          </w:p>
        </w:tc>
      </w:tr>
      <w:tr>
        <w:tc>
          <w:tcPr>
            <w:tcW w:type="dxa" w:w="1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Months 17–18</w:t>
            </w:r>
          </w:p>
        </w:tc>
        <w:tc>
          <w:tcPr>
            <w:tcW w:type="dxa" w:w="5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Study 2 analysis, Banister model fitting, correlation analysis</w:t>
            </w:r>
          </w:p>
        </w:tc>
        <w:tc>
          <w:tcPr>
            <w:tcW w:type="dxa" w:w="2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sz w:val="22"/>
                <w:szCs w:val="22"/>
              </w:rPr>
              <w:t xml:space="preserve">8 weeks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Months 19–20</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Manuscript preparation and submission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weeks</w:t>
            </w:r>
          </w:p>
        </w:tc>
      </w:tr>
    </w:tbl>
    <w:p>
      <w:pPr>
        <w:spacing w:after="200"/>
      </w:pPr>
    </w:p>
    <w:p>
      <w:pPr>
        <w:spacing w:after="200" w:line="300"/>
        <w:jc w:val="left"/>
      </w:pPr>
      <w:r>
        <w:rPr>
          <w:rFonts w:ascii="Arial" w:cs="Arial" w:eastAsia="Arial" w:hAnsi="Arial"/>
          <w:b/>
          <w:bCs/>
          <w:sz w:val="24"/>
          <w:szCs w:val="24"/>
        </w:rPr>
        <w:t xml:space="preserve">Equipment: </w:t>
      </w:r>
      <w:r>
        <w:rPr>
          <w:rFonts w:ascii="Arial" w:cs="Arial" w:eastAsia="Arial" w:hAnsi="Arial"/>
          <w:sz w:val="24"/>
          <w:szCs w:val="24"/>
        </w:rPr>
        <w:t xml:space="preserve">Standard barbell and weight plates, power rack, calibrated scale. No specialized laboratory equipment required for Study 1. Study 2 benefits from, but does not require, velocity-based training devices (e.g., GymAware, Tendo Unit) for more precise training load quantification.</w:t>
      </w:r>
    </w:p>
    <w:p>
      <w:pPr>
        <w:spacing w:after="100"/>
      </w:pPr>
    </w:p>
    <w:p>
      <w:pPr>
        <w:pStyle w:val="Heading1"/>
      </w:pPr>
      <w:r>
        <w:rPr>
          <w:rFonts w:ascii="Arial" w:cs="Arial" w:eastAsia="Arial" w:hAnsi="Arial"/>
        </w:rPr>
        <w:t xml:space="preserve">8. References</w:t>
      </w:r>
    </w:p>
    <w:p>
      <w:pPr>
        <w:spacing w:after="120" w:line="280"/>
        <w:ind w:left="720" w:hanging="720"/>
      </w:pPr>
      <w:r>
        <w:rPr>
          <w:rFonts w:ascii="Arial" w:cs="Arial" w:eastAsia="Arial" w:hAnsi="Arial"/>
          <w:sz w:val="22"/>
          <w:szCs w:val="22"/>
        </w:rPr>
        <w:t xml:space="preserve">Banister, E.W., Calvert, T.W., Savage, M.V., &amp; Bach, T. (1975). A systems model of training for athletic performance. Australian Journal of Sports Medicine, 7, 57–61.</w:t>
      </w:r>
    </w:p>
    <w:p>
      <w:pPr>
        <w:spacing w:after="120" w:line="280"/>
        <w:ind w:left="720" w:hanging="720"/>
      </w:pPr>
      <w:r>
        <w:rPr>
          <w:rFonts w:ascii="Arial" w:cs="Arial" w:eastAsia="Arial" w:hAnsi="Arial"/>
          <w:sz w:val="22"/>
          <w:szCs w:val="22"/>
        </w:rPr>
        <w:t xml:space="preserve">Brzycki, M. (1993). Strength testing—predicting a one-rep max from reps-to-fatigue. Journal of Physical Education, Recreation &amp; Dance, 64(1), 88–90.</w:t>
      </w:r>
    </w:p>
    <w:p>
      <w:pPr>
        <w:spacing w:after="120" w:line="280"/>
        <w:ind w:left="720" w:hanging="720"/>
      </w:pPr>
      <w:r>
        <w:rPr>
          <w:rFonts w:ascii="Arial" w:cs="Arial" w:eastAsia="Arial" w:hAnsi="Arial"/>
          <w:sz w:val="22"/>
          <w:szCs w:val="22"/>
        </w:rPr>
        <w:t xml:space="preserve">Busso, T. (2003). Variable dose-response relationship between exercise training and performance. Medicine &amp; Science in Sports &amp; Exercise, 35(7), 1188–1195.</w:t>
      </w:r>
    </w:p>
    <w:p>
      <w:pPr>
        <w:spacing w:after="120" w:line="280"/>
        <w:ind w:left="720" w:hanging="720"/>
      </w:pPr>
      <w:r>
        <w:rPr>
          <w:rFonts w:ascii="Arial" w:cs="Arial" w:eastAsia="Arial" w:hAnsi="Arial"/>
          <w:sz w:val="22"/>
          <w:szCs w:val="22"/>
        </w:rPr>
        <w:t xml:space="preserve">Busso, T., Benoit, H., Bonnefoy, R., Feasson, L., &amp; Lacour, J.R. (1994). Effects of training frequency on the dynamics of performance response to a single training bout. Journal of Applied Physiology, 92, 572–580.</w:t>
      </w:r>
    </w:p>
    <w:p>
      <w:pPr>
        <w:spacing w:after="120" w:line="280"/>
        <w:ind w:left="720" w:hanging="720"/>
      </w:pPr>
      <w:r>
        <w:rPr>
          <w:rFonts w:ascii="Arial" w:cs="Arial" w:eastAsia="Arial" w:hAnsi="Arial"/>
          <w:sz w:val="22"/>
          <w:szCs w:val="22"/>
        </w:rPr>
        <w:t xml:space="preserve">Epley, B. (1985). Poundage chart. In Boyd Epley Workout. Body Enterprises: Lincoln, NE.</w:t>
      </w:r>
    </w:p>
    <w:p>
      <w:pPr>
        <w:spacing w:after="120" w:line="280"/>
        <w:ind w:left="720" w:hanging="720"/>
      </w:pPr>
      <w:r>
        <w:rPr>
          <w:rFonts w:ascii="Arial" w:cs="Arial" w:eastAsia="Arial" w:hAnsi="Arial"/>
          <w:sz w:val="22"/>
          <w:szCs w:val="22"/>
        </w:rPr>
        <w:t xml:space="preserve">Hellard, P., Avalos, M., Lacoste, L., Barale, F., Chatard, J.C., &amp; Millet, G.P. (2006). Assessing the limitations of the Banister model in monitoring training. Journal of Sports Sciences, 24(5), 509–520.</w:t>
      </w:r>
    </w:p>
    <w:p>
      <w:pPr>
        <w:spacing w:after="120" w:line="280"/>
        <w:ind w:left="720" w:hanging="720"/>
      </w:pPr>
      <w:r>
        <w:rPr>
          <w:rFonts w:ascii="Arial" w:cs="Arial" w:eastAsia="Arial" w:hAnsi="Arial"/>
          <w:sz w:val="22"/>
          <w:szCs w:val="22"/>
        </w:rPr>
        <w:t xml:space="preserve">Lombardi, V.P. (1989). Beginning Weight Training: The Safe and Effective Way. Wm. C. Brown: Dubuque, IA.</w:t>
      </w:r>
    </w:p>
    <w:p>
      <w:pPr>
        <w:spacing w:after="120" w:line="280"/>
        <w:ind w:left="720" w:hanging="720"/>
      </w:pPr>
      <w:r>
        <w:rPr>
          <w:rFonts w:ascii="Arial" w:cs="Arial" w:eastAsia="Arial" w:hAnsi="Arial"/>
          <w:sz w:val="22"/>
          <w:szCs w:val="22"/>
        </w:rPr>
        <w:t xml:space="preserve">Mayhew, J.L., Ball, T., Arnold, M., &amp; Bowen, J. (1992). Prediction of 1-RM bench press from submaximal bench press performance. Journal of Applied Sport Science Research, 3, 73.</w:t>
      </w:r>
    </w:p>
    <w:p>
      <w:pPr>
        <w:spacing w:after="120" w:line="280"/>
        <w:ind w:left="720" w:hanging="720"/>
      </w:pPr>
      <w:r>
        <w:rPr>
          <w:rFonts w:ascii="Arial" w:cs="Arial" w:eastAsia="Arial" w:hAnsi="Arial"/>
          <w:sz w:val="22"/>
          <w:szCs w:val="22"/>
        </w:rPr>
        <w:t xml:space="preserve">Morton, R.H., Fitz-Clarke, J.R., &amp; Banister, E.W. (1990). Modeling human performance in running. Journal of Applied Physiology, 69(3), 1171–1177.</w:t>
      </w:r>
    </w:p>
    <w:p>
      <w:pPr>
        <w:spacing w:after="120" w:line="280"/>
        <w:ind w:left="720" w:hanging="720"/>
      </w:pPr>
      <w:r>
        <w:rPr>
          <w:rFonts w:ascii="Arial" w:cs="Arial" w:eastAsia="Arial" w:hAnsi="Arial"/>
          <w:sz w:val="22"/>
          <w:szCs w:val="22"/>
        </w:rPr>
        <w:t xml:space="preserve">Mujika, I., Busso, T., Lacoste, L., Barale, F., Geyssant, A., &amp; Chatard, J.C. (1996). Modeled responses to training and taper in competitive swimmers. Medicine &amp; Science in Sports &amp; Exercise, 28(2), 251–258.</w:t>
      </w:r>
    </w:p>
    <w:p>
      <w:pPr>
        <w:spacing w:after="120" w:line="280"/>
        <w:ind w:left="720" w:hanging="720"/>
      </w:pPr>
      <w:r>
        <w:rPr>
          <w:rFonts w:ascii="Arial" w:cs="Arial" w:eastAsia="Arial" w:hAnsi="Arial"/>
          <w:sz w:val="22"/>
          <w:szCs w:val="22"/>
        </w:rPr>
        <w:t xml:space="preserve">Taha, T., &amp; Thomas, S.G. (2003). Systems modelling of the relationship between training and performance. Sports Medicine, 33(14), 1061–1073.</w:t>
      </w:r>
    </w:p>
    <w:p>
      <w:pPr>
        <w:spacing w:after="120" w:line="280"/>
        <w:ind w:left="720" w:hanging="720"/>
      </w:pPr>
      <w:r>
        <w:rPr>
          <w:rFonts w:ascii="Arial" w:cs="Arial" w:eastAsia="Arial" w:hAnsi="Arial"/>
          <w:sz w:val="22"/>
          <w:szCs w:val="22"/>
        </w:rPr>
        <w:t xml:space="preserve">Wathan, D. (1994). Load assignment. In T.R. Baechle (Ed.), Essentials of Strength Training and Conditioning. Human Kinetics: Champaign, IL.</w:t>
      </w:r>
    </w:p>
    <w:p>
      <w:pPr>
        <w:spacing w:after="120" w:line="280"/>
        <w:ind w:left="720" w:hanging="720"/>
      </w:pPr>
      <w:r>
        <w:rPr>
          <w:rFonts w:ascii="Arial" w:cs="Arial" w:eastAsia="Arial" w:hAnsi="Arial"/>
          <w:sz w:val="22"/>
          <w:szCs w:val="22"/>
        </w:rPr>
        <w:t xml:space="preserve">Zatsiorsky, V.M. (1995). Science and Practice of Strength Training. Human Kinetics: Champaign, 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The Intrinsic Fatigue Coefficient —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2026-03-29T05:32:35.428Z</dcterms:created>
  <dcterms:modified xsi:type="dcterms:W3CDTF">2026-03-29T05:32:35.429Z</dcterms:modified>
</cp:coreProperties>
</file>

<file path=docProps/custom.xml><?xml version="1.0" encoding="utf-8"?>
<Properties xmlns="http://schemas.openxmlformats.org/officeDocument/2006/custom-properties" xmlns:vt="http://schemas.openxmlformats.org/officeDocument/2006/docPropsVTypes"/>
</file>