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A4E3EF">
      <w:pPr>
        <w:pStyle w:val="2"/>
        <w:widowControl/>
        <w:adjustRightInd w:val="0"/>
        <w:jc w:val="left"/>
        <w:textAlignment w:val="baseline"/>
        <w:rPr>
          <w:rFonts w:hAnsi="Times New Roman" w:cs="Times New Roman"/>
          <w:kern w:val="0"/>
          <w:sz w:val="28"/>
          <w:szCs w:val="20"/>
        </w:rPr>
      </w:pPr>
      <w:bookmarkStart w:id="0" w:name="_Toc5718"/>
      <w:r>
        <w:rPr>
          <w:rFonts w:hint="eastAsia" w:hAnsi="Times New Roman" w:cs="Times New Roman"/>
          <w:kern w:val="0"/>
          <w:sz w:val="28"/>
          <w:szCs w:val="20"/>
          <w:lang w:eastAsia="zh-CN"/>
        </w:rPr>
        <w:t>1. 界面设计</w:t>
      </w:r>
      <w:r>
        <w:rPr>
          <w:rFonts w:hAnsi="Times New Roman" w:cs="Times New Roman"/>
          <w:kern w:val="0"/>
          <w:sz w:val="28"/>
          <w:szCs w:val="20"/>
        </w:rPr>
        <w:t>信任影响因素</w:t>
      </w:r>
      <w:bookmarkEnd w:id="0"/>
    </w:p>
    <w:p w14:paraId="77C92D80">
      <w:pPr>
        <w:rPr>
          <w:rFonts w:ascii="Times New Roman" w:hAnsi="黑体" w:eastAsia="黑体" w:cs="Times New Roman"/>
          <w:snapToGrid w:val="0"/>
          <w:spacing w:val="-4"/>
          <w:kern w:val="0"/>
          <w:sz w:val="24"/>
        </w:rPr>
      </w:pPr>
      <w:r>
        <w:rPr>
          <w:rFonts w:hint="eastAsia" w:ascii="Times New Roman" w:hAnsi="黑体" w:eastAsia="黑体" w:cs="Times New Roman"/>
          <w:snapToGrid w:val="0"/>
          <w:spacing w:val="-4"/>
          <w:kern w:val="0"/>
          <w:sz w:val="24"/>
          <w:lang w:eastAsia="zh-CN"/>
        </w:rPr>
        <w:t xml:space="preserve">1.1 </w:t>
      </w:r>
      <w:r>
        <w:rPr>
          <w:rFonts w:ascii="Times New Roman" w:hAnsi="黑体" w:eastAsia="黑体" w:cs="Times New Roman"/>
          <w:snapToGrid w:val="0"/>
          <w:spacing w:val="-4"/>
          <w:kern w:val="0"/>
          <w:sz w:val="24"/>
        </w:rPr>
        <w:t>内容维度</w:t>
      </w:r>
    </w:p>
    <w:p w14:paraId="7BE373FE">
      <w:pPr>
        <w:pStyle w:val="5"/>
        <w:jc w:val="center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</w:rPr>
        <w:t>表</w:t>
      </w:r>
      <w:r>
        <w:rPr>
          <w:rFonts w:hint="eastAsia" w:ascii="Times New Roman" w:hAnsi="Times New Roman" w:cs="Times New Roman"/>
          <w:lang w:val="en-US"/>
        </w:rPr>
        <w:t>1 内容维度</w:t>
      </w:r>
      <w:r>
        <w:rPr>
          <w:rFonts w:ascii="Times New Roman" w:hAnsi="Times New Roman" w:cs="Times New Roman"/>
          <w:lang w:val="en-US"/>
        </w:rPr>
        <w:t>信任影响因素</w:t>
      </w:r>
    </w:p>
    <w:tbl>
      <w:tblPr>
        <w:tblStyle w:val="8"/>
        <w:tblW w:w="8522" w:type="dxa"/>
        <w:jc w:val="center"/>
        <w:tblBorders>
          <w:top w:val="none" w:color="auto" w:sz="4" w:space="0"/>
          <w:left w:val="none" w:color="auto" w:sz="4" w:space="0"/>
          <w:bottom w:val="none" w:color="auto" w:sz="4" w:space="0"/>
          <w:right w:val="none" w:color="auto" w:sz="4" w:space="0"/>
          <w:insideH w:val="none" w:color="auto" w:sz="4" w:space="0"/>
          <w:insideV w:val="non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26"/>
        <w:gridCol w:w="1941"/>
        <w:gridCol w:w="5055"/>
      </w:tblGrid>
      <w:tr w14:paraId="2038AC7F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526" w:type="dxa"/>
            <w:tcBorders>
              <w:top w:val="single" w:color="auto" w:sz="12" w:space="0"/>
              <w:left w:val="nil"/>
              <w:bottom w:val="nil"/>
              <w:right w:val="nil"/>
            </w:tcBorders>
            <w:shd w:val="clear" w:color="auto" w:fill="auto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FE5D813">
            <w:pPr>
              <w:pStyle w:val="10"/>
              <w:widowControl w:val="0"/>
              <w:rPr>
                <w:sz w:val="18"/>
                <w:lang w:val="en-US"/>
              </w:rPr>
            </w:pPr>
            <w:r>
              <w:rPr>
                <w:sz w:val="18"/>
                <w:lang w:val="en-US"/>
              </w:rPr>
              <w:t>具体指标</w:t>
            </w:r>
          </w:p>
        </w:tc>
        <w:tc>
          <w:tcPr>
            <w:tcW w:w="1941" w:type="dxa"/>
            <w:tcBorders>
              <w:top w:val="single" w:color="auto" w:sz="12" w:space="0"/>
              <w:left w:val="nil"/>
              <w:bottom w:val="nil"/>
              <w:right w:val="nil"/>
            </w:tcBorders>
            <w:shd w:val="clear" w:color="auto" w:fill="auto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F9F3409">
            <w:pPr>
              <w:pStyle w:val="10"/>
              <w:widowControl w:val="0"/>
              <w:rPr>
                <w:sz w:val="18"/>
                <w:lang w:val="en-US"/>
              </w:rPr>
            </w:pPr>
            <w:r>
              <w:rPr>
                <w:sz w:val="18"/>
                <w:lang w:val="en-US"/>
              </w:rPr>
              <w:t>定义说明</w:t>
            </w:r>
          </w:p>
        </w:tc>
        <w:tc>
          <w:tcPr>
            <w:tcW w:w="5055" w:type="dxa"/>
            <w:tcBorders>
              <w:top w:val="single" w:color="auto" w:sz="12" w:space="0"/>
              <w:left w:val="nil"/>
              <w:bottom w:val="nil"/>
              <w:right w:val="nil"/>
            </w:tcBorders>
            <w:shd w:val="clear" w:color="auto" w:fill="auto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99BFCA8">
            <w:pPr>
              <w:pStyle w:val="10"/>
              <w:widowControl w:val="0"/>
              <w:rPr>
                <w:sz w:val="18"/>
                <w:lang w:val="en-US"/>
              </w:rPr>
            </w:pPr>
            <w:r>
              <w:rPr>
                <w:sz w:val="18"/>
                <w:lang w:val="en-US"/>
              </w:rPr>
              <w:t>支撑文献</w:t>
            </w:r>
          </w:p>
        </w:tc>
      </w:tr>
      <w:tr w14:paraId="3FDBA7F4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26" w:type="dxa"/>
            <w:tcBorders>
              <w:top w:val="single" w:color="auto" w:sz="4" w:space="0"/>
              <w:left w:val="nil"/>
              <w:bottom w:val="nil"/>
              <w:right w:val="nil"/>
            </w:tcBorders>
            <w:shd w:val="clear" w:color="auto" w:fill="auto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93E5A74">
            <w:pPr>
              <w:pStyle w:val="10"/>
              <w:widowControl w:val="0"/>
              <w:rPr>
                <w:sz w:val="18"/>
                <w:lang w:val="en-US"/>
              </w:rPr>
            </w:pPr>
            <w:r>
              <w:rPr>
                <w:sz w:val="18"/>
                <w:lang w:val="en-US"/>
              </w:rPr>
              <w:t>当前意图信息</w:t>
            </w:r>
          </w:p>
        </w:tc>
        <w:tc>
          <w:tcPr>
            <w:tcW w:w="1941" w:type="dxa"/>
            <w:tcBorders>
              <w:top w:val="single" w:color="auto" w:sz="4" w:space="0"/>
              <w:left w:val="nil"/>
              <w:bottom w:val="nil"/>
              <w:right w:val="nil"/>
            </w:tcBorders>
            <w:shd w:val="clear" w:color="auto" w:fill="auto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820F792">
            <w:pPr>
              <w:pStyle w:val="10"/>
              <w:widowControl w:val="0"/>
              <w:rPr>
                <w:sz w:val="18"/>
                <w:lang w:val="en-US"/>
              </w:rPr>
            </w:pPr>
            <w:r>
              <w:rPr>
                <w:sz w:val="18"/>
                <w:lang w:val="en-US"/>
              </w:rPr>
              <w:t>系统当前在做什么、计划做什么</w:t>
            </w:r>
          </w:p>
        </w:tc>
        <w:tc>
          <w:tcPr>
            <w:tcW w:w="5055" w:type="dxa"/>
            <w:tcBorders>
              <w:top w:val="single" w:color="auto" w:sz="4" w:space="0"/>
              <w:left w:val="nil"/>
              <w:bottom w:val="nil"/>
              <w:right w:val="nil"/>
            </w:tcBorders>
            <w:shd w:val="clear" w:color="auto" w:fill="FFFFFF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3C6774E">
            <w:pPr>
              <w:pStyle w:val="10"/>
              <w:widowControl w:val="0"/>
              <w:rPr>
                <w:sz w:val="18"/>
                <w:lang w:val="en-US"/>
              </w:rPr>
            </w:pPr>
            <w:r>
              <w:rPr>
                <w:sz w:val="18"/>
                <w:lang w:val="en-US"/>
              </w:rPr>
              <w:t>Selkowitz A R, Lakhmani S G, Chen J Y C. Using agent transparency to support situation awareness of the Autonomous Squad Member[J]. Cognitive Systems Research, 2017, 46: 13-25.</w:t>
            </w:r>
          </w:p>
        </w:tc>
      </w:tr>
      <w:tr w14:paraId="0A2D4988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2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8C71374">
            <w:pPr>
              <w:pStyle w:val="10"/>
              <w:widowControl w:val="0"/>
              <w:rPr>
                <w:sz w:val="18"/>
                <w:lang w:val="en-US"/>
              </w:rPr>
            </w:pPr>
            <w:r>
              <w:rPr>
                <w:sz w:val="18"/>
                <w:lang w:val="en-US"/>
              </w:rPr>
              <w:t>可解释性</w:t>
            </w:r>
          </w:p>
        </w:tc>
        <w:tc>
          <w:tcPr>
            <w:tcW w:w="19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84244D9">
            <w:pPr>
              <w:pStyle w:val="10"/>
              <w:widowControl w:val="0"/>
              <w:rPr>
                <w:sz w:val="18"/>
                <w:lang w:val="en-US"/>
              </w:rPr>
            </w:pPr>
            <w:r>
              <w:rPr>
                <w:sz w:val="18"/>
                <w:lang w:val="en-US"/>
              </w:rPr>
              <w:t>系统得出判断所依据的证据与逻辑链</w:t>
            </w:r>
          </w:p>
        </w:tc>
        <w:tc>
          <w:tcPr>
            <w:tcW w:w="50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1580E66">
            <w:pPr>
              <w:pStyle w:val="10"/>
              <w:widowControl w:val="0"/>
              <w:rPr>
                <w:sz w:val="18"/>
                <w:lang w:val="en-US"/>
              </w:rPr>
            </w:pPr>
            <w:r>
              <w:rPr>
                <w:sz w:val="18"/>
                <w:lang w:val="en-US"/>
              </w:rPr>
              <w:t>Selkowitz A R, Lakhmani S G, Chen J Y C. Using agent transparency to support situation awareness of the Autonomous Squad Member[J]. Cognitive Systems Research, 2017, 46: 13-25.</w:t>
            </w:r>
          </w:p>
        </w:tc>
      </w:tr>
      <w:tr w14:paraId="67BEA892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2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66A9E28">
            <w:pPr>
              <w:pStyle w:val="10"/>
              <w:widowControl w:val="0"/>
              <w:rPr>
                <w:sz w:val="18"/>
                <w:lang w:val="en-US"/>
              </w:rPr>
            </w:pPr>
            <w:r>
              <w:rPr>
                <w:sz w:val="18"/>
                <w:lang w:val="en-US"/>
              </w:rPr>
              <w:t>预测性</w:t>
            </w:r>
          </w:p>
        </w:tc>
        <w:tc>
          <w:tcPr>
            <w:tcW w:w="19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3421D67">
            <w:pPr>
              <w:pStyle w:val="10"/>
              <w:widowControl w:val="0"/>
              <w:rPr>
                <w:sz w:val="18"/>
                <w:lang w:val="en-US"/>
              </w:rPr>
            </w:pPr>
            <w:r>
              <w:rPr>
                <w:sz w:val="18"/>
                <w:lang w:val="en-US"/>
              </w:rPr>
              <w:t>若采纳建议</w:t>
            </w:r>
            <w:r>
              <w:rPr>
                <w:rFonts w:hint="eastAsia"/>
                <w:sz w:val="18"/>
                <w:lang w:val="en-US" w:eastAsia="zh-CN"/>
              </w:rPr>
              <w:t>，</w:t>
            </w:r>
            <w:r>
              <w:rPr>
                <w:sz w:val="18"/>
                <w:lang w:val="en-US"/>
              </w:rPr>
              <w:t>后续会发生什么</w:t>
            </w:r>
          </w:p>
        </w:tc>
        <w:tc>
          <w:tcPr>
            <w:tcW w:w="50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A6ECD16">
            <w:pPr>
              <w:pStyle w:val="10"/>
              <w:widowControl w:val="0"/>
              <w:rPr>
                <w:sz w:val="18"/>
                <w:lang w:val="en-US"/>
              </w:rPr>
            </w:pPr>
            <w:r>
              <w:rPr>
                <w:sz w:val="18"/>
                <w:lang w:val="en-US"/>
              </w:rPr>
              <w:t>Selkowitz A R, Lakhmani S G, Chen J Y C. Using agent transparency to support situation awareness of the Autonomous Squad Member[J]. Cognitive Systems Research, 2017, 46: 13-25.</w:t>
            </w:r>
          </w:p>
        </w:tc>
      </w:tr>
      <w:tr w14:paraId="1FA90B90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2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855D23E">
            <w:pPr>
              <w:pStyle w:val="10"/>
              <w:widowControl w:val="0"/>
              <w:rPr>
                <w:sz w:val="18"/>
                <w:lang w:val="en-US"/>
              </w:rPr>
            </w:pPr>
            <w:r>
              <w:rPr>
                <w:sz w:val="18"/>
                <w:lang w:val="en-US"/>
              </w:rPr>
              <w:t>可靠性</w:t>
            </w:r>
          </w:p>
        </w:tc>
        <w:tc>
          <w:tcPr>
            <w:tcW w:w="19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F6F48E6">
            <w:pPr>
              <w:pStyle w:val="10"/>
              <w:widowControl w:val="0"/>
              <w:rPr>
                <w:sz w:val="18"/>
                <w:lang w:val="en-US"/>
              </w:rPr>
            </w:pPr>
            <w:r>
              <w:rPr>
                <w:sz w:val="18"/>
                <w:lang w:val="en-US"/>
              </w:rPr>
              <w:t>系统过去同类任务的成功率统计</w:t>
            </w:r>
          </w:p>
        </w:tc>
        <w:tc>
          <w:tcPr>
            <w:tcW w:w="50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B4C781E">
            <w:pPr>
              <w:pStyle w:val="10"/>
              <w:widowControl w:val="0"/>
              <w:rPr>
                <w:sz w:val="18"/>
                <w:lang w:val="en-US"/>
              </w:rPr>
            </w:pPr>
            <w:r>
              <w:rPr>
                <w:sz w:val="18"/>
                <w:lang w:val="en-US"/>
              </w:rPr>
              <w:t>信任三要素</w:t>
            </w:r>
            <w:r>
              <w:rPr>
                <w:rFonts w:hint="eastAsia"/>
                <w:sz w:val="18"/>
                <w:lang w:val="en-US" w:eastAsia="zh-CN"/>
              </w:rPr>
              <w:t>（</w:t>
            </w:r>
            <w:r>
              <w:rPr>
                <w:sz w:val="18"/>
                <w:lang w:val="en-US"/>
              </w:rPr>
              <w:t>purpose / process/ performance</w:t>
            </w:r>
            <w:r>
              <w:rPr>
                <w:rFonts w:hint="eastAsia"/>
                <w:sz w:val="18"/>
                <w:lang w:val="en-US" w:eastAsia="zh-CN"/>
              </w:rPr>
              <w:t>）</w:t>
            </w:r>
            <w:r>
              <w:rPr>
                <w:sz w:val="18"/>
                <w:lang w:val="en-US"/>
              </w:rPr>
              <w:t>：Lee, J. D., &amp; See, K. A. (2004). Trust in automation: Designing for appropriate reliance.</w:t>
            </w:r>
          </w:p>
        </w:tc>
      </w:tr>
      <w:tr w14:paraId="652A123F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2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32D6609">
            <w:pPr>
              <w:pStyle w:val="10"/>
              <w:widowControl w:val="0"/>
              <w:rPr>
                <w:sz w:val="18"/>
                <w:lang w:val="en-US"/>
              </w:rPr>
            </w:pPr>
            <w:r>
              <w:rPr>
                <w:sz w:val="18"/>
                <w:lang w:val="en-US"/>
              </w:rPr>
              <w:t>置信度</w:t>
            </w:r>
          </w:p>
        </w:tc>
        <w:tc>
          <w:tcPr>
            <w:tcW w:w="19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FB02F20">
            <w:pPr>
              <w:pStyle w:val="10"/>
              <w:widowControl w:val="0"/>
              <w:rPr>
                <w:sz w:val="18"/>
                <w:lang w:val="en-US"/>
              </w:rPr>
            </w:pPr>
            <w:r>
              <w:rPr>
                <w:sz w:val="18"/>
                <w:lang w:val="en-US"/>
              </w:rPr>
              <w:t>系统对自身判断的置信度或误差范围</w:t>
            </w:r>
          </w:p>
        </w:tc>
        <w:tc>
          <w:tcPr>
            <w:tcW w:w="50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50CBFE2">
            <w:pPr>
              <w:pStyle w:val="10"/>
              <w:widowControl w:val="0"/>
              <w:rPr>
                <w:sz w:val="18"/>
                <w:lang w:val="en-US"/>
              </w:rPr>
            </w:pPr>
            <w:r>
              <w:rPr>
                <w:sz w:val="18"/>
                <w:lang w:val="en-US"/>
              </w:rPr>
              <w:t>McGuirl, J. M., &amp; Sarter, N. B. (2006). Supporting trust calibration and the effective use of decision aids by presenting dynamic system confidence information. Human Factors</w:t>
            </w:r>
          </w:p>
        </w:tc>
      </w:tr>
      <w:tr w14:paraId="1649ADA7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2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A0AF03A">
            <w:pPr>
              <w:pStyle w:val="10"/>
              <w:widowControl w:val="0"/>
              <w:rPr>
                <w:sz w:val="18"/>
                <w:lang w:val="en-US"/>
              </w:rPr>
            </w:pPr>
            <w:r>
              <w:rPr>
                <w:sz w:val="18"/>
                <w:lang w:val="en-US"/>
              </w:rPr>
              <w:t>失效边界</w:t>
            </w:r>
          </w:p>
        </w:tc>
        <w:tc>
          <w:tcPr>
            <w:tcW w:w="19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0AEA5C8">
            <w:pPr>
              <w:pStyle w:val="10"/>
              <w:widowControl w:val="0"/>
              <w:rPr>
                <w:sz w:val="18"/>
                <w:lang w:val="en-US"/>
              </w:rPr>
            </w:pPr>
            <w:r>
              <w:rPr>
                <w:sz w:val="18"/>
                <w:lang w:val="en-US"/>
              </w:rPr>
              <w:t>系统在何种条件下可能失效</w:t>
            </w:r>
          </w:p>
        </w:tc>
        <w:tc>
          <w:tcPr>
            <w:tcW w:w="50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71AB2CA">
            <w:pPr>
              <w:pStyle w:val="10"/>
              <w:widowControl w:val="0"/>
              <w:rPr>
                <w:sz w:val="18"/>
                <w:lang w:val="en-US"/>
              </w:rPr>
            </w:pPr>
            <w:r>
              <w:rPr>
                <w:sz w:val="18"/>
                <w:lang w:val="en-US"/>
              </w:rPr>
              <w:t>George, M. W., Hass, Z., &amp; Pitts, B. J. (2026). Do you trust what an automated vehicle shows you? The effects of presenting dynamic system certainty information on driver behavior. Applied Ergonomics, 134, 104719.</w:t>
            </w:r>
          </w:p>
        </w:tc>
      </w:tr>
      <w:tr w14:paraId="16F1ED72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26" w:type="dxa"/>
            <w:tcBorders>
              <w:top w:val="nil"/>
              <w:left w:val="nil"/>
              <w:bottom w:val="single" w:color="auto" w:sz="12" w:space="0"/>
              <w:right w:val="nil"/>
            </w:tcBorders>
            <w:shd w:val="clear" w:color="auto" w:fill="auto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39790F9">
            <w:pPr>
              <w:pStyle w:val="10"/>
              <w:widowControl w:val="0"/>
              <w:rPr>
                <w:sz w:val="18"/>
                <w:lang w:val="en-US"/>
              </w:rPr>
            </w:pPr>
            <w:r>
              <w:rPr>
                <w:sz w:val="18"/>
                <w:lang w:val="en-US"/>
              </w:rPr>
              <w:t>环境信息</w:t>
            </w:r>
          </w:p>
        </w:tc>
        <w:tc>
          <w:tcPr>
            <w:tcW w:w="1941" w:type="dxa"/>
            <w:tcBorders>
              <w:top w:val="nil"/>
              <w:left w:val="nil"/>
              <w:bottom w:val="single" w:color="auto" w:sz="12" w:space="0"/>
              <w:right w:val="nil"/>
            </w:tcBorders>
            <w:shd w:val="clear" w:color="auto" w:fill="auto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8A167DE">
            <w:pPr>
              <w:pStyle w:val="10"/>
              <w:widowControl w:val="0"/>
              <w:rPr>
                <w:sz w:val="18"/>
                <w:lang w:val="en-US"/>
              </w:rPr>
            </w:pPr>
            <w:r>
              <w:rPr>
                <w:sz w:val="18"/>
                <w:lang w:val="en-US"/>
              </w:rPr>
              <w:t>当前任务难度、环境复杂度等情境线索</w:t>
            </w:r>
          </w:p>
        </w:tc>
        <w:tc>
          <w:tcPr>
            <w:tcW w:w="5055" w:type="dxa"/>
            <w:tcBorders>
              <w:top w:val="nil"/>
              <w:left w:val="nil"/>
              <w:bottom w:val="single" w:color="auto" w:sz="12" w:space="0"/>
              <w:right w:val="nil"/>
            </w:tcBorders>
            <w:shd w:val="clear" w:color="auto" w:fill="FFFFFF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31A6719">
            <w:pPr>
              <w:pStyle w:val="10"/>
              <w:widowControl w:val="0"/>
              <w:rPr>
                <w:sz w:val="18"/>
                <w:lang w:val="en-US"/>
              </w:rPr>
            </w:pPr>
            <w:r>
              <w:rPr>
                <w:sz w:val="18"/>
                <w:lang w:val="en-US"/>
              </w:rPr>
              <w:t>Gao, Q., Chen, L., Shi, Y., Luo, Y., Shen, M., &amp; Gao, Z. (2024). Trust calibration through perceptual and predictive information of the external context in autonomous vehicle. Transportation Research Part F: Traffic Psychology and Behaviour, 107, 537–548.</w:t>
            </w:r>
          </w:p>
        </w:tc>
      </w:tr>
    </w:tbl>
    <w:p w14:paraId="5A2EED34">
      <w:pPr>
        <w:pStyle w:val="10"/>
        <w:rPr>
          <w:sz w:val="18"/>
          <w:lang w:val="en-US"/>
        </w:rPr>
      </w:pPr>
    </w:p>
    <w:p w14:paraId="554EC5F9">
      <w:pPr>
        <w:rPr>
          <w:rFonts w:ascii="Times New Roman" w:hAnsi="黑体" w:eastAsia="黑体" w:cs="Times New Roman"/>
          <w:snapToGrid w:val="0"/>
          <w:spacing w:val="-4"/>
          <w:kern w:val="0"/>
          <w:sz w:val="24"/>
        </w:rPr>
      </w:pPr>
      <w:r>
        <w:rPr>
          <w:rFonts w:hint="eastAsia" w:ascii="Times New Roman" w:hAnsi="黑体" w:eastAsia="黑体" w:cs="Times New Roman"/>
          <w:snapToGrid w:val="0"/>
          <w:spacing w:val="-4"/>
          <w:kern w:val="0"/>
          <w:sz w:val="24"/>
        </w:rPr>
        <w:t>1.2</w:t>
      </w:r>
      <w:r>
        <w:rPr>
          <w:rFonts w:ascii="Times New Roman" w:hAnsi="黑体" w:eastAsia="黑体" w:cs="Times New Roman"/>
          <w:snapToGrid w:val="0"/>
          <w:spacing w:val="-4"/>
          <w:kern w:val="0"/>
          <w:sz w:val="24"/>
        </w:rPr>
        <w:t>形式维度</w:t>
      </w:r>
    </w:p>
    <w:p w14:paraId="4A0DB261">
      <w:pPr>
        <w:pStyle w:val="5"/>
        <w:jc w:val="center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</w:rPr>
        <w:t>表</w:t>
      </w:r>
      <w:r>
        <w:rPr>
          <w:rFonts w:hint="eastAsia" w:ascii="Times New Roman" w:hAnsi="Times New Roman" w:cs="Times New Roman"/>
          <w:lang w:val="en-US"/>
        </w:rPr>
        <w:t>2 形式维度</w:t>
      </w:r>
      <w:r>
        <w:rPr>
          <w:rFonts w:ascii="Times New Roman" w:hAnsi="Times New Roman" w:cs="Times New Roman"/>
          <w:lang w:val="en-US"/>
        </w:rPr>
        <w:t>信任影响因素</w:t>
      </w:r>
    </w:p>
    <w:tbl>
      <w:tblPr>
        <w:tblStyle w:val="8"/>
        <w:tblW w:w="8522" w:type="dxa"/>
        <w:jc w:val="center"/>
        <w:tblBorders>
          <w:top w:val="none" w:color="auto" w:sz="4" w:space="0"/>
          <w:left w:val="none" w:color="auto" w:sz="4" w:space="0"/>
          <w:bottom w:val="none" w:color="auto" w:sz="4" w:space="0"/>
          <w:right w:val="none" w:color="auto" w:sz="4" w:space="0"/>
          <w:insideH w:val="none" w:color="auto" w:sz="4" w:space="0"/>
          <w:insideV w:val="non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13"/>
        <w:gridCol w:w="2340"/>
        <w:gridCol w:w="4569"/>
      </w:tblGrid>
      <w:tr w14:paraId="36A1AED6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613" w:type="dxa"/>
            <w:tcBorders>
              <w:top w:val="single" w:color="auto" w:sz="12" w:space="0"/>
              <w:left w:val="nil"/>
              <w:bottom w:val="nil"/>
              <w:right w:val="nil"/>
            </w:tcBorders>
            <w:shd w:val="clear" w:color="auto" w:fill="auto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A8113AD">
            <w:pPr>
              <w:pStyle w:val="10"/>
              <w:widowControl w:val="0"/>
              <w:rPr>
                <w:sz w:val="18"/>
                <w:lang w:val="en-US"/>
              </w:rPr>
            </w:pPr>
            <w:r>
              <w:rPr>
                <w:sz w:val="18"/>
                <w:lang w:val="en-US"/>
              </w:rPr>
              <w:t>具体指标</w:t>
            </w:r>
          </w:p>
        </w:tc>
        <w:tc>
          <w:tcPr>
            <w:tcW w:w="2340" w:type="dxa"/>
            <w:tcBorders>
              <w:top w:val="single" w:color="auto" w:sz="12" w:space="0"/>
              <w:left w:val="nil"/>
              <w:bottom w:val="nil"/>
              <w:right w:val="nil"/>
            </w:tcBorders>
            <w:shd w:val="clear" w:color="auto" w:fill="auto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4DC7E8F">
            <w:pPr>
              <w:pStyle w:val="10"/>
              <w:widowControl w:val="0"/>
              <w:rPr>
                <w:sz w:val="18"/>
                <w:lang w:val="en-US"/>
              </w:rPr>
            </w:pPr>
            <w:r>
              <w:rPr>
                <w:sz w:val="18"/>
                <w:lang w:val="en-US"/>
              </w:rPr>
              <w:t>定义说明</w:t>
            </w:r>
          </w:p>
        </w:tc>
        <w:tc>
          <w:tcPr>
            <w:tcW w:w="4569" w:type="dxa"/>
            <w:tcBorders>
              <w:top w:val="single" w:color="auto" w:sz="12" w:space="0"/>
              <w:left w:val="nil"/>
              <w:bottom w:val="nil"/>
              <w:right w:val="nil"/>
            </w:tcBorders>
            <w:shd w:val="clear" w:color="auto" w:fill="auto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9EFFBF4">
            <w:pPr>
              <w:pStyle w:val="10"/>
              <w:widowControl w:val="0"/>
              <w:rPr>
                <w:sz w:val="18"/>
                <w:lang w:val="en-US"/>
              </w:rPr>
            </w:pPr>
            <w:r>
              <w:rPr>
                <w:sz w:val="18"/>
                <w:lang w:val="en-US"/>
              </w:rPr>
              <w:t>支撑文献</w:t>
            </w:r>
          </w:p>
        </w:tc>
      </w:tr>
      <w:tr w14:paraId="14F89D06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13" w:type="dxa"/>
            <w:tcBorders>
              <w:top w:val="single" w:color="auto" w:sz="4" w:space="0"/>
              <w:left w:val="nil"/>
              <w:bottom w:val="nil"/>
              <w:right w:val="nil"/>
            </w:tcBorders>
            <w:shd w:val="clear" w:color="auto" w:fill="auto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3BD107F">
            <w:pPr>
              <w:pStyle w:val="10"/>
              <w:widowControl w:val="0"/>
              <w:rPr>
                <w:sz w:val="18"/>
                <w:lang w:val="en-US"/>
              </w:rPr>
            </w:pPr>
            <w:r>
              <w:rPr>
                <w:sz w:val="18"/>
                <w:lang w:val="en-US"/>
              </w:rPr>
              <w:t>颜色编码</w:t>
            </w:r>
          </w:p>
        </w:tc>
        <w:tc>
          <w:tcPr>
            <w:tcW w:w="2340" w:type="dxa"/>
            <w:tcBorders>
              <w:top w:val="single" w:color="auto" w:sz="4" w:space="0"/>
              <w:left w:val="nil"/>
              <w:bottom w:val="nil"/>
              <w:right w:val="nil"/>
            </w:tcBorders>
            <w:shd w:val="clear" w:color="auto" w:fill="auto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72EC04A">
            <w:pPr>
              <w:pStyle w:val="10"/>
              <w:widowControl w:val="0"/>
              <w:rPr>
                <w:sz w:val="18"/>
                <w:lang w:val="en-US"/>
              </w:rPr>
            </w:pPr>
            <w:r>
              <w:rPr>
                <w:sz w:val="18"/>
                <w:lang w:val="en-US"/>
              </w:rPr>
              <w:t>用红/黄/绿等颜色表示危险等级、敌我身份</w:t>
            </w:r>
          </w:p>
        </w:tc>
        <w:tc>
          <w:tcPr>
            <w:tcW w:w="4569" w:type="dxa"/>
            <w:tcBorders>
              <w:top w:val="single" w:color="auto" w:sz="4" w:space="0"/>
              <w:left w:val="nil"/>
              <w:bottom w:val="nil"/>
              <w:right w:val="nil"/>
            </w:tcBorders>
            <w:shd w:val="clear" w:color="auto" w:fill="FFFFFF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7939CF2">
            <w:pPr>
              <w:pStyle w:val="10"/>
              <w:widowControl w:val="0"/>
              <w:rPr>
                <w:sz w:val="18"/>
                <w:lang w:val="en-US"/>
              </w:rPr>
            </w:pPr>
            <w:r>
              <w:rPr>
                <w:sz w:val="18"/>
                <w:lang w:val="en-US"/>
              </w:rPr>
              <w:t>Song, Hayeong &amp; Cho, Aeree &amp; Xiong, Cindy &amp; Stasko, John. (2025). Visualizing Trust: How Chart Embellishments Influence Perceptions of Credibility. IEEE Transactions on Visualization and Computer Graphics.</w:t>
            </w:r>
          </w:p>
        </w:tc>
      </w:tr>
      <w:tr w14:paraId="14276CFA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0ACAFFF">
            <w:pPr>
              <w:pStyle w:val="10"/>
              <w:widowControl w:val="0"/>
              <w:rPr>
                <w:sz w:val="18"/>
                <w:lang w:val="en-US"/>
              </w:rPr>
            </w:pPr>
            <w:r>
              <w:rPr>
                <w:sz w:val="18"/>
                <w:lang w:val="en-US"/>
              </w:rPr>
              <w:t>形状编码</w:t>
            </w:r>
          </w:p>
        </w:tc>
        <w:tc>
          <w:tcPr>
            <w:tcW w:w="23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BE881B0">
            <w:pPr>
              <w:pStyle w:val="10"/>
              <w:widowControl w:val="0"/>
              <w:rPr>
                <w:sz w:val="18"/>
                <w:lang w:val="en-US"/>
              </w:rPr>
            </w:pPr>
            <w:r>
              <w:rPr>
                <w:sz w:val="18"/>
                <w:lang w:val="en-US"/>
              </w:rPr>
              <w:t>用不同的图标/形状代表不同类型的实体或状态</w:t>
            </w:r>
          </w:p>
        </w:tc>
        <w:tc>
          <w:tcPr>
            <w:tcW w:w="456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1C3EB51">
            <w:pPr>
              <w:pStyle w:val="10"/>
              <w:widowControl w:val="0"/>
              <w:rPr>
                <w:sz w:val="18"/>
                <w:lang w:val="en-US"/>
              </w:rPr>
            </w:pPr>
            <w:r>
              <w:rPr>
                <w:sz w:val="18"/>
                <w:lang w:val="en-US"/>
              </w:rPr>
              <w:t>Machida, M</w:t>
            </w:r>
            <w:r>
              <w:rPr>
                <w:rFonts w:hint="eastAsia"/>
                <w:sz w:val="18"/>
                <w:lang w:val="en-US" w:eastAsia="zh-CN"/>
              </w:rPr>
              <w:t>.</w:t>
            </w:r>
            <w:r>
              <w:rPr>
                <w:sz w:val="18"/>
                <w:lang w:val="en-US"/>
              </w:rPr>
              <w:t xml:space="preserve"> Murakami, M</w:t>
            </w:r>
            <w:r>
              <w:rPr>
                <w:rFonts w:hint="eastAsia"/>
                <w:sz w:val="18"/>
                <w:lang w:val="en-US" w:eastAsia="zh-CN"/>
              </w:rPr>
              <w:t>.</w:t>
            </w:r>
            <w:r>
              <w:rPr>
                <w:sz w:val="18"/>
                <w:lang w:val="en-US"/>
              </w:rPr>
              <w:t xml:space="preserve"> Goto, A. Differences in Data Trustworthiness and Risk Perception between Bar Graphs and Pictograms. Int. J. Environ. Res. Public Health 2022, 19, 4690. https://doi.org/10.3390/ijerph19084690</w:t>
            </w:r>
          </w:p>
        </w:tc>
      </w:tr>
      <w:tr w14:paraId="3B319993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78C7189">
            <w:pPr>
              <w:pStyle w:val="10"/>
              <w:widowControl w:val="0"/>
              <w:rPr>
                <w:sz w:val="18"/>
                <w:lang w:val="en-US"/>
              </w:rPr>
            </w:pPr>
            <w:r>
              <w:rPr>
                <w:sz w:val="18"/>
                <w:lang w:val="en-US"/>
              </w:rPr>
              <w:t>尺寸编码</w:t>
            </w:r>
          </w:p>
        </w:tc>
        <w:tc>
          <w:tcPr>
            <w:tcW w:w="23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1EC6FE1">
            <w:pPr>
              <w:pStyle w:val="10"/>
              <w:widowControl w:val="0"/>
              <w:rPr>
                <w:sz w:val="18"/>
                <w:lang w:val="en-US"/>
              </w:rPr>
            </w:pPr>
            <w:r>
              <w:rPr>
                <w:sz w:val="18"/>
                <w:lang w:val="en-US"/>
              </w:rPr>
              <w:t>用大小、粗细、线宽表示重要性或数值高低</w:t>
            </w:r>
          </w:p>
        </w:tc>
        <w:tc>
          <w:tcPr>
            <w:tcW w:w="456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68D0626">
            <w:pPr>
              <w:pStyle w:val="10"/>
              <w:widowControl w:val="0"/>
              <w:rPr>
                <w:sz w:val="18"/>
                <w:lang w:val="en-US"/>
              </w:rPr>
            </w:pPr>
            <w:r>
              <w:rPr>
                <w:sz w:val="18"/>
                <w:lang w:val="en-US"/>
              </w:rPr>
              <w:t>Zacks, Jeff &amp; Tversky, Barbara. (1999). Bars and lines: A study of graphic communication. Memory &amp; cognition. 27. 1073-9. 10.3758/BF03201236.</w:t>
            </w:r>
          </w:p>
        </w:tc>
      </w:tr>
      <w:tr w14:paraId="5FD90F58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8DD77F6">
            <w:pPr>
              <w:pStyle w:val="10"/>
              <w:widowControl w:val="0"/>
              <w:rPr>
                <w:sz w:val="18"/>
                <w:lang w:val="en-US"/>
              </w:rPr>
            </w:pPr>
            <w:r>
              <w:rPr>
                <w:sz w:val="18"/>
                <w:lang w:val="en-US"/>
              </w:rPr>
              <w:t>文字/数值</w:t>
            </w:r>
          </w:p>
        </w:tc>
        <w:tc>
          <w:tcPr>
            <w:tcW w:w="23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3501738">
            <w:pPr>
              <w:pStyle w:val="10"/>
              <w:widowControl w:val="0"/>
              <w:rPr>
                <w:sz w:val="18"/>
                <w:lang w:val="en-US"/>
              </w:rPr>
            </w:pPr>
            <w:r>
              <w:rPr>
                <w:sz w:val="18"/>
                <w:lang w:val="en-US"/>
              </w:rPr>
              <w:t>以精确数字、标签或警告文本呈现</w:t>
            </w:r>
          </w:p>
        </w:tc>
        <w:tc>
          <w:tcPr>
            <w:tcW w:w="456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297AD1E">
            <w:pPr>
              <w:pStyle w:val="10"/>
              <w:widowControl w:val="0"/>
              <w:rPr>
                <w:sz w:val="18"/>
                <w:lang w:val="en-US"/>
              </w:rPr>
            </w:pPr>
            <w:r>
              <w:rPr>
                <w:sz w:val="18"/>
                <w:lang w:val="en-US"/>
              </w:rPr>
              <w:t>https://www.tableau.com/blog/exploring-data-uncertainty-through-speech-text-and-visualization</w:t>
            </w:r>
          </w:p>
        </w:tc>
      </w:tr>
      <w:tr w14:paraId="2F66CEA2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52E8CB2">
            <w:pPr>
              <w:pStyle w:val="10"/>
              <w:widowControl w:val="0"/>
              <w:rPr>
                <w:sz w:val="18"/>
                <w:lang w:val="en-US"/>
              </w:rPr>
            </w:pPr>
            <w:r>
              <w:rPr>
                <w:sz w:val="18"/>
                <w:lang w:val="en-US"/>
              </w:rPr>
              <w:t>图表/图形</w:t>
            </w:r>
          </w:p>
        </w:tc>
        <w:tc>
          <w:tcPr>
            <w:tcW w:w="23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5D84775">
            <w:pPr>
              <w:pStyle w:val="10"/>
              <w:widowControl w:val="0"/>
              <w:rPr>
                <w:sz w:val="18"/>
                <w:lang w:val="en-US"/>
              </w:rPr>
            </w:pPr>
            <w:r>
              <w:rPr>
                <w:sz w:val="18"/>
                <w:lang w:val="en-US"/>
              </w:rPr>
              <w:t>以折线、柱状、雷达、空间态势图等呈现</w:t>
            </w:r>
          </w:p>
        </w:tc>
        <w:tc>
          <w:tcPr>
            <w:tcW w:w="456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53A0F39">
            <w:pPr>
              <w:pStyle w:val="10"/>
              <w:widowControl w:val="0"/>
              <w:rPr>
                <w:sz w:val="18"/>
                <w:lang w:val="en-US"/>
              </w:rPr>
            </w:pPr>
            <w:r>
              <w:rPr>
                <w:sz w:val="18"/>
                <w:lang w:val="en-US"/>
              </w:rPr>
              <w:t>McKinley O G, Pandey S, Ottley A. Trustworthy by Design: The Viewer's Perspective on Trust in Data Visualization[C]//Proceedings of the 2025 CHI Conference on Human Factors in Computing Systems. 2025: 1-17.</w:t>
            </w:r>
          </w:p>
        </w:tc>
      </w:tr>
      <w:tr w14:paraId="76BF7F15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611D6ED">
            <w:pPr>
              <w:pStyle w:val="10"/>
              <w:widowControl w:val="0"/>
              <w:rPr>
                <w:sz w:val="18"/>
                <w:lang w:val="en-US"/>
              </w:rPr>
            </w:pPr>
            <w:r>
              <w:rPr>
                <w:sz w:val="18"/>
                <w:lang w:val="en-US"/>
              </w:rPr>
              <w:t>动态/动画</w:t>
            </w:r>
          </w:p>
        </w:tc>
        <w:tc>
          <w:tcPr>
            <w:tcW w:w="23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56EECCF">
            <w:pPr>
              <w:pStyle w:val="10"/>
              <w:widowControl w:val="0"/>
              <w:rPr>
                <w:sz w:val="18"/>
                <w:lang w:val="en-US"/>
              </w:rPr>
            </w:pPr>
            <w:r>
              <w:rPr>
                <w:sz w:val="18"/>
                <w:lang w:val="en-US"/>
              </w:rPr>
              <w:t>以脉冲、闪烁、流动等效果强调紧迫性或变化趋势</w:t>
            </w:r>
          </w:p>
        </w:tc>
        <w:tc>
          <w:tcPr>
            <w:tcW w:w="456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B7F8934">
            <w:pPr>
              <w:pStyle w:val="10"/>
              <w:widowControl w:val="0"/>
              <w:rPr>
                <w:sz w:val="18"/>
                <w:lang w:val="en-US"/>
              </w:rPr>
            </w:pPr>
            <w:r>
              <w:rPr>
                <w:sz w:val="18"/>
                <w:lang w:val="en-US"/>
              </w:rPr>
              <w:t>Turner S, Wylde J, Langham M, et al. Determining optimum flash patterns for emergency service vehicles: An experimental investigation using high definition film[J]. Applied ergonomics, 2014, 45(5): 1313-1319.</w:t>
            </w:r>
          </w:p>
        </w:tc>
      </w:tr>
      <w:tr w14:paraId="025A0B6D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B7B37C0">
            <w:pPr>
              <w:pStyle w:val="10"/>
              <w:widowControl w:val="0"/>
              <w:rPr>
                <w:sz w:val="18"/>
                <w:lang w:val="en-US"/>
              </w:rPr>
            </w:pPr>
            <w:r>
              <w:rPr>
                <w:sz w:val="18"/>
                <w:lang w:val="en-US"/>
              </w:rPr>
              <w:t>拟人化程度</w:t>
            </w:r>
          </w:p>
        </w:tc>
        <w:tc>
          <w:tcPr>
            <w:tcW w:w="23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116829D">
            <w:pPr>
              <w:pStyle w:val="10"/>
              <w:widowControl w:val="0"/>
              <w:rPr>
                <w:sz w:val="18"/>
                <w:lang w:val="en-US"/>
              </w:rPr>
            </w:pPr>
            <w:r>
              <w:rPr>
                <w:sz w:val="18"/>
                <w:lang w:val="en-US"/>
              </w:rPr>
              <w:t>系统是否以拟人化形象/语气呈现</w:t>
            </w:r>
          </w:p>
        </w:tc>
        <w:tc>
          <w:tcPr>
            <w:tcW w:w="456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79D8DE9">
            <w:pPr>
              <w:pStyle w:val="10"/>
              <w:widowControl w:val="0"/>
              <w:rPr>
                <w:sz w:val="18"/>
                <w:lang w:val="en-US"/>
              </w:rPr>
            </w:pPr>
            <w:r>
              <w:rPr>
                <w:sz w:val="18"/>
                <w:lang w:val="en-US"/>
              </w:rPr>
              <w:t>Nissen A, Jahn K. Between anthropomorphism, trust, and the uncanny valley: A dual-processing perspective on perceived trustworthiness and its mediating effects on use intentions of social robots[J]. 2021.</w:t>
            </w:r>
          </w:p>
        </w:tc>
      </w:tr>
      <w:tr w14:paraId="229817DD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13" w:type="dxa"/>
            <w:tcBorders>
              <w:top w:val="nil"/>
              <w:left w:val="nil"/>
              <w:bottom w:val="single" w:color="auto" w:sz="12" w:space="0"/>
              <w:right w:val="nil"/>
            </w:tcBorders>
            <w:shd w:val="clear" w:color="auto" w:fill="auto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374F7AA">
            <w:pPr>
              <w:pStyle w:val="10"/>
              <w:widowControl w:val="0"/>
              <w:rPr>
                <w:sz w:val="18"/>
                <w:lang w:val="en-US"/>
              </w:rPr>
            </w:pPr>
            <w:r>
              <w:rPr>
                <w:sz w:val="18"/>
                <w:lang w:val="en-US"/>
              </w:rPr>
              <w:t>主动/被动推送</w:t>
            </w:r>
          </w:p>
        </w:tc>
        <w:tc>
          <w:tcPr>
            <w:tcW w:w="2340" w:type="dxa"/>
            <w:tcBorders>
              <w:top w:val="nil"/>
              <w:left w:val="nil"/>
              <w:bottom w:val="single" w:color="auto" w:sz="12" w:space="0"/>
              <w:right w:val="nil"/>
            </w:tcBorders>
            <w:shd w:val="clear" w:color="auto" w:fill="auto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94E0EE6">
            <w:pPr>
              <w:pStyle w:val="10"/>
              <w:widowControl w:val="0"/>
              <w:rPr>
                <w:sz w:val="18"/>
                <w:lang w:val="en-US"/>
              </w:rPr>
            </w:pPr>
            <w:r>
              <w:rPr>
                <w:sz w:val="18"/>
                <w:lang w:val="en-US"/>
              </w:rPr>
              <w:t>系统主动弹出提示vs 操作员按需查询</w:t>
            </w:r>
          </w:p>
        </w:tc>
        <w:tc>
          <w:tcPr>
            <w:tcW w:w="4569" w:type="dxa"/>
            <w:tcBorders>
              <w:top w:val="nil"/>
              <w:left w:val="nil"/>
              <w:bottom w:val="single" w:color="auto" w:sz="12" w:space="0"/>
              <w:right w:val="nil"/>
            </w:tcBorders>
            <w:shd w:val="clear" w:color="auto" w:fill="FFFFFF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29E6BBD">
            <w:pPr>
              <w:pStyle w:val="10"/>
              <w:widowControl w:val="0"/>
              <w:rPr>
                <w:sz w:val="18"/>
                <w:lang w:val="en-US"/>
              </w:rPr>
            </w:pPr>
            <w:r>
              <w:rPr>
                <w:sz w:val="18"/>
                <w:lang w:val="en-US"/>
              </w:rPr>
              <w:t>Lu F, Xu Y, Xu X, et al. Exploring the impact of user and system factors on human-AI interactions in head-worn displays[C]//2023 IEEE International Symposium on Mixed and Augmented Reality (ISMAR). IEEE, 2023: 109-118.</w:t>
            </w:r>
          </w:p>
        </w:tc>
      </w:tr>
    </w:tbl>
    <w:p w14:paraId="32FFFE79">
      <w:pPr>
        <w:pStyle w:val="2"/>
        <w:widowControl/>
        <w:numPr>
          <w:ilvl w:val="0"/>
          <w:numId w:val="1"/>
        </w:numPr>
        <w:adjustRightInd w:val="0"/>
        <w:jc w:val="left"/>
        <w:textAlignment w:val="baseline"/>
        <w:rPr>
          <w:rFonts w:hAnsi="Times New Roman" w:cs="Times New Roman"/>
          <w:kern w:val="0"/>
          <w:sz w:val="28"/>
          <w:szCs w:val="20"/>
        </w:rPr>
      </w:pPr>
      <w:bookmarkStart w:id="1" w:name="_Toc32372"/>
      <w:r>
        <w:rPr>
          <w:rFonts w:hint="eastAsia" w:hAnsi="Times New Roman" w:cs="Times New Roman"/>
          <w:kern w:val="0"/>
          <w:sz w:val="28"/>
          <w:szCs w:val="20"/>
          <w:lang w:eastAsia="zh-CN"/>
        </w:rPr>
        <w:t>分</w:t>
      </w:r>
      <w:r>
        <w:rPr>
          <w:rFonts w:hAnsi="Times New Roman" w:cs="Times New Roman"/>
          <w:kern w:val="0"/>
          <w:sz w:val="28"/>
          <w:szCs w:val="20"/>
        </w:rPr>
        <w:t>任务实验设计方案</w:t>
      </w:r>
      <w:bookmarkEnd w:id="1"/>
    </w:p>
    <w:p w14:paraId="0FC0F3BC">
      <w:pPr>
        <w:rPr>
          <w:rFonts w:ascii="Times New Roman" w:hAnsi="黑体" w:eastAsia="黑体" w:cs="Times New Roman"/>
          <w:snapToGrid w:val="0"/>
          <w:spacing w:val="-4"/>
          <w:kern w:val="0"/>
          <w:sz w:val="24"/>
        </w:rPr>
      </w:pPr>
      <w:r>
        <w:rPr>
          <w:rFonts w:hint="eastAsia" w:ascii="Times New Roman" w:hAnsi="黑体" w:eastAsia="黑体" w:cs="Times New Roman"/>
          <w:snapToGrid w:val="0"/>
          <w:spacing w:val="-4"/>
          <w:kern w:val="0"/>
          <w:sz w:val="24"/>
          <w:lang w:eastAsia="zh-CN"/>
        </w:rPr>
        <w:t xml:space="preserve">2.1 </w:t>
      </w:r>
      <w:r>
        <w:rPr>
          <w:rFonts w:ascii="Times New Roman" w:hAnsi="黑体" w:eastAsia="黑体" w:cs="Times New Roman"/>
          <w:snapToGrid w:val="0"/>
          <w:spacing w:val="-4"/>
          <w:kern w:val="0"/>
          <w:sz w:val="24"/>
        </w:rPr>
        <w:t>传感器控制</w:t>
      </w:r>
    </w:p>
    <w:p w14:paraId="1C80EBD6">
      <w:pPr>
        <w:pStyle w:val="6"/>
        <w:widowControl/>
        <w:spacing w:beforeAutospacing="0" w:afterAutospacing="0"/>
        <w:ind w:firstLine="420"/>
        <w:rPr>
          <w:rFonts w:hint="default" w:ascii="Times New Roman" w:hAnsi="Times New Roman" w:eastAsia="黑体"/>
          <w:b w:val="0"/>
          <w:bCs w:val="0"/>
          <w:snapToGrid w:val="0"/>
          <w:spacing w:val="-4"/>
          <w:sz w:val="21"/>
          <w:szCs w:val="20"/>
        </w:rPr>
      </w:pPr>
      <w:r>
        <w:rPr>
          <w:rFonts w:ascii="Times New Roman" w:hAnsi="Times New Roman" w:eastAsia="宋体"/>
          <w:snapToGrid w:val="0"/>
          <w:spacing w:val="-4"/>
          <w:sz w:val="21"/>
          <w:szCs w:val="20"/>
        </w:rPr>
        <w:t>目标：通过调整天线高度、根据目标在界面显示的位置和朝向，从混合目标中识别敌方（红色）与友方（绿色）。</w:t>
      </w:r>
      <w:r>
        <w:rPr>
          <w:rFonts w:ascii="Times New Roman" w:hAnsi="Times New Roman" w:eastAsia="黑体"/>
          <w:b w:val="0"/>
          <w:bCs w:val="0"/>
          <w:snapToGrid w:val="0"/>
          <w:spacing w:val="-4"/>
          <w:sz w:val="21"/>
          <w:szCs w:val="20"/>
        </w:rPr>
        <w:br w:type="textWrapping"/>
      </w:r>
      <w:r>
        <w:rPr>
          <w:rFonts w:ascii="Times New Roman" w:hAnsi="Times New Roman" w:eastAsia="黑体"/>
          <w:b w:val="0"/>
          <w:bCs w:val="0"/>
          <w:snapToGrid w:val="0"/>
          <w:spacing w:val="-4"/>
          <w:sz w:val="21"/>
          <w:szCs w:val="20"/>
        </w:rPr>
        <w:t>2.</w:t>
      </w:r>
      <w:r>
        <w:rPr>
          <w:rFonts w:hint="eastAsia" w:ascii="Times New Roman" w:hAnsi="Times New Roman" w:eastAsia="黑体"/>
          <w:b w:val="0"/>
          <w:bCs w:val="0"/>
          <w:snapToGrid w:val="0"/>
          <w:spacing w:val="-4"/>
          <w:sz w:val="21"/>
          <w:szCs w:val="20"/>
          <w:lang w:val="en-US" w:eastAsia="zh-CN"/>
        </w:rPr>
        <w:t>1</w:t>
      </w:r>
      <w:r>
        <w:rPr>
          <w:rFonts w:hint="default" w:ascii="Times New Roman" w:hAnsi="Times New Roman" w:eastAsia="黑体"/>
          <w:b w:val="0"/>
          <w:bCs w:val="0"/>
          <w:snapToGrid w:val="0"/>
          <w:spacing w:val="-4"/>
          <w:sz w:val="21"/>
          <w:szCs w:val="20"/>
        </w:rPr>
        <w:t xml:space="preserve">.1 </w:t>
      </w:r>
      <w:r>
        <w:rPr>
          <w:rFonts w:hint="eastAsia" w:ascii="Times New Roman" w:hAnsi="Times New Roman" w:eastAsia="黑体"/>
          <w:b w:val="0"/>
          <w:bCs w:val="0"/>
          <w:snapToGrid w:val="0"/>
          <w:spacing w:val="-4"/>
          <w:sz w:val="21"/>
          <w:szCs w:val="20"/>
          <w:lang w:eastAsia="zh-CN"/>
        </w:rPr>
        <w:t>界面设计：</w:t>
      </w:r>
    </w:p>
    <w:p w14:paraId="18E43F6B">
      <w:pPr>
        <w:pStyle w:val="6"/>
        <w:widowControl/>
        <w:spacing w:beforeAutospacing="0" w:afterAutospacing="0"/>
        <w:ind w:firstLine="420"/>
        <w:rPr>
          <w:rFonts w:ascii="Times New Roman" w:hAnsi="Times New Roman" w:eastAsia="宋体"/>
          <w:snapToGrid w:val="0"/>
          <w:spacing w:val="-4"/>
          <w:sz w:val="21"/>
          <w:szCs w:val="20"/>
        </w:rPr>
      </w:pPr>
      <w:r>
        <w:rPr>
          <w:rFonts w:ascii="Times New Roman" w:hAnsi="Times New Roman" w:eastAsia="宋体"/>
          <w:snapToGrid w:val="0"/>
          <w:spacing w:val="-4"/>
          <w:sz w:val="21"/>
          <w:szCs w:val="20"/>
        </w:rPr>
        <w:t>内容维度涉及因素：可靠性、置信度、可解释性</w:t>
      </w:r>
    </w:p>
    <w:p w14:paraId="0761BB13">
      <w:pPr>
        <w:pStyle w:val="6"/>
        <w:widowControl/>
        <w:spacing w:beforeAutospacing="0" w:afterAutospacing="0"/>
        <w:ind w:firstLine="420"/>
        <w:rPr>
          <w:rFonts w:ascii="Times New Roman" w:hAnsi="Times New Roman" w:eastAsia="宋体"/>
          <w:snapToGrid w:val="0"/>
          <w:spacing w:val="-4"/>
          <w:sz w:val="21"/>
          <w:szCs w:val="20"/>
        </w:rPr>
      </w:pPr>
      <w:r>
        <w:rPr>
          <w:rFonts w:ascii="Times New Roman" w:hAnsi="Times New Roman" w:eastAsia="宋体"/>
          <w:snapToGrid w:val="0"/>
          <w:spacing w:val="-4"/>
          <w:sz w:val="21"/>
          <w:szCs w:val="20"/>
        </w:rPr>
        <w:t>形式维度设计因素：颜色编码、图表/图形、动态/动画</w:t>
      </w:r>
    </w:p>
    <w:p w14:paraId="4B527B27">
      <w:pPr>
        <w:pStyle w:val="6"/>
        <w:widowControl/>
        <w:spacing w:beforeAutospacing="0" w:afterAutospacing="0"/>
        <w:rPr>
          <w:rFonts w:hint="eastAsia" w:eastAsia="宋体"/>
          <w:lang w:eastAsia="zh-CN"/>
        </w:rPr>
      </w:pPr>
      <w:r>
        <w:rPr>
          <w:rFonts w:ascii="宋体" w:hAnsi="宋体" w:eastAsia="宋体" w:cs="宋体"/>
          <w:sz w:val="24"/>
          <w:szCs w:val="24"/>
        </w:rPr>
      </w:r>
      <w:r>
        <w:rPr>
          <w:rFonts w:hint="eastAsia" w:eastAsia="宋体"/>
          <w:lang w:eastAsia="zh-CN"/>
        </w:rPr>
        <w:drawing>
          <wp:inline distT="0" distB="0" distL="114300" distR="114300">
            <wp:extent cx="3612515" cy="6776720"/>
            <wp:effectExtent l="0" t="0" r="6985" b="5080"/>
            <wp:docPr id="3" name="图片 3" descr="已生成图像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已生成图像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612515" cy="6776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4B6A4D">
      <w:pPr>
        <w:pStyle w:val="6"/>
        <w:widowControl/>
        <w:spacing w:beforeAutospacing="0" w:afterAutospacing="0"/>
        <w:jc w:val="center"/>
        <w:rPr>
          <w:rFonts w:ascii="Times New Roman" w:hAnsi="Times New Roman" w:eastAsia="黑体"/>
          <w:kern w:val="2"/>
          <w:sz w:val="20"/>
          <w:szCs w:val="22"/>
          <w:lang w:bidi="zh-CN"/>
        </w:rPr>
      </w:pPr>
      <w:r>
        <w:rPr>
          <w:rFonts w:hint="eastAsia" w:ascii="Times New Roman" w:hAnsi="Times New Roman" w:eastAsia="黑体"/>
          <w:kern w:val="2"/>
          <w:sz w:val="20"/>
          <w:szCs w:val="22"/>
          <w:lang w:bidi="zh-CN"/>
        </w:rPr>
        <w:t>图4 修改界面1</w:t>
      </w:r>
    </w:p>
    <w:p w14:paraId="0639CB5E">
      <w:pPr>
        <w:pStyle w:val="6"/>
        <w:widowControl/>
        <w:spacing w:beforeAutospacing="0" w:afterAutospacing="0"/>
        <w:jc w:val="center"/>
        <w:rPr>
          <w:rFonts w:hint="eastAsia" w:ascii="Times New Roman" w:hAnsi="Times New Roman" w:eastAsia="方正仿宋_GB2312"/>
          <w:color w:val="0F1115"/>
          <w:shd w:val="clear" w:color="auto" w:fill="FFFFFF"/>
          <w:lang w:eastAsia="zh-CN" w:bidi="ar"/>
        </w:rPr>
      </w:pPr>
      <w:r>
        <w:rPr>
          <w:rFonts w:hint="eastAsia" w:ascii="Times New Roman" w:hAnsi="Times New Roman" w:eastAsia="方正仿宋_GB2312"/>
          <w:color w:val="0F1115"/>
          <w:shd w:val="clear" w:color="auto" w:fill="FFFFFF"/>
          <w:lang w:eastAsia="zh-CN" w:bidi="ar"/>
        </w:rPr>
        <w:drawing>
          <wp:inline distT="0" distB="0" distL="114300" distR="114300">
            <wp:extent cx="3275965" cy="5818505"/>
            <wp:effectExtent l="0" t="0" r="635" b="10795"/>
            <wp:docPr id="4" name="图片 4" descr="exec-bc2675be-812e-4038-bdc7-ff02784d660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exec-bc2675be-812e-4038-bdc7-ff02784d660d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275965" cy="5818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3B7BE2">
      <w:pPr>
        <w:pStyle w:val="6"/>
        <w:widowControl/>
        <w:spacing w:beforeAutospacing="0" w:afterAutospacing="0"/>
        <w:jc w:val="center"/>
        <w:rPr>
          <w:rFonts w:ascii="Times New Roman" w:hAnsi="Times New Roman" w:eastAsia="黑体"/>
          <w:kern w:val="2"/>
          <w:sz w:val="20"/>
          <w:szCs w:val="22"/>
          <w:lang w:bidi="zh-CN"/>
        </w:rPr>
      </w:pPr>
      <w:r>
        <w:rPr>
          <w:rFonts w:hint="eastAsia" w:ascii="Times New Roman" w:hAnsi="Times New Roman" w:eastAsia="黑体"/>
          <w:kern w:val="2"/>
          <w:sz w:val="20"/>
          <w:szCs w:val="22"/>
          <w:lang w:bidi="zh-CN"/>
        </w:rPr>
        <w:t>图5 修改界面2</w:t>
      </w:r>
    </w:p>
    <w:p w14:paraId="6F0C89C8">
      <w:pPr>
        <w:pStyle w:val="4"/>
        <w:widowControl/>
        <w:adjustRightInd w:val="0"/>
        <w:spacing w:beforeAutospacing="0" w:afterAutospacing="0"/>
        <w:ind w:left="606" w:hanging="606" w:hangingChars="300"/>
        <w:textAlignment w:val="baseline"/>
        <w:rPr>
          <w:rFonts w:hint="default" w:ascii="Times New Roman" w:hAnsi="Times New Roman" w:eastAsia="黑体"/>
          <w:b w:val="0"/>
          <w:bCs w:val="0"/>
          <w:snapToGrid w:val="0"/>
          <w:spacing w:val="-4"/>
          <w:sz w:val="21"/>
          <w:szCs w:val="20"/>
        </w:rPr>
      </w:pPr>
      <w:r>
        <w:rPr>
          <w:rFonts w:ascii="Times New Roman" w:hAnsi="Times New Roman" w:eastAsia="黑体"/>
          <w:b w:val="0"/>
          <w:bCs w:val="0"/>
          <w:snapToGrid w:val="0"/>
          <w:spacing w:val="-4"/>
          <w:sz w:val="21"/>
          <w:szCs w:val="20"/>
        </w:rPr>
        <w:t>2.</w:t>
      </w:r>
      <w:r>
        <w:rPr>
          <w:rFonts w:hint="eastAsia" w:ascii="Times New Roman" w:hAnsi="Times New Roman" w:eastAsia="黑体"/>
          <w:b w:val="0"/>
          <w:bCs w:val="0"/>
          <w:snapToGrid w:val="0"/>
          <w:spacing w:val="-4"/>
          <w:sz w:val="21"/>
          <w:szCs w:val="20"/>
          <w:lang w:val="en-US" w:eastAsia="zh-CN"/>
        </w:rPr>
        <w:t>1</w:t>
      </w:r>
      <w:r>
        <w:rPr>
          <w:rFonts w:hint="default" w:ascii="Times New Roman" w:hAnsi="Times New Roman" w:eastAsia="黑体"/>
          <w:b w:val="0"/>
          <w:bCs w:val="0"/>
          <w:snapToGrid w:val="0"/>
          <w:spacing w:val="-4"/>
          <w:sz w:val="21"/>
          <w:szCs w:val="20"/>
        </w:rPr>
        <w:t>.2 需要收集的</w:t>
      </w:r>
      <w:r>
        <w:rPr>
          <w:rFonts w:hint="eastAsia" w:ascii="Times New Roman" w:hAnsi="Times New Roman" w:eastAsia="黑体"/>
          <w:b w:val="0"/>
          <w:bCs w:val="0"/>
          <w:snapToGrid w:val="0"/>
          <w:spacing w:val="-4"/>
          <w:sz w:val="21"/>
          <w:szCs w:val="20"/>
          <w:lang w:eastAsia="zh-CN"/>
        </w:rPr>
        <w:t>数据：</w:t>
      </w:r>
    </w:p>
    <w:p w14:paraId="4F0EA116">
      <w:pPr>
        <w:pStyle w:val="6"/>
        <w:widowControl/>
        <w:spacing w:beforeAutospacing="0" w:afterAutospacing="0"/>
        <w:ind w:firstLine="420"/>
        <w:rPr>
          <w:rFonts w:ascii="Times New Roman" w:hAnsi="Times New Roman" w:eastAsia="宋体"/>
          <w:snapToGrid w:val="0"/>
          <w:spacing w:val="-4"/>
          <w:sz w:val="21"/>
          <w:szCs w:val="20"/>
        </w:rPr>
      </w:pPr>
      <w:r>
        <w:rPr>
          <w:rFonts w:ascii="Times New Roman" w:hAnsi="Times New Roman" w:eastAsia="宋体"/>
          <w:snapToGrid w:val="0"/>
          <w:spacing w:val="-4"/>
          <w:sz w:val="21"/>
          <w:szCs w:val="20"/>
        </w:rPr>
        <w:t>行为模式：是否修改AI锁定目标、目标切换个数、适当信任率</w:t>
      </w:r>
    </w:p>
    <w:p w14:paraId="7F46A454">
      <w:pPr>
        <w:pStyle w:val="6"/>
        <w:widowControl/>
        <w:spacing w:beforeAutospacing="0" w:afterAutospacing="0"/>
        <w:ind w:firstLine="420"/>
        <w:rPr>
          <w:rFonts w:ascii="Times New Roman" w:hAnsi="Times New Roman" w:eastAsia="宋体"/>
          <w:snapToGrid w:val="0"/>
          <w:spacing w:val="-4"/>
          <w:sz w:val="21"/>
          <w:szCs w:val="20"/>
        </w:rPr>
      </w:pPr>
      <w:r>
        <w:rPr>
          <w:rFonts w:ascii="Times New Roman" w:hAnsi="Times New Roman" w:eastAsia="宋体"/>
          <w:snapToGrid w:val="0"/>
          <w:spacing w:val="-4"/>
          <w:sz w:val="21"/>
          <w:szCs w:val="20"/>
        </w:rPr>
        <w:t>监督行为：是否点击人工复核、点击次数、查看时长</w:t>
      </w:r>
    </w:p>
    <w:p w14:paraId="541B1477">
      <w:pPr>
        <w:pStyle w:val="6"/>
        <w:widowControl/>
        <w:spacing w:beforeAutospacing="0" w:afterAutospacing="0"/>
        <w:ind w:firstLine="420"/>
        <w:rPr>
          <w:rFonts w:ascii="Times New Roman" w:hAnsi="Times New Roman" w:eastAsia="宋体"/>
          <w:snapToGrid w:val="0"/>
          <w:spacing w:val="-4"/>
          <w:sz w:val="21"/>
          <w:szCs w:val="20"/>
        </w:rPr>
      </w:pPr>
      <w:r>
        <w:rPr>
          <w:rFonts w:ascii="Times New Roman" w:hAnsi="Times New Roman" w:eastAsia="宋体"/>
          <w:snapToGrid w:val="0"/>
          <w:spacing w:val="-4"/>
          <w:sz w:val="21"/>
          <w:szCs w:val="20"/>
        </w:rPr>
        <w:t>反应时间：AI给出锁定目标至用户锁定目标犹豫时长</w:t>
      </w:r>
    </w:p>
    <w:p w14:paraId="2DECED14">
      <w:pPr>
        <w:pStyle w:val="6"/>
        <w:widowControl/>
        <w:spacing w:beforeAutospacing="0" w:afterAutospacing="0"/>
        <w:ind w:firstLine="420"/>
        <w:rPr>
          <w:rFonts w:ascii="Times New Roman" w:hAnsi="Times New Roman" w:eastAsia="宋体"/>
          <w:snapToGrid w:val="0"/>
          <w:spacing w:val="-4"/>
          <w:sz w:val="21"/>
          <w:szCs w:val="20"/>
        </w:rPr>
      </w:pPr>
      <w:r>
        <w:rPr>
          <w:rFonts w:ascii="Times New Roman" w:hAnsi="Times New Roman" w:eastAsia="宋体"/>
          <w:snapToGrid w:val="0"/>
          <w:spacing w:val="-4"/>
          <w:sz w:val="21"/>
          <w:szCs w:val="20"/>
        </w:rPr>
        <w:t>任务绩效：准确率、任务整体完成耗时</w:t>
      </w:r>
    </w:p>
    <w:p w14:paraId="754FD58E">
      <w:pPr>
        <w:pStyle w:val="6"/>
        <w:widowControl/>
        <w:spacing w:beforeAutospacing="0" w:afterAutospacing="0"/>
        <w:ind w:firstLine="420"/>
        <w:rPr>
          <w:rFonts w:ascii="Times New Roman" w:hAnsi="Times New Roman" w:eastAsia="宋体"/>
          <w:snapToGrid w:val="0"/>
          <w:spacing w:val="-4"/>
          <w:sz w:val="21"/>
          <w:szCs w:val="20"/>
        </w:rPr>
      </w:pPr>
      <w:r>
        <w:rPr>
          <w:rFonts w:ascii="Times New Roman" w:hAnsi="Times New Roman" w:eastAsia="宋体"/>
          <w:snapToGrid w:val="0"/>
          <w:spacing w:val="-4"/>
          <w:sz w:val="21"/>
          <w:szCs w:val="20"/>
        </w:rPr>
        <w:t>生理数据：各区域的注视点、注视时长、注视次数、扫视路径</w:t>
      </w:r>
    </w:p>
    <w:p w14:paraId="12C098C2">
      <w:pPr>
        <w:pStyle w:val="6"/>
        <w:widowControl/>
        <w:spacing w:beforeAutospacing="0" w:afterAutospacing="0"/>
        <w:ind w:firstLine="420"/>
        <w:rPr>
          <w:rFonts w:ascii="Times New Roman" w:hAnsi="Times New Roman" w:eastAsia="宋体"/>
          <w:snapToGrid w:val="0"/>
          <w:spacing w:val="-4"/>
          <w:sz w:val="21"/>
          <w:szCs w:val="20"/>
        </w:rPr>
      </w:pPr>
      <w:r>
        <w:rPr>
          <w:rFonts w:ascii="Times New Roman" w:hAnsi="Times New Roman" w:eastAsia="宋体"/>
          <w:snapToGrid w:val="0"/>
          <w:spacing w:val="-4"/>
          <w:sz w:val="21"/>
          <w:szCs w:val="20"/>
        </w:rPr>
        <w:t>主观数据：每试次信任量表评分</w:t>
      </w:r>
    </w:p>
    <w:p w14:paraId="01B0FACF">
      <w:pPr>
        <w:pStyle w:val="4"/>
        <w:widowControl/>
        <w:adjustRightInd w:val="0"/>
        <w:spacing w:beforeAutospacing="0" w:afterAutospacing="0"/>
        <w:ind w:left="606" w:hanging="606" w:hangingChars="300"/>
        <w:textAlignment w:val="baseline"/>
        <w:rPr>
          <w:rFonts w:hint="default" w:ascii="Times New Roman" w:hAnsi="Times New Roman" w:eastAsia="黑体"/>
          <w:b w:val="0"/>
          <w:bCs w:val="0"/>
          <w:snapToGrid w:val="0"/>
          <w:spacing w:val="-4"/>
          <w:sz w:val="21"/>
          <w:szCs w:val="20"/>
        </w:rPr>
      </w:pPr>
      <w:r>
        <w:rPr>
          <w:rFonts w:ascii="Times New Roman" w:hAnsi="Times New Roman" w:eastAsia="黑体"/>
          <w:b w:val="0"/>
          <w:bCs w:val="0"/>
          <w:snapToGrid w:val="0"/>
          <w:spacing w:val="-4"/>
          <w:sz w:val="21"/>
          <w:szCs w:val="20"/>
        </w:rPr>
        <w:t>2.</w:t>
      </w:r>
      <w:r>
        <w:rPr>
          <w:rFonts w:hint="eastAsia" w:ascii="Times New Roman" w:hAnsi="Times New Roman" w:eastAsia="黑体"/>
          <w:b w:val="0"/>
          <w:bCs w:val="0"/>
          <w:snapToGrid w:val="0"/>
          <w:spacing w:val="-4"/>
          <w:sz w:val="21"/>
          <w:szCs w:val="20"/>
          <w:lang w:val="en-US" w:eastAsia="zh-CN"/>
        </w:rPr>
        <w:t>1</w:t>
      </w:r>
      <w:r>
        <w:rPr>
          <w:rFonts w:hint="default" w:ascii="Times New Roman" w:hAnsi="Times New Roman" w:eastAsia="黑体"/>
          <w:b w:val="0"/>
          <w:bCs w:val="0"/>
          <w:snapToGrid w:val="0"/>
          <w:spacing w:val="-4"/>
          <w:sz w:val="21"/>
          <w:szCs w:val="20"/>
        </w:rPr>
        <w:t xml:space="preserve">.3 </w:t>
      </w:r>
      <w:r>
        <w:rPr>
          <w:rFonts w:hint="eastAsia" w:ascii="Times New Roman" w:hAnsi="Times New Roman" w:eastAsia="黑体"/>
          <w:b w:val="0"/>
          <w:bCs w:val="0"/>
          <w:snapToGrid w:val="0"/>
          <w:spacing w:val="-4"/>
          <w:sz w:val="21"/>
          <w:szCs w:val="20"/>
          <w:lang w:eastAsia="zh-CN"/>
        </w:rPr>
        <w:t>因变量：</w:t>
      </w:r>
    </w:p>
    <w:p w14:paraId="7D9290BE">
      <w:pPr>
        <w:pStyle w:val="6"/>
        <w:widowControl/>
        <w:spacing w:beforeAutospacing="0" w:afterAutospacing="0"/>
        <w:ind w:firstLine="420"/>
        <w:rPr>
          <w:rFonts w:ascii="Times New Roman" w:hAnsi="Times New Roman" w:eastAsia="宋体"/>
          <w:snapToGrid w:val="0"/>
          <w:spacing w:val="-4"/>
          <w:sz w:val="21"/>
          <w:szCs w:val="20"/>
        </w:rPr>
      </w:pPr>
      <w:r>
        <w:rPr>
          <w:rFonts w:ascii="Times New Roman" w:hAnsi="Times New Roman" w:eastAsia="宋体"/>
          <w:snapToGrid w:val="0"/>
          <w:spacing w:val="-4"/>
          <w:sz w:val="21"/>
          <w:szCs w:val="20"/>
        </w:rPr>
        <w:t xml:space="preserve">适当信任成功率=N适当信任÷N总试次×100% </w:t>
      </w:r>
    </w:p>
    <w:p w14:paraId="7AC7B60B">
      <w:pPr>
        <w:pStyle w:val="5"/>
        <w:jc w:val="center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</w:rPr>
        <w:t>表</w:t>
      </w:r>
      <w:r>
        <w:rPr>
          <w:rFonts w:hint="eastAsia" w:ascii="Times New Roman" w:hAnsi="Times New Roman" w:cs="Times New Roman"/>
          <w:lang w:val="en-US"/>
        </w:rPr>
        <w:t>4</w:t>
      </w:r>
      <w:r>
        <w:rPr>
          <w:rFonts w:ascii="Times New Roman" w:hAnsi="Times New Roman" w:cs="Times New Roman"/>
        </w:rPr>
        <w:t xml:space="preserve"> </w:t>
      </w:r>
      <w:r>
        <w:rPr>
          <w:rFonts w:hint="eastAsia" w:ascii="Times New Roman" w:hAnsi="Times New Roman" w:cs="Times New Roman"/>
          <w:lang w:val="en-US"/>
        </w:rPr>
        <w:t>信任判定规则</w:t>
      </w:r>
    </w:p>
    <w:tbl>
      <w:tblPr>
        <w:tblStyle w:val="7"/>
        <w:tblW w:w="6421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02"/>
        <w:gridCol w:w="1745"/>
        <w:gridCol w:w="1635"/>
        <w:gridCol w:w="1139"/>
      </w:tblGrid>
      <w:tr w14:paraId="4F6F86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2" w:hRule="atLeast"/>
          <w:jc w:val="center"/>
        </w:trPr>
        <w:tc>
          <w:tcPr>
            <w:tcW w:w="1902" w:type="dxa"/>
            <w:tcBorders>
              <w:top w:val="single" w:color="000000" w:sz="12" w:space="0"/>
              <w:left w:val="nil"/>
              <w:bottom w:val="single" w:color="000000" w:sz="4" w:space="0"/>
              <w:right w:val="nil"/>
              <w:tl2br w:val="nil"/>
            </w:tcBorders>
            <w:shd w:val="clear" w:color="auto" w:fill="FFFFFF"/>
            <w:vAlign w:val="center"/>
          </w:tcPr>
          <w:p w14:paraId="5A9FBFDA">
            <w:pPr>
              <w:pStyle w:val="10"/>
              <w:rPr>
                <w:sz w:val="18"/>
                <w:lang w:val="en-US"/>
              </w:rPr>
            </w:pPr>
            <w:r>
              <w:rPr>
                <w:sz w:val="18"/>
                <w:lang w:val="en-US"/>
              </w:rPr>
              <w:t>AI锁定目标是否正确</w:t>
            </w:r>
          </w:p>
        </w:tc>
        <w:tc>
          <w:tcPr>
            <w:tcW w:w="1745" w:type="dxa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vAlign w:val="center"/>
          </w:tcPr>
          <w:p w14:paraId="3D8FF1C7">
            <w:pPr>
              <w:pStyle w:val="10"/>
              <w:rPr>
                <w:sz w:val="18"/>
                <w:lang w:val="en-US"/>
              </w:rPr>
            </w:pPr>
            <w:r>
              <w:rPr>
                <w:sz w:val="18"/>
                <w:lang w:val="en-US"/>
              </w:rPr>
              <w:t>适当行为</w:t>
            </w:r>
          </w:p>
        </w:tc>
        <w:tc>
          <w:tcPr>
            <w:tcW w:w="1635" w:type="dxa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vAlign w:val="center"/>
          </w:tcPr>
          <w:p w14:paraId="563B2221">
            <w:pPr>
              <w:pStyle w:val="10"/>
              <w:rPr>
                <w:sz w:val="18"/>
                <w:lang w:val="en-US"/>
              </w:rPr>
            </w:pPr>
            <w:r>
              <w:rPr>
                <w:sz w:val="18"/>
                <w:lang w:val="en-US"/>
              </w:rPr>
              <w:t>被试行为</w:t>
            </w:r>
          </w:p>
        </w:tc>
        <w:tc>
          <w:tcPr>
            <w:tcW w:w="1139" w:type="dxa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vAlign w:val="center"/>
          </w:tcPr>
          <w:p w14:paraId="359926BA">
            <w:pPr>
              <w:pStyle w:val="10"/>
              <w:rPr>
                <w:sz w:val="18"/>
                <w:lang w:val="en-US"/>
              </w:rPr>
            </w:pPr>
            <w:r>
              <w:rPr>
                <w:sz w:val="18"/>
                <w:lang w:val="en-US"/>
              </w:rPr>
              <w:t>判定</w:t>
            </w:r>
          </w:p>
        </w:tc>
      </w:tr>
      <w:tr w14:paraId="32A0FB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9" w:hRule="atLeast"/>
          <w:jc w:val="center"/>
        </w:trPr>
        <w:tc>
          <w:tcPr>
            <w:tcW w:w="1902" w:type="dxa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479BB05">
            <w:pPr>
              <w:pStyle w:val="10"/>
              <w:rPr>
                <w:sz w:val="18"/>
                <w:lang w:val="en-US"/>
              </w:rPr>
            </w:pPr>
            <w:r>
              <w:rPr>
                <w:sz w:val="18"/>
                <w:lang w:val="en-US"/>
              </w:rPr>
              <w:t>是</w:t>
            </w:r>
          </w:p>
        </w:tc>
        <w:tc>
          <w:tcPr>
            <w:tcW w:w="1745" w:type="dxa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D085B2C">
            <w:pPr>
              <w:pStyle w:val="10"/>
              <w:rPr>
                <w:sz w:val="18"/>
                <w:lang w:val="en-US"/>
              </w:rPr>
            </w:pPr>
            <w:r>
              <w:rPr>
                <w:sz w:val="18"/>
                <w:lang w:val="en-US"/>
              </w:rPr>
              <w:t>依从</w:t>
            </w:r>
          </w:p>
        </w:tc>
        <w:tc>
          <w:tcPr>
            <w:tcW w:w="1635" w:type="dxa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49E9534">
            <w:pPr>
              <w:pStyle w:val="10"/>
              <w:rPr>
                <w:sz w:val="18"/>
                <w:lang w:val="en-US"/>
              </w:rPr>
            </w:pPr>
            <w:r>
              <w:rPr>
                <w:sz w:val="18"/>
                <w:lang w:val="en-US"/>
              </w:rPr>
              <w:t>依从</w:t>
            </w:r>
          </w:p>
        </w:tc>
        <w:tc>
          <w:tcPr>
            <w:tcW w:w="1139" w:type="dxa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2CECD25">
            <w:pPr>
              <w:pStyle w:val="10"/>
              <w:rPr>
                <w:sz w:val="18"/>
                <w:lang w:val="en-US"/>
              </w:rPr>
            </w:pPr>
            <w:r>
              <w:rPr>
                <w:sz w:val="18"/>
                <w:lang w:val="en-US"/>
              </w:rPr>
              <w:t>适当信任</w:t>
            </w:r>
          </w:p>
        </w:tc>
      </w:tr>
      <w:tr w14:paraId="29D996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2" w:hRule="atLeast"/>
          <w:jc w:val="center"/>
        </w:trPr>
        <w:tc>
          <w:tcPr>
            <w:tcW w:w="190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4E8CEDF">
            <w:pPr>
              <w:pStyle w:val="10"/>
              <w:rPr>
                <w:sz w:val="18"/>
                <w:lang w:val="en-US"/>
              </w:rPr>
            </w:pPr>
            <w:r>
              <w:rPr>
                <w:sz w:val="18"/>
                <w:lang w:val="en-US"/>
              </w:rPr>
              <w:t>是</w:t>
            </w:r>
          </w:p>
        </w:tc>
        <w:tc>
          <w:tcPr>
            <w:tcW w:w="174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2553453">
            <w:pPr>
              <w:pStyle w:val="10"/>
              <w:rPr>
                <w:sz w:val="18"/>
                <w:lang w:val="en-US"/>
              </w:rPr>
            </w:pPr>
            <w:r>
              <w:rPr>
                <w:sz w:val="18"/>
                <w:lang w:val="en-US"/>
              </w:rPr>
              <w:t>依从</w:t>
            </w:r>
          </w:p>
        </w:tc>
        <w:tc>
          <w:tcPr>
            <w:tcW w:w="163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9C542E6">
            <w:pPr>
              <w:pStyle w:val="10"/>
              <w:rPr>
                <w:sz w:val="18"/>
                <w:lang w:val="en-US"/>
              </w:rPr>
            </w:pPr>
            <w:r>
              <w:rPr>
                <w:sz w:val="18"/>
                <w:lang w:val="en-US"/>
              </w:rPr>
              <w:t>否决</w:t>
            </w:r>
          </w:p>
        </w:tc>
        <w:tc>
          <w:tcPr>
            <w:tcW w:w="11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FA436DE">
            <w:pPr>
              <w:pStyle w:val="10"/>
              <w:rPr>
                <w:sz w:val="18"/>
                <w:lang w:val="en-US"/>
              </w:rPr>
            </w:pPr>
            <w:r>
              <w:rPr>
                <w:sz w:val="18"/>
                <w:lang w:val="en-US"/>
              </w:rPr>
              <w:t>欠信任</w:t>
            </w:r>
          </w:p>
        </w:tc>
      </w:tr>
      <w:tr w14:paraId="1B63CA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2" w:hRule="atLeast"/>
          <w:jc w:val="center"/>
        </w:trPr>
        <w:tc>
          <w:tcPr>
            <w:tcW w:w="190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B7AFA23">
            <w:pPr>
              <w:pStyle w:val="10"/>
              <w:rPr>
                <w:sz w:val="18"/>
                <w:lang w:val="en-US"/>
              </w:rPr>
            </w:pPr>
            <w:r>
              <w:rPr>
                <w:sz w:val="18"/>
                <w:lang w:val="en-US"/>
              </w:rPr>
              <w:t>否</w:t>
            </w:r>
          </w:p>
        </w:tc>
        <w:tc>
          <w:tcPr>
            <w:tcW w:w="174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7DAC503">
            <w:pPr>
              <w:pStyle w:val="10"/>
              <w:rPr>
                <w:sz w:val="18"/>
                <w:lang w:val="en-US"/>
              </w:rPr>
            </w:pPr>
            <w:r>
              <w:rPr>
                <w:sz w:val="18"/>
                <w:lang w:val="en-US"/>
              </w:rPr>
              <w:t>否决</w:t>
            </w:r>
          </w:p>
        </w:tc>
        <w:tc>
          <w:tcPr>
            <w:tcW w:w="163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EC4FC0C">
            <w:pPr>
              <w:pStyle w:val="10"/>
              <w:rPr>
                <w:sz w:val="18"/>
                <w:lang w:val="en-US"/>
              </w:rPr>
            </w:pPr>
            <w:r>
              <w:rPr>
                <w:sz w:val="18"/>
                <w:lang w:val="en-US"/>
              </w:rPr>
              <w:t>否决</w:t>
            </w:r>
          </w:p>
        </w:tc>
        <w:tc>
          <w:tcPr>
            <w:tcW w:w="11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6065124">
            <w:pPr>
              <w:pStyle w:val="10"/>
              <w:rPr>
                <w:sz w:val="18"/>
                <w:lang w:val="en-US"/>
              </w:rPr>
            </w:pPr>
            <w:r>
              <w:rPr>
                <w:sz w:val="18"/>
                <w:lang w:val="en-US"/>
              </w:rPr>
              <w:t>适当信任</w:t>
            </w:r>
          </w:p>
        </w:tc>
      </w:tr>
      <w:tr w14:paraId="74305F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2" w:hRule="atLeast"/>
          <w:jc w:val="center"/>
        </w:trPr>
        <w:tc>
          <w:tcPr>
            <w:tcW w:w="1902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vAlign w:val="center"/>
          </w:tcPr>
          <w:p w14:paraId="5E6772C2">
            <w:pPr>
              <w:pStyle w:val="10"/>
              <w:rPr>
                <w:sz w:val="18"/>
                <w:lang w:val="en-US"/>
              </w:rPr>
            </w:pPr>
            <w:r>
              <w:rPr>
                <w:sz w:val="18"/>
                <w:lang w:val="en-US"/>
              </w:rPr>
              <w:t>否</w:t>
            </w:r>
          </w:p>
        </w:tc>
        <w:tc>
          <w:tcPr>
            <w:tcW w:w="1745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vAlign w:val="center"/>
          </w:tcPr>
          <w:p w14:paraId="41AA7257">
            <w:pPr>
              <w:pStyle w:val="10"/>
              <w:rPr>
                <w:sz w:val="18"/>
                <w:lang w:val="en-US"/>
              </w:rPr>
            </w:pPr>
            <w:r>
              <w:rPr>
                <w:sz w:val="18"/>
                <w:lang w:val="en-US"/>
              </w:rPr>
              <w:t>否决</w:t>
            </w:r>
          </w:p>
        </w:tc>
        <w:tc>
          <w:tcPr>
            <w:tcW w:w="1635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vAlign w:val="center"/>
          </w:tcPr>
          <w:p w14:paraId="42F142BB">
            <w:pPr>
              <w:pStyle w:val="10"/>
              <w:rPr>
                <w:sz w:val="18"/>
                <w:lang w:val="en-US"/>
              </w:rPr>
            </w:pPr>
            <w:r>
              <w:rPr>
                <w:sz w:val="18"/>
                <w:lang w:val="en-US"/>
              </w:rPr>
              <w:t>依从</w:t>
            </w:r>
          </w:p>
        </w:tc>
        <w:tc>
          <w:tcPr>
            <w:tcW w:w="1139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vAlign w:val="center"/>
          </w:tcPr>
          <w:p w14:paraId="3C99D294">
            <w:pPr>
              <w:pStyle w:val="10"/>
              <w:rPr>
                <w:sz w:val="18"/>
                <w:lang w:val="en-US"/>
              </w:rPr>
            </w:pPr>
            <w:r>
              <w:rPr>
                <w:sz w:val="18"/>
                <w:lang w:val="en-US"/>
              </w:rPr>
              <w:t>过度信任</w:t>
            </w:r>
          </w:p>
        </w:tc>
      </w:tr>
    </w:tbl>
    <w:p w14:paraId="7EBA01D4">
      <w:pPr>
        <w:pStyle w:val="6"/>
        <w:widowControl/>
        <w:spacing w:beforeAutospacing="0" w:afterAutospacing="0"/>
        <w:rPr>
          <w:rFonts w:ascii="Times New Roman" w:hAnsi="Times New Roman" w:eastAsia="方正仿宋_GB2312"/>
          <w:b/>
          <w:bCs/>
          <w:color w:val="0F1115"/>
          <w:shd w:val="clear" w:color="auto" w:fill="FFFFFF"/>
        </w:rPr>
      </w:pPr>
    </w:p>
    <w:p w14:paraId="40E51914">
      <w:pPr>
        <w:rPr>
          <w:rFonts w:ascii="Times New Roman" w:hAnsi="黑体" w:eastAsia="黑体" w:cs="Times New Roman"/>
          <w:snapToGrid w:val="0"/>
          <w:spacing w:val="-4"/>
          <w:kern w:val="0"/>
          <w:sz w:val="24"/>
        </w:rPr>
      </w:pPr>
      <w:r>
        <w:rPr>
          <w:rFonts w:hint="eastAsia" w:ascii="Times New Roman" w:hAnsi="黑体" w:eastAsia="黑体" w:cs="Times New Roman"/>
          <w:snapToGrid w:val="0"/>
          <w:spacing w:val="-4"/>
          <w:kern w:val="0"/>
          <w:sz w:val="24"/>
        </w:rPr>
        <w:t>2.</w:t>
      </w:r>
      <w:r>
        <w:rPr>
          <w:rFonts w:hint="eastAsia" w:ascii="Times New Roman" w:hAnsi="黑体" w:eastAsia="黑体" w:cs="Times New Roman"/>
          <w:snapToGrid w:val="0"/>
          <w:spacing w:val="-4"/>
          <w:kern w:val="0"/>
          <w:sz w:val="24"/>
          <w:lang w:val="en-US" w:eastAsia="zh-CN"/>
        </w:rPr>
        <w:t xml:space="preserve">2 </w:t>
      </w:r>
      <w:r>
        <w:rPr>
          <w:rFonts w:ascii="Times New Roman" w:hAnsi="黑体" w:eastAsia="黑体" w:cs="Times New Roman"/>
          <w:snapToGrid w:val="0"/>
          <w:spacing w:val="-4"/>
          <w:kern w:val="0"/>
          <w:sz w:val="24"/>
        </w:rPr>
        <w:t>威胁排序</w:t>
      </w:r>
    </w:p>
    <w:p w14:paraId="2FFFDFDF">
      <w:pPr>
        <w:pStyle w:val="6"/>
        <w:widowControl/>
        <w:spacing w:beforeAutospacing="0" w:afterAutospacing="0"/>
        <w:ind w:firstLine="420"/>
        <w:rPr>
          <w:rFonts w:ascii="Times New Roman" w:hAnsi="Times New Roman" w:eastAsia="宋体"/>
          <w:snapToGrid w:val="0"/>
          <w:spacing w:val="-4"/>
          <w:sz w:val="21"/>
          <w:szCs w:val="20"/>
        </w:rPr>
      </w:pPr>
      <w:r>
        <w:rPr>
          <w:rFonts w:ascii="Times New Roman" w:hAnsi="Times New Roman" w:eastAsia="宋体"/>
          <w:snapToGrid w:val="0"/>
          <w:spacing w:val="-4"/>
          <w:sz w:val="21"/>
          <w:szCs w:val="20"/>
        </w:rPr>
        <w:t>目标：根据威胁值（正比）与距离（反比）从多目标中选出最具威胁者。</w:t>
      </w:r>
    </w:p>
    <w:p w14:paraId="063C2C0E">
      <w:pPr>
        <w:pStyle w:val="6"/>
        <w:widowControl/>
        <w:spacing w:beforeAutospacing="0" w:afterAutospacing="0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drawing>
          <wp:inline distT="0" distB="0" distL="0" distR="0">
            <wp:extent cx="5447030" cy="2585085"/>
            <wp:effectExtent l="0" t="0" r="1270" b="5715"/>
            <wp:docPr id="14535771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357719" name="图片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47030" cy="2585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72D7D9">
      <w:pPr>
        <w:pStyle w:val="6"/>
        <w:widowControl/>
        <w:spacing w:beforeAutospacing="0" w:afterAutospacing="0"/>
        <w:jc w:val="center"/>
        <w:rPr>
          <w:rFonts w:ascii="Times New Roman" w:hAnsi="Times New Roman" w:eastAsia="黑体"/>
          <w:kern w:val="2"/>
          <w:sz w:val="20"/>
          <w:szCs w:val="22"/>
          <w:lang w:bidi="zh-CN"/>
        </w:rPr>
      </w:pPr>
      <w:r>
        <w:rPr>
          <w:rFonts w:hint="eastAsia" w:ascii="Times New Roman" w:hAnsi="Times New Roman" w:eastAsia="黑体"/>
          <w:kern w:val="2"/>
          <w:sz w:val="20"/>
          <w:szCs w:val="22"/>
          <w:lang w:bidi="zh-CN"/>
        </w:rPr>
        <w:t>图6 初始界面</w:t>
      </w:r>
    </w:p>
    <w:p w14:paraId="49CF739A">
      <w:pPr>
        <w:pStyle w:val="4"/>
        <w:widowControl/>
        <w:adjustRightInd w:val="0"/>
        <w:spacing w:beforeAutospacing="0" w:afterAutospacing="0"/>
        <w:ind w:left="606" w:hanging="606" w:hangingChars="300"/>
        <w:textAlignment w:val="baseline"/>
        <w:rPr>
          <w:rFonts w:hint="default" w:ascii="Times New Roman" w:hAnsi="Times New Roman" w:eastAsia="黑体"/>
          <w:b w:val="0"/>
          <w:bCs w:val="0"/>
          <w:snapToGrid w:val="0"/>
          <w:spacing w:val="-4"/>
          <w:sz w:val="21"/>
          <w:szCs w:val="20"/>
        </w:rPr>
      </w:pPr>
      <w:r>
        <w:rPr>
          <w:rFonts w:ascii="Times New Roman" w:hAnsi="Times New Roman" w:eastAsia="黑体"/>
          <w:b w:val="0"/>
          <w:bCs w:val="0"/>
          <w:snapToGrid w:val="0"/>
          <w:spacing w:val="-4"/>
          <w:sz w:val="21"/>
          <w:szCs w:val="20"/>
        </w:rPr>
        <w:t>2.</w:t>
      </w:r>
      <w:r>
        <w:rPr>
          <w:rFonts w:hint="eastAsia" w:ascii="Times New Roman" w:hAnsi="Times New Roman" w:eastAsia="黑体"/>
          <w:b w:val="0"/>
          <w:bCs w:val="0"/>
          <w:snapToGrid w:val="0"/>
          <w:spacing w:val="-4"/>
          <w:sz w:val="21"/>
          <w:szCs w:val="20"/>
          <w:lang w:val="en-US" w:eastAsia="zh-CN"/>
        </w:rPr>
        <w:t>2</w:t>
      </w:r>
      <w:r>
        <w:rPr>
          <w:rFonts w:hint="default" w:ascii="Times New Roman" w:hAnsi="Times New Roman" w:eastAsia="黑体"/>
          <w:b w:val="0"/>
          <w:bCs w:val="0"/>
          <w:snapToGrid w:val="0"/>
          <w:spacing w:val="-4"/>
          <w:sz w:val="21"/>
          <w:szCs w:val="20"/>
        </w:rPr>
        <w:t>.1  界面设计</w:t>
      </w:r>
    </w:p>
    <w:p w14:paraId="3692B7A2">
      <w:pPr>
        <w:pStyle w:val="6"/>
        <w:widowControl/>
        <w:spacing w:beforeAutospacing="0" w:afterAutospacing="0"/>
        <w:ind w:firstLine="420"/>
        <w:rPr>
          <w:rFonts w:ascii="Times New Roman" w:hAnsi="Times New Roman" w:eastAsia="宋体"/>
          <w:snapToGrid w:val="0"/>
          <w:spacing w:val="-4"/>
          <w:sz w:val="21"/>
          <w:szCs w:val="20"/>
        </w:rPr>
      </w:pPr>
      <w:r>
        <w:rPr>
          <w:rFonts w:ascii="Times New Roman" w:hAnsi="Times New Roman" w:eastAsia="宋体"/>
          <w:snapToGrid w:val="0"/>
          <w:spacing w:val="-4"/>
          <w:sz w:val="21"/>
          <w:szCs w:val="20"/>
        </w:rPr>
        <w:t>内容维度涉及因素：可靠性、置信度、可解释性</w:t>
      </w:r>
    </w:p>
    <w:p w14:paraId="359B8FC7">
      <w:pPr>
        <w:pStyle w:val="6"/>
        <w:widowControl/>
        <w:spacing w:beforeAutospacing="0" w:afterAutospacing="0"/>
        <w:ind w:firstLine="420"/>
        <w:rPr>
          <w:rFonts w:ascii="Times New Roman" w:hAnsi="Times New Roman" w:eastAsia="宋体"/>
          <w:snapToGrid w:val="0"/>
          <w:spacing w:val="-4"/>
          <w:sz w:val="21"/>
          <w:szCs w:val="20"/>
        </w:rPr>
      </w:pPr>
      <w:r>
        <w:rPr>
          <w:rFonts w:ascii="Times New Roman" w:hAnsi="Times New Roman" w:eastAsia="宋体"/>
          <w:snapToGrid w:val="0"/>
          <w:spacing w:val="-4"/>
          <w:sz w:val="21"/>
          <w:szCs w:val="20"/>
        </w:rPr>
        <w:t>形式维度设计因素：颜色编码、图表/图形、动态/动画</w:t>
      </w:r>
    </w:p>
    <w:p w14:paraId="2BE79B89">
      <w:pPr>
        <w:pStyle w:val="6"/>
        <w:widowControl/>
        <w:spacing w:beforeAutospacing="0" w:afterAutospacing="0"/>
      </w:pPr>
      <w:r>
        <w:drawing>
          <wp:inline distT="0" distB="0" distL="114300" distR="114300">
            <wp:extent cx="5272405" cy="12090400"/>
            <wp:effectExtent l="0" t="0" r="10795" b="0"/>
            <wp:docPr id="1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12090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46B33A">
      <w:pPr>
        <w:pStyle w:val="6"/>
        <w:widowControl/>
        <w:spacing w:beforeAutospacing="0" w:afterAutospacing="0"/>
        <w:jc w:val="center"/>
        <w:rPr>
          <w:rFonts w:ascii="Times New Roman" w:hAnsi="Times New Roman" w:eastAsia="黑体"/>
          <w:kern w:val="2"/>
          <w:sz w:val="20"/>
          <w:szCs w:val="22"/>
          <w:lang w:bidi="zh-CN"/>
        </w:rPr>
      </w:pPr>
      <w:r>
        <w:rPr>
          <w:rFonts w:hint="eastAsia" w:ascii="Times New Roman" w:hAnsi="Times New Roman" w:eastAsia="黑体"/>
          <w:kern w:val="2"/>
          <w:sz w:val="20"/>
          <w:szCs w:val="22"/>
          <w:lang w:bidi="zh-CN"/>
        </w:rPr>
        <w:t>图7 修改界面1</w:t>
      </w:r>
    </w:p>
    <w:p w14:paraId="0656BDD2">
      <w:pPr>
        <w:pStyle w:val="6"/>
        <w:widowControl/>
        <w:spacing w:beforeAutospacing="0" w:afterAutospacing="0"/>
      </w:pPr>
      <w:r>
        <w:drawing>
          <wp:inline distT="0" distB="0" distL="114300" distR="114300">
            <wp:extent cx="3819525" cy="8801735"/>
            <wp:effectExtent l="0" t="0" r="3175" b="12065"/>
            <wp:docPr id="5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2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819525" cy="8801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BCDD9B">
      <w:pPr>
        <w:pStyle w:val="6"/>
        <w:widowControl/>
        <w:spacing w:beforeAutospacing="0" w:afterAutospacing="0"/>
        <w:jc w:val="center"/>
        <w:rPr>
          <w:rFonts w:ascii="Times New Roman" w:hAnsi="Times New Roman" w:eastAsia="黑体"/>
          <w:kern w:val="2"/>
          <w:sz w:val="20"/>
          <w:szCs w:val="22"/>
          <w:lang w:bidi="zh-CN"/>
        </w:rPr>
      </w:pPr>
      <w:r>
        <w:rPr>
          <w:rFonts w:hint="eastAsia" w:ascii="Times New Roman" w:hAnsi="Times New Roman" w:eastAsia="黑体"/>
          <w:kern w:val="2"/>
          <w:sz w:val="20"/>
          <w:szCs w:val="22"/>
          <w:lang w:bidi="zh-CN"/>
        </w:rPr>
        <w:t>图8 修改界面2</w:t>
      </w:r>
    </w:p>
    <w:p w14:paraId="108E659E">
      <w:pPr>
        <w:pStyle w:val="6"/>
        <w:widowControl/>
        <w:spacing w:beforeAutospacing="0" w:afterAutospacing="0"/>
        <w:ind w:firstLine="420"/>
        <w:rPr>
          <w:rFonts w:ascii="Times New Roman" w:hAnsi="Times New Roman" w:eastAsia="方正仿宋_GB2312"/>
          <w:color w:val="0F1115"/>
          <w:shd w:val="clear" w:color="auto" w:fill="FFFFFF"/>
        </w:rPr>
      </w:pPr>
    </w:p>
    <w:p w14:paraId="41DD1DDD">
      <w:pPr>
        <w:pStyle w:val="4"/>
        <w:widowControl/>
        <w:adjustRightInd w:val="0"/>
        <w:spacing w:beforeAutospacing="0" w:afterAutospacing="0"/>
        <w:ind w:left="606" w:hanging="606" w:hangingChars="300"/>
        <w:textAlignment w:val="baseline"/>
        <w:rPr>
          <w:rFonts w:hint="default" w:ascii="Times New Roman" w:hAnsi="Times New Roman" w:eastAsia="黑体"/>
          <w:b w:val="0"/>
          <w:bCs w:val="0"/>
          <w:snapToGrid w:val="0"/>
          <w:spacing w:val="-4"/>
          <w:sz w:val="21"/>
          <w:szCs w:val="20"/>
        </w:rPr>
      </w:pPr>
      <w:r>
        <w:rPr>
          <w:rFonts w:ascii="Times New Roman" w:hAnsi="Times New Roman" w:eastAsia="黑体"/>
          <w:b w:val="0"/>
          <w:bCs w:val="0"/>
          <w:snapToGrid w:val="0"/>
          <w:spacing w:val="-4"/>
          <w:sz w:val="21"/>
          <w:szCs w:val="20"/>
        </w:rPr>
        <w:t>2.</w:t>
      </w:r>
      <w:r>
        <w:rPr>
          <w:rFonts w:hint="eastAsia" w:ascii="Times New Roman" w:hAnsi="Times New Roman" w:eastAsia="黑体"/>
          <w:b w:val="0"/>
          <w:bCs w:val="0"/>
          <w:snapToGrid w:val="0"/>
          <w:spacing w:val="-4"/>
          <w:sz w:val="21"/>
          <w:szCs w:val="20"/>
          <w:lang w:val="en-US" w:eastAsia="zh-CN"/>
        </w:rPr>
        <w:t>2</w:t>
      </w:r>
      <w:r>
        <w:rPr>
          <w:rFonts w:hint="default" w:ascii="Times New Roman" w:hAnsi="Times New Roman" w:eastAsia="黑体"/>
          <w:b w:val="0"/>
          <w:bCs w:val="0"/>
          <w:snapToGrid w:val="0"/>
          <w:spacing w:val="-4"/>
          <w:sz w:val="21"/>
          <w:szCs w:val="20"/>
        </w:rPr>
        <w:t>.2 需要收集的数据</w:t>
      </w:r>
    </w:p>
    <w:p w14:paraId="5ACF7B5A">
      <w:pPr>
        <w:pStyle w:val="6"/>
        <w:widowControl/>
        <w:spacing w:beforeAutospacing="0" w:afterAutospacing="0"/>
        <w:ind w:firstLine="420"/>
        <w:rPr>
          <w:rFonts w:ascii="Times New Roman" w:hAnsi="Times New Roman" w:eastAsia="宋体"/>
          <w:snapToGrid w:val="0"/>
          <w:spacing w:val="-4"/>
          <w:sz w:val="21"/>
          <w:szCs w:val="20"/>
        </w:rPr>
      </w:pPr>
      <w:r>
        <w:rPr>
          <w:rFonts w:ascii="Times New Roman" w:hAnsi="Times New Roman" w:eastAsia="宋体"/>
          <w:snapToGrid w:val="0"/>
          <w:spacing w:val="-4"/>
          <w:sz w:val="21"/>
          <w:szCs w:val="20"/>
        </w:rPr>
        <w:t>行为模式：是否修改AI锁定目标、适当信任率</w:t>
      </w:r>
    </w:p>
    <w:p w14:paraId="64BC2441">
      <w:pPr>
        <w:pStyle w:val="6"/>
        <w:widowControl/>
        <w:spacing w:beforeAutospacing="0" w:afterAutospacing="0"/>
        <w:ind w:firstLine="420"/>
        <w:rPr>
          <w:rFonts w:ascii="Times New Roman" w:hAnsi="Times New Roman" w:eastAsia="宋体"/>
          <w:snapToGrid w:val="0"/>
          <w:spacing w:val="-4"/>
          <w:sz w:val="21"/>
          <w:szCs w:val="20"/>
        </w:rPr>
      </w:pPr>
      <w:r>
        <w:rPr>
          <w:rFonts w:ascii="Times New Roman" w:hAnsi="Times New Roman" w:eastAsia="宋体"/>
          <w:snapToGrid w:val="0"/>
          <w:spacing w:val="-4"/>
          <w:sz w:val="21"/>
          <w:szCs w:val="20"/>
        </w:rPr>
        <w:t>监督行为：是否点击人工复核、点击次数、查看时长</w:t>
      </w:r>
    </w:p>
    <w:p w14:paraId="20C7B56C">
      <w:pPr>
        <w:pStyle w:val="6"/>
        <w:widowControl/>
        <w:spacing w:beforeAutospacing="0" w:afterAutospacing="0"/>
        <w:ind w:firstLine="420"/>
        <w:rPr>
          <w:rFonts w:ascii="Times New Roman" w:hAnsi="Times New Roman" w:eastAsia="宋体"/>
          <w:snapToGrid w:val="0"/>
          <w:spacing w:val="-4"/>
          <w:sz w:val="21"/>
          <w:szCs w:val="20"/>
        </w:rPr>
      </w:pPr>
      <w:r>
        <w:rPr>
          <w:rFonts w:ascii="Times New Roman" w:hAnsi="Times New Roman" w:eastAsia="宋体"/>
          <w:snapToGrid w:val="0"/>
          <w:spacing w:val="-4"/>
          <w:sz w:val="21"/>
          <w:szCs w:val="20"/>
        </w:rPr>
        <w:t>反应时间： AI给出锁定目标至用户锁定目标犹豫时长</w:t>
      </w:r>
    </w:p>
    <w:p w14:paraId="2887A19D">
      <w:pPr>
        <w:pStyle w:val="6"/>
        <w:widowControl/>
        <w:spacing w:beforeAutospacing="0" w:afterAutospacing="0"/>
        <w:ind w:firstLine="420"/>
        <w:rPr>
          <w:rFonts w:ascii="Times New Roman" w:hAnsi="Times New Roman" w:eastAsia="宋体"/>
          <w:snapToGrid w:val="0"/>
          <w:spacing w:val="-4"/>
          <w:sz w:val="21"/>
          <w:szCs w:val="20"/>
        </w:rPr>
      </w:pPr>
      <w:r>
        <w:rPr>
          <w:rFonts w:ascii="Times New Roman" w:hAnsi="Times New Roman" w:eastAsia="宋体"/>
          <w:snapToGrid w:val="0"/>
          <w:spacing w:val="-4"/>
          <w:sz w:val="21"/>
          <w:szCs w:val="20"/>
        </w:rPr>
        <w:t>任务绩效：准确率、任务整体完成耗时</w:t>
      </w:r>
    </w:p>
    <w:p w14:paraId="764FD268">
      <w:pPr>
        <w:pStyle w:val="6"/>
        <w:widowControl/>
        <w:spacing w:beforeAutospacing="0" w:afterAutospacing="0"/>
        <w:ind w:firstLine="420"/>
        <w:rPr>
          <w:rFonts w:ascii="Times New Roman" w:hAnsi="Times New Roman" w:eastAsia="宋体"/>
          <w:snapToGrid w:val="0"/>
          <w:spacing w:val="-4"/>
          <w:sz w:val="21"/>
          <w:szCs w:val="20"/>
        </w:rPr>
      </w:pPr>
      <w:r>
        <w:rPr>
          <w:rFonts w:ascii="Times New Roman" w:hAnsi="Times New Roman" w:eastAsia="宋体"/>
          <w:snapToGrid w:val="0"/>
          <w:spacing w:val="-4"/>
          <w:sz w:val="21"/>
          <w:szCs w:val="20"/>
        </w:rPr>
        <w:t>生理数据：各区域的注视点、注视时长、注视次数、扫视路径</w:t>
      </w:r>
    </w:p>
    <w:p w14:paraId="0EA5AD06">
      <w:pPr>
        <w:pStyle w:val="6"/>
        <w:widowControl/>
        <w:spacing w:beforeAutospacing="0" w:afterAutospacing="0"/>
        <w:ind w:firstLine="420"/>
        <w:rPr>
          <w:rFonts w:ascii="Times New Roman" w:hAnsi="Times New Roman" w:eastAsia="宋体"/>
          <w:snapToGrid w:val="0"/>
          <w:spacing w:val="-4"/>
          <w:sz w:val="21"/>
          <w:szCs w:val="20"/>
        </w:rPr>
      </w:pPr>
      <w:r>
        <w:rPr>
          <w:rFonts w:ascii="Times New Roman" w:hAnsi="Times New Roman" w:eastAsia="宋体"/>
          <w:snapToGrid w:val="0"/>
          <w:spacing w:val="-4"/>
          <w:sz w:val="21"/>
          <w:szCs w:val="20"/>
        </w:rPr>
        <w:t>主观数据：每试次信任量表评分</w:t>
      </w:r>
    </w:p>
    <w:p w14:paraId="3362D88E">
      <w:pPr>
        <w:pStyle w:val="4"/>
        <w:widowControl/>
        <w:adjustRightInd w:val="0"/>
        <w:spacing w:beforeAutospacing="0" w:afterAutospacing="0"/>
        <w:ind w:left="606" w:hanging="606" w:hangingChars="300"/>
        <w:textAlignment w:val="baseline"/>
        <w:rPr>
          <w:rFonts w:hint="default" w:ascii="Times New Roman" w:hAnsi="Times New Roman" w:eastAsia="黑体"/>
          <w:b w:val="0"/>
          <w:bCs w:val="0"/>
          <w:snapToGrid w:val="0"/>
          <w:spacing w:val="-4"/>
          <w:sz w:val="21"/>
          <w:szCs w:val="20"/>
        </w:rPr>
      </w:pPr>
      <w:r>
        <w:rPr>
          <w:rFonts w:ascii="Times New Roman" w:hAnsi="Times New Roman" w:eastAsia="黑体"/>
          <w:b w:val="0"/>
          <w:bCs w:val="0"/>
          <w:snapToGrid w:val="0"/>
          <w:spacing w:val="-4"/>
          <w:sz w:val="21"/>
          <w:szCs w:val="20"/>
        </w:rPr>
        <w:t>2.</w:t>
      </w:r>
      <w:r>
        <w:rPr>
          <w:rFonts w:hint="eastAsia" w:ascii="Times New Roman" w:hAnsi="Times New Roman" w:eastAsia="黑体"/>
          <w:b w:val="0"/>
          <w:bCs w:val="0"/>
          <w:snapToGrid w:val="0"/>
          <w:spacing w:val="-4"/>
          <w:sz w:val="21"/>
          <w:szCs w:val="20"/>
          <w:lang w:val="en-US" w:eastAsia="zh-CN"/>
        </w:rPr>
        <w:t>2</w:t>
      </w:r>
      <w:r>
        <w:rPr>
          <w:rFonts w:hint="default" w:ascii="Times New Roman" w:hAnsi="Times New Roman" w:eastAsia="黑体"/>
          <w:b w:val="0"/>
          <w:bCs w:val="0"/>
          <w:snapToGrid w:val="0"/>
          <w:spacing w:val="-4"/>
          <w:sz w:val="21"/>
          <w:szCs w:val="20"/>
        </w:rPr>
        <w:t>.3 因变量</w:t>
      </w:r>
    </w:p>
    <w:p w14:paraId="721A81E5">
      <w:pPr>
        <w:ind w:firstLine="420"/>
        <w:rPr>
          <w:rFonts w:ascii="Times New Roman" w:hAnsi="Times New Roman" w:eastAsia="宋体" w:cs="Times New Roman"/>
          <w:snapToGrid w:val="0"/>
          <w:spacing w:val="-4"/>
          <w:kern w:val="0"/>
          <w:szCs w:val="20"/>
        </w:rPr>
      </w:pPr>
      <w:r>
        <w:rPr>
          <w:rFonts w:ascii="Times New Roman" w:hAnsi="Times New Roman" w:eastAsia="宋体" w:cs="Times New Roman"/>
          <w:snapToGrid w:val="0"/>
          <w:spacing w:val="-4"/>
          <w:kern w:val="0"/>
          <w:szCs w:val="20"/>
        </w:rPr>
        <w:t xml:space="preserve">适当信任成功率=N适当信任÷N总试次×100% </w:t>
      </w:r>
    </w:p>
    <w:p w14:paraId="7DF624E0">
      <w:pPr>
        <w:pStyle w:val="5"/>
        <w:jc w:val="center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</w:rPr>
        <w:t>表</w:t>
      </w:r>
      <w:r>
        <w:rPr>
          <w:rFonts w:hint="eastAsia" w:ascii="Times New Roman" w:hAnsi="Times New Roman" w:cs="Times New Roman"/>
          <w:lang w:val="en-US"/>
        </w:rPr>
        <w:t>5</w:t>
      </w:r>
      <w:r>
        <w:rPr>
          <w:rFonts w:ascii="Times New Roman" w:hAnsi="Times New Roman" w:cs="Times New Roman"/>
        </w:rPr>
        <w:t xml:space="preserve"> </w:t>
      </w:r>
      <w:r>
        <w:rPr>
          <w:rFonts w:hint="eastAsia" w:ascii="Times New Roman" w:hAnsi="Times New Roman" w:cs="Times New Roman"/>
          <w:lang w:val="en-US"/>
        </w:rPr>
        <w:t>信任判定规则</w:t>
      </w:r>
    </w:p>
    <w:tbl>
      <w:tblPr>
        <w:tblStyle w:val="7"/>
        <w:tblW w:w="6421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02"/>
        <w:gridCol w:w="1745"/>
        <w:gridCol w:w="1635"/>
        <w:gridCol w:w="1139"/>
      </w:tblGrid>
      <w:tr w14:paraId="0A8E33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2" w:hRule="atLeast"/>
          <w:jc w:val="center"/>
        </w:trPr>
        <w:tc>
          <w:tcPr>
            <w:tcW w:w="1902" w:type="dxa"/>
            <w:tcBorders>
              <w:top w:val="single" w:color="000000" w:sz="12" w:space="0"/>
              <w:left w:val="nil"/>
              <w:bottom w:val="single" w:color="000000" w:sz="4" w:space="0"/>
              <w:right w:val="nil"/>
              <w:tl2br w:val="nil"/>
            </w:tcBorders>
            <w:shd w:val="clear" w:color="auto" w:fill="FFFFFF"/>
            <w:vAlign w:val="center"/>
          </w:tcPr>
          <w:p w14:paraId="66F19AC9">
            <w:pPr>
              <w:pStyle w:val="10"/>
              <w:rPr>
                <w:sz w:val="18"/>
                <w:lang w:val="en-US"/>
              </w:rPr>
            </w:pPr>
            <w:r>
              <w:rPr>
                <w:sz w:val="18"/>
                <w:lang w:val="en-US"/>
              </w:rPr>
              <w:t>AI锁定目标是否正确</w:t>
            </w:r>
          </w:p>
        </w:tc>
        <w:tc>
          <w:tcPr>
            <w:tcW w:w="1745" w:type="dxa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vAlign w:val="center"/>
          </w:tcPr>
          <w:p w14:paraId="5DCC0322">
            <w:pPr>
              <w:pStyle w:val="10"/>
              <w:rPr>
                <w:sz w:val="18"/>
                <w:lang w:val="en-US"/>
              </w:rPr>
            </w:pPr>
            <w:r>
              <w:rPr>
                <w:sz w:val="18"/>
                <w:lang w:val="en-US"/>
              </w:rPr>
              <w:t>适当行为</w:t>
            </w:r>
          </w:p>
        </w:tc>
        <w:tc>
          <w:tcPr>
            <w:tcW w:w="1635" w:type="dxa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vAlign w:val="center"/>
          </w:tcPr>
          <w:p w14:paraId="76A121B0">
            <w:pPr>
              <w:pStyle w:val="10"/>
              <w:rPr>
                <w:sz w:val="18"/>
                <w:lang w:val="en-US"/>
              </w:rPr>
            </w:pPr>
            <w:r>
              <w:rPr>
                <w:sz w:val="18"/>
                <w:lang w:val="en-US"/>
              </w:rPr>
              <w:t>被试行为</w:t>
            </w:r>
          </w:p>
        </w:tc>
        <w:tc>
          <w:tcPr>
            <w:tcW w:w="1139" w:type="dxa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vAlign w:val="center"/>
          </w:tcPr>
          <w:p w14:paraId="1E96642F">
            <w:pPr>
              <w:pStyle w:val="10"/>
              <w:rPr>
                <w:sz w:val="18"/>
                <w:lang w:val="en-US"/>
              </w:rPr>
            </w:pPr>
            <w:r>
              <w:rPr>
                <w:sz w:val="18"/>
                <w:lang w:val="en-US"/>
              </w:rPr>
              <w:t>判定</w:t>
            </w:r>
          </w:p>
        </w:tc>
      </w:tr>
      <w:tr w14:paraId="61E83D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9" w:hRule="atLeast"/>
          <w:jc w:val="center"/>
        </w:trPr>
        <w:tc>
          <w:tcPr>
            <w:tcW w:w="1902" w:type="dxa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C6103BC">
            <w:pPr>
              <w:pStyle w:val="10"/>
              <w:rPr>
                <w:sz w:val="18"/>
                <w:lang w:val="en-US"/>
              </w:rPr>
            </w:pPr>
            <w:r>
              <w:rPr>
                <w:sz w:val="18"/>
                <w:lang w:val="en-US"/>
              </w:rPr>
              <w:t>是</w:t>
            </w:r>
          </w:p>
        </w:tc>
        <w:tc>
          <w:tcPr>
            <w:tcW w:w="1745" w:type="dxa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0D90A42">
            <w:pPr>
              <w:pStyle w:val="10"/>
              <w:rPr>
                <w:sz w:val="18"/>
                <w:lang w:val="en-US"/>
              </w:rPr>
            </w:pPr>
            <w:r>
              <w:rPr>
                <w:sz w:val="18"/>
                <w:lang w:val="en-US"/>
              </w:rPr>
              <w:t>依从</w:t>
            </w:r>
          </w:p>
        </w:tc>
        <w:tc>
          <w:tcPr>
            <w:tcW w:w="1635" w:type="dxa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16B39FB">
            <w:pPr>
              <w:pStyle w:val="10"/>
              <w:rPr>
                <w:sz w:val="18"/>
                <w:lang w:val="en-US"/>
              </w:rPr>
            </w:pPr>
            <w:r>
              <w:rPr>
                <w:sz w:val="18"/>
                <w:lang w:val="en-US"/>
              </w:rPr>
              <w:t>依从</w:t>
            </w:r>
          </w:p>
        </w:tc>
        <w:tc>
          <w:tcPr>
            <w:tcW w:w="1139" w:type="dxa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99C07E9">
            <w:pPr>
              <w:pStyle w:val="10"/>
              <w:rPr>
                <w:sz w:val="18"/>
                <w:lang w:val="en-US"/>
              </w:rPr>
            </w:pPr>
            <w:r>
              <w:rPr>
                <w:sz w:val="18"/>
                <w:lang w:val="en-US"/>
              </w:rPr>
              <w:t>适当信任</w:t>
            </w:r>
          </w:p>
        </w:tc>
      </w:tr>
      <w:tr w14:paraId="34DBB0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2" w:hRule="atLeast"/>
          <w:jc w:val="center"/>
        </w:trPr>
        <w:tc>
          <w:tcPr>
            <w:tcW w:w="190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5936870">
            <w:pPr>
              <w:pStyle w:val="10"/>
              <w:rPr>
                <w:sz w:val="18"/>
                <w:lang w:val="en-US"/>
              </w:rPr>
            </w:pPr>
            <w:r>
              <w:rPr>
                <w:sz w:val="18"/>
                <w:lang w:val="en-US"/>
              </w:rPr>
              <w:t>是</w:t>
            </w:r>
          </w:p>
        </w:tc>
        <w:tc>
          <w:tcPr>
            <w:tcW w:w="174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31A443E">
            <w:pPr>
              <w:pStyle w:val="10"/>
              <w:rPr>
                <w:sz w:val="18"/>
                <w:lang w:val="en-US"/>
              </w:rPr>
            </w:pPr>
            <w:r>
              <w:rPr>
                <w:sz w:val="18"/>
                <w:lang w:val="en-US"/>
              </w:rPr>
              <w:t>依从</w:t>
            </w:r>
          </w:p>
        </w:tc>
        <w:tc>
          <w:tcPr>
            <w:tcW w:w="163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1B8B0CD">
            <w:pPr>
              <w:pStyle w:val="10"/>
              <w:rPr>
                <w:sz w:val="18"/>
                <w:lang w:val="en-US"/>
              </w:rPr>
            </w:pPr>
            <w:r>
              <w:rPr>
                <w:sz w:val="18"/>
                <w:lang w:val="en-US"/>
              </w:rPr>
              <w:t>否决</w:t>
            </w:r>
          </w:p>
        </w:tc>
        <w:tc>
          <w:tcPr>
            <w:tcW w:w="11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5637DBD">
            <w:pPr>
              <w:pStyle w:val="10"/>
              <w:rPr>
                <w:sz w:val="18"/>
                <w:lang w:val="en-US"/>
              </w:rPr>
            </w:pPr>
            <w:r>
              <w:rPr>
                <w:sz w:val="18"/>
                <w:lang w:val="en-US"/>
              </w:rPr>
              <w:t>欠信任</w:t>
            </w:r>
          </w:p>
        </w:tc>
      </w:tr>
      <w:tr w14:paraId="7A5342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2" w:hRule="atLeast"/>
          <w:jc w:val="center"/>
        </w:trPr>
        <w:tc>
          <w:tcPr>
            <w:tcW w:w="190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B13B25B">
            <w:pPr>
              <w:pStyle w:val="10"/>
              <w:rPr>
                <w:sz w:val="18"/>
                <w:lang w:val="en-US"/>
              </w:rPr>
            </w:pPr>
            <w:r>
              <w:rPr>
                <w:sz w:val="18"/>
                <w:lang w:val="en-US"/>
              </w:rPr>
              <w:t>否</w:t>
            </w:r>
          </w:p>
        </w:tc>
        <w:tc>
          <w:tcPr>
            <w:tcW w:w="174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DAE2ACB">
            <w:pPr>
              <w:pStyle w:val="10"/>
              <w:rPr>
                <w:sz w:val="18"/>
                <w:lang w:val="en-US"/>
              </w:rPr>
            </w:pPr>
            <w:r>
              <w:rPr>
                <w:sz w:val="18"/>
                <w:lang w:val="en-US"/>
              </w:rPr>
              <w:t>否决</w:t>
            </w:r>
          </w:p>
        </w:tc>
        <w:tc>
          <w:tcPr>
            <w:tcW w:w="163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DAC9093">
            <w:pPr>
              <w:pStyle w:val="10"/>
              <w:rPr>
                <w:sz w:val="18"/>
                <w:lang w:val="en-US"/>
              </w:rPr>
            </w:pPr>
            <w:r>
              <w:rPr>
                <w:sz w:val="18"/>
                <w:lang w:val="en-US"/>
              </w:rPr>
              <w:t>否决</w:t>
            </w:r>
          </w:p>
        </w:tc>
        <w:tc>
          <w:tcPr>
            <w:tcW w:w="11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03347B8">
            <w:pPr>
              <w:pStyle w:val="10"/>
              <w:rPr>
                <w:sz w:val="18"/>
                <w:lang w:val="en-US"/>
              </w:rPr>
            </w:pPr>
            <w:r>
              <w:rPr>
                <w:sz w:val="18"/>
                <w:lang w:val="en-US"/>
              </w:rPr>
              <w:t>适当信任</w:t>
            </w:r>
          </w:p>
        </w:tc>
      </w:tr>
      <w:tr w14:paraId="02EA64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2" w:hRule="atLeast"/>
          <w:jc w:val="center"/>
        </w:trPr>
        <w:tc>
          <w:tcPr>
            <w:tcW w:w="1902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vAlign w:val="center"/>
          </w:tcPr>
          <w:p w14:paraId="672713E6">
            <w:pPr>
              <w:pStyle w:val="10"/>
              <w:rPr>
                <w:sz w:val="18"/>
                <w:lang w:val="en-US"/>
              </w:rPr>
            </w:pPr>
            <w:r>
              <w:rPr>
                <w:sz w:val="18"/>
                <w:lang w:val="en-US"/>
              </w:rPr>
              <w:t>否</w:t>
            </w:r>
          </w:p>
        </w:tc>
        <w:tc>
          <w:tcPr>
            <w:tcW w:w="1745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vAlign w:val="center"/>
          </w:tcPr>
          <w:p w14:paraId="61335E75">
            <w:pPr>
              <w:pStyle w:val="10"/>
              <w:rPr>
                <w:sz w:val="18"/>
                <w:lang w:val="en-US"/>
              </w:rPr>
            </w:pPr>
            <w:r>
              <w:rPr>
                <w:sz w:val="18"/>
                <w:lang w:val="en-US"/>
              </w:rPr>
              <w:t>否决</w:t>
            </w:r>
          </w:p>
        </w:tc>
        <w:tc>
          <w:tcPr>
            <w:tcW w:w="1635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vAlign w:val="center"/>
          </w:tcPr>
          <w:p w14:paraId="0ABB8AAB">
            <w:pPr>
              <w:pStyle w:val="10"/>
              <w:rPr>
                <w:sz w:val="18"/>
                <w:lang w:val="en-US"/>
              </w:rPr>
            </w:pPr>
            <w:r>
              <w:rPr>
                <w:sz w:val="18"/>
                <w:lang w:val="en-US"/>
              </w:rPr>
              <w:t>依从</w:t>
            </w:r>
          </w:p>
        </w:tc>
        <w:tc>
          <w:tcPr>
            <w:tcW w:w="1139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vAlign w:val="center"/>
          </w:tcPr>
          <w:p w14:paraId="57C385A1">
            <w:pPr>
              <w:pStyle w:val="10"/>
              <w:rPr>
                <w:sz w:val="18"/>
                <w:lang w:val="en-US"/>
              </w:rPr>
            </w:pPr>
            <w:r>
              <w:rPr>
                <w:sz w:val="18"/>
                <w:lang w:val="en-US"/>
              </w:rPr>
              <w:t>过度信任</w:t>
            </w:r>
          </w:p>
        </w:tc>
      </w:tr>
    </w:tbl>
    <w:p w14:paraId="76C67DE6">
      <w:bookmarkStart w:id="2" w:name="_GoBack"/>
      <w:bookmarkEnd w:id="2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楷体_GB2312">
    <w:altName w:val="楷体"/>
    <w:panose1 w:val="02010609030101010101"/>
    <w:charset w:val="86"/>
    <w:family w:val="modern"/>
    <w:pitch w:val="default"/>
    <w:sig w:usb0="00000000" w:usb1="00000000" w:usb2="00000000" w:usb3="00000000" w:csb0="0004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方正仿宋_GB2312">
    <w:altName w:val="仿宋"/>
    <w:panose1 w:val="00000000000000000000"/>
    <w:charset w:val="86"/>
    <w:family w:val="auto"/>
    <w:pitch w:val="default"/>
    <w:sig w:usb0="00000000" w:usb1="00000000" w:usb2="00000012" w:usb3="00000000" w:csb0="00040001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07AFA52"/>
    <w:multiLevelType w:val="singleLevel"/>
    <w:tmpl w:val="907AFA52"/>
    <w:lvl w:ilvl="0" w:tentative="0">
      <w:start w:val="2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0D04A1E"/>
    <w:rsid w:val="043D1681"/>
    <w:rsid w:val="06E655B1"/>
    <w:rsid w:val="10D04A1E"/>
    <w:rsid w:val="18374BDA"/>
    <w:rsid w:val="46ED0A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35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3"/>
    <w:next w:val="1"/>
    <w:qFormat/>
    <w:uiPriority w:val="0"/>
    <w:pPr>
      <w:spacing w:before="240"/>
      <w:outlineLvl w:val="0"/>
    </w:pPr>
    <w:rPr>
      <w:rFonts w:ascii="Times New Roman"/>
      <w:snapToGrid w:val="0"/>
    </w:rPr>
  </w:style>
  <w:style w:type="paragraph" w:styleId="4">
    <w:name w:val="heading 3"/>
    <w:basedOn w:val="3"/>
    <w:next w:val="1"/>
    <w:semiHidden/>
    <w:unhideWhenUsed/>
    <w:qFormat/>
    <w:uiPriority w:val="0"/>
    <w:pPr>
      <w:spacing w:before="0" w:beforeAutospacing="1" w:afterAutospacing="1"/>
      <w:jc w:val="left"/>
      <w:outlineLvl w:val="2"/>
    </w:pPr>
    <w:rPr>
      <w:rFonts w:hint="eastAsia" w:ascii="宋体" w:hAnsi="宋体" w:eastAsia="宋体" w:cs="Times New Roman"/>
      <w:b/>
      <w:bCs/>
      <w:kern w:val="0"/>
      <w:sz w:val="27"/>
      <w:szCs w:val="27"/>
    </w:rPr>
  </w:style>
  <w:style w:type="character" w:default="1" w:styleId="9">
    <w:name w:val="Default Paragraph Font"/>
    <w:semiHidden/>
    <w:qFormat/>
    <w:uiPriority w:val="0"/>
  </w:style>
  <w:style w:type="table" w:default="1" w:styleId="7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3">
    <w:name w:val="GF报告一级标题"/>
    <w:basedOn w:val="1"/>
    <w:qFormat/>
    <w:uiPriority w:val="0"/>
    <w:pPr>
      <w:spacing w:before="360" w:line="360" w:lineRule="atLeast"/>
    </w:pPr>
    <w:rPr>
      <w:rFonts w:ascii="黑体" w:eastAsia="黑体"/>
    </w:rPr>
  </w:style>
  <w:style w:type="paragraph" w:styleId="5">
    <w:name w:val="caption"/>
    <w:basedOn w:val="1"/>
    <w:next w:val="1"/>
    <w:unhideWhenUsed/>
    <w:qFormat/>
    <w:uiPriority w:val="35"/>
    <w:pPr>
      <w:autoSpaceDE w:val="0"/>
      <w:autoSpaceDN w:val="0"/>
    </w:pPr>
    <w:rPr>
      <w:rFonts w:ascii="Arial" w:hAnsi="Arial" w:eastAsia="黑体" w:cs="楷体_GB2312"/>
      <w:sz w:val="20"/>
      <w:szCs w:val="22"/>
      <w:lang w:val="zh-CN" w:bidi="zh-CN"/>
    </w:rPr>
  </w:style>
  <w:style w:type="paragraph" w:styleId="6">
    <w:name w:val="Normal (Web)"/>
    <w:basedOn w:val="1"/>
    <w:qFormat/>
    <w:uiPriority w:val="0"/>
    <w:pPr>
      <w:spacing w:beforeAutospacing="1" w:afterAutospacing="1"/>
      <w:jc w:val="left"/>
    </w:pPr>
    <w:rPr>
      <w:rFonts w:cs="Times New Roman"/>
      <w:kern w:val="0"/>
      <w:sz w:val="24"/>
    </w:rPr>
  </w:style>
  <w:style w:type="table" w:styleId="8">
    <w:name w:val="Table Grid"/>
    <w:basedOn w:val="7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10">
    <w:name w:val="无格式"/>
    <w:autoRedefine/>
    <w:qFormat/>
    <w:uiPriority w:val="0"/>
    <w:pPr>
      <w:jc w:val="center"/>
    </w:pPr>
    <w:rPr>
      <w:rFonts w:ascii="Times New Roman" w:hAnsi="Times New Roman" w:eastAsia="宋体" w:cs="Times New Roman"/>
      <w:kern w:val="2"/>
      <w:sz w:val="21"/>
      <w:szCs w:val="18"/>
      <w:lang w:val="zh-CN" w:eastAsia="zh-CN" w:bidi="ar-SA"/>
    </w:r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customXml" Target="../customXml/item1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ntractReview xmlns="http://schemas.wps.cn/vas-ai-hub/contract-review">
  <reviewItems>
    <reviewItem>
      <errorID>ae720e6a-28c7-437a-af44-e73075b51d4d</errorID>
      <errorWord>1界面设计</errorWord>
      <group>L1_Format</group>
      <groupName>格式问题</groupName>
      <ability>L2_Ordinal</ability>
      <abilityName>序号格式</abilityName>
      <candidateList>
        <item>1. 界面设计</item>
      </candidateList>
      <explain>标题顺序错误，请检查标题顺序是否合理。</explain>
      <paraID>53A4E3EF</paraID>
      <start>0</start>
      <end>7</end>
      <status>modified</status>
      <modifiedWord>1. 界面设计</modifiedWord>
      <trackRevisions>false</trackRevisions>
    </reviewItem>
    <reviewItem>
      <errorID>bcbf04a0-f924-4f12-88f8-b3be4becb196</errorID>
      <errorWord>,</errorWord>
      <group>L1_Format</group>
      <groupName>格式问题</groupName>
      <ability>L2_HalfPunc_CN</ability>
      <abilityName>全半角问题</abilityName>
      <candidateList>
        <item>，</item>
      </candidateList>
      <explain>文本全半角错误。</explain>
      <paraID>43421D67</paraID>
      <start>5</start>
      <end>6</end>
      <status>modified</status>
      <modifiedWord>，</modifiedWord>
      <trackRevisions>false</trackRevisions>
    </reviewItem>
    <reviewItem>
      <errorID>db755ccd-72b2-4e3b-b1d8-b7b69dca3c25</errorID>
      <errorWord>(</errorWord>
      <group>L1_Format</group>
      <groupName>格式问题</groupName>
      <ability>L2_HalfPunc_CN</ability>
      <abilityName>全半角问题</abilityName>
      <candidateList>
        <item>（</item>
      </candidateList>
      <explain>文本全半角错误。</explain>
      <paraID>5B4C781E</paraID>
      <start>5</start>
      <end>6</end>
      <status>modified</status>
      <modifiedWord>（</modifiedWord>
      <trackRevisions>false</trackRevisions>
    </reviewItem>
    <reviewItem>
      <errorID>9fd0548f-8c6d-489e-adae-645760632eb0</errorID>
      <errorWord>)</errorWord>
      <group>L1_Format</group>
      <groupName>格式问题</groupName>
      <ability>L2_HalfPunc_CN</ability>
      <abilityName>全半角问题</abilityName>
      <candidateList>
        <item>）</item>
      </candidateList>
      <explain>文本全半角错误。</explain>
      <paraID>5B4C781E</paraID>
      <start>36</start>
      <end>37</end>
      <status>modified</status>
      <modifiedWord>）</modifiedWord>
      <trackRevisions>false</trackRevisions>
    </reviewItem>
    <reviewItem>
      <errorID>b33fdde8-1f63-433f-8983-2142908c6e73</errorID>
      <errorWord>.;</errorWord>
      <group>L1_Punc</group>
      <groupName>标点问题</groupName>
      <ability>L2_Punc_CN</ability>
      <abilityName>标点符号问题</abilityName>
      <candidateList>
        <item>.</item>
      </candidateList>
      <explain/>
      <paraID>41C3EB51</paraID>
      <start>10</start>
      <end>11</end>
      <status>modified</status>
      <modifiedWord>.</modifiedWord>
      <trackRevisions>false</trackRevisions>
    </reviewItem>
    <reviewItem>
      <errorID>d4bcd8a6-3c74-46e7-bcfd-0b6dd74b1d8a</errorID>
      <errorWord>.;</errorWord>
      <group>L1_Punc</group>
      <groupName>标点问题</groupName>
      <ability>L2_Punc_CN</ability>
      <abilityName>标点符号问题</abilityName>
      <candidateList>
        <item>.</item>
      </candidateList>
      <explain/>
      <paraID>41C3EB51</paraID>
      <start>23</start>
      <end>24</end>
      <status>modified</status>
      <modifiedWord>.</modifiedWord>
      <trackRevisions>false</trackRevisions>
    </reviewItem>
    <reviewItem>
      <errorID>26e3cef4-e5e0-492e-912a-ca4c8ffa4ae8</errorID>
      <errorWord>2分</errorWord>
      <group>L1_Format</group>
      <groupName>格式问题</groupName>
      <ability>L2_Ordinal</ability>
      <abilityName>序号格式</abilityName>
      <candidateList>
        <item>2. 分</item>
      </candidateList>
      <explain>标题顺序错误，请检查标题顺序是否合理。</explain>
      <paraID>1C80EBD6</paraID>
      <start>0</start>
      <end>4</end>
      <status>modified</status>
      <modifiedWord>2. 分</modifiedWord>
      <trackRevisions>false</trackRevisions>
    </reviewItem>
    <reviewItem>
      <errorID>566cb349-2254-4abd-a958-41a5606a00d3</errorID>
      <errorWord> </errorWord>
      <group>L1_Punc</group>
      <groupName>标点问题</groupName>
      <ability>L2_Punc_CN</ability>
      <abilityName>标点符号问题</abilityName>
      <candidateList>
        <item/>
      </candidateList>
      <explain>此处空格冗余，建议删除。</explain>
      <paraID>1C80EBD6</paraID>
      <start>18</start>
      <end>18</end>
      <status>modified</status>
      <modifiedWord/>
      <trackRevisions>false</trackRevisions>
    </reviewItem>
    <reviewItem>
      <errorID>f42d3a0d-a8c7-4d3d-a687-9a7bb98a91fd</errorID>
      <errorWord> </errorWord>
      <group>L1_Punc</group>
      <groupName>标点问题</groupName>
      <ability>L2_Punc_CN</ability>
      <abilityName>标点符号问题</abilityName>
      <candidateList>
        <item/>
      </candidateList>
      <explain>此处空格冗余，建议删除。</explain>
      <paraID>541B1477</paraID>
      <start>5</start>
      <end>5</end>
      <status>modified</status>
      <modifiedWord/>
      <trackRevisions>false</trackRevisions>
    </reviewItem>
  </reviewItems>
  <config/>
</contractReview>
</file>

<file path=customXml/itemProps1.xml><?xml version="1.0" encoding="utf-8"?>
<ds:datastoreItem xmlns:ds="http://schemas.openxmlformats.org/officeDocument/2006/customXml" ds:itemID="{f5149c8f-b401-4626-8cbc-2fb33bc17194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</Pages>
  <Words>1468</Words>
  <Characters>3517</Characters>
  <Lines>0</Lines>
  <Paragraphs>0</Paragraphs>
  <TotalTime>103</TotalTime>
  <ScaleCrop>false</ScaleCrop>
  <LinksUpToDate>false</LinksUpToDate>
  <CharactersWithSpaces>3924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2026-07-17T07:15:00Z</dcterms:created>
  <dc:creator>aprnl</dc:creator>
  <cp:lastModifiedBy>安培蓉</cp:lastModifiedBy>
  <dcterms:modified xsi:type="dcterms:W3CDTF">2026-07-21T14:25:08Z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72E75BD73AD6422A9F1F4B670F9A20EF_13</vt:lpwstr>
  </property>
  <property fmtid="{D5CDD505-2E9C-101B-9397-08002B2CF9AE}" pid="4" name="KSOTemplateDocerSaveRecord">
    <vt:lpwstr>eyJoZGlkIjoiODVjZDhhNWIzOTljZjI1YzZjNDhjMzk0OWFkZTZiMWEiLCJ1c2VySWQiOiI4NDU4NDMyMTgifQ==</vt:lpwstr>
  </property>
</Properties>
</file>