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4E3EF">
      <w:pPr>
        <w:pStyle w:val="2"/>
        <w:widowControl/>
        <w:adjustRightInd w:val="0"/>
        <w:jc w:val="left"/>
        <w:textAlignment w:val="baseline"/>
        <w:rPr>
          <w:rFonts w:hAnsi="Times New Roman" w:cs="Times New Roman"/>
          <w:kern w:val="0"/>
          <w:sz w:val="28"/>
          <w:szCs w:val="20"/>
        </w:rPr>
      </w:pPr>
      <w:bookmarkStart w:id="0" w:name="_Toc5718"/>
      <w:r>
        <w:rPr>
          <w:rFonts w:hint="eastAsia" w:hAnsi="Times New Roman" w:cs="Times New Roman"/>
          <w:kern w:val="0"/>
          <w:sz w:val="28"/>
          <w:szCs w:val="20"/>
          <w:lang w:eastAsia="zh-CN"/>
        </w:rPr>
        <w:t>1. 界面设计</w:t>
      </w:r>
      <w:r>
        <w:rPr>
          <w:rFonts w:hAnsi="Times New Roman" w:cs="Times New Roman"/>
          <w:kern w:val="0"/>
          <w:sz w:val="28"/>
          <w:szCs w:val="20"/>
        </w:rPr>
        <w:t>信任影响因素</w:t>
      </w:r>
      <w:bookmarkEnd w:id="0"/>
    </w:p>
    <w:p w14:paraId="77C92D80">
      <w:pPr>
        <w:rPr>
          <w:rFonts w:ascii="Times New Roman" w:hAnsi="黑体" w:eastAsia="黑体" w:cs="Times New Roman"/>
          <w:snapToGrid w:val="0"/>
          <w:spacing w:val="-4"/>
          <w:kern w:val="0"/>
          <w:sz w:val="24"/>
        </w:rPr>
      </w:pP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  <w:lang w:eastAsia="zh-CN"/>
        </w:rPr>
        <w:t xml:space="preserve">1.1 </w:t>
      </w:r>
      <w:r>
        <w:rPr>
          <w:rFonts w:ascii="Times New Roman" w:hAnsi="黑体" w:eastAsia="黑体" w:cs="Times New Roman"/>
          <w:snapToGrid w:val="0"/>
          <w:spacing w:val="-4"/>
          <w:kern w:val="0"/>
          <w:sz w:val="24"/>
        </w:rPr>
        <w:t>内容维度</w:t>
      </w:r>
    </w:p>
    <w:p w14:paraId="7BE373FE">
      <w:pPr>
        <w:pStyle w:val="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表</w:t>
      </w:r>
      <w:r>
        <w:rPr>
          <w:rFonts w:hint="eastAsia" w:ascii="Times New Roman" w:hAnsi="Times New Roman" w:cs="Times New Roman"/>
          <w:lang w:val="en-US"/>
        </w:rPr>
        <w:t>1 内容维度</w:t>
      </w:r>
      <w:r>
        <w:rPr>
          <w:rFonts w:ascii="Times New Roman" w:hAnsi="Times New Roman" w:cs="Times New Roman"/>
          <w:lang w:val="en-US"/>
        </w:rPr>
        <w:t>信任影响因素</w:t>
      </w:r>
    </w:p>
    <w:tbl>
      <w:tblPr>
        <w:tblStyle w:val="8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941"/>
        <w:gridCol w:w="5055"/>
      </w:tblGrid>
      <w:tr w14:paraId="2038AC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2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5D813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具体指标</w:t>
            </w:r>
          </w:p>
        </w:tc>
        <w:tc>
          <w:tcPr>
            <w:tcW w:w="194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F340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定义说明</w:t>
            </w:r>
          </w:p>
        </w:tc>
        <w:tc>
          <w:tcPr>
            <w:tcW w:w="505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BFCA8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支撑文献</w:t>
            </w:r>
          </w:p>
        </w:tc>
      </w:tr>
      <w:tr w14:paraId="3FDBA7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E5A74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当前意图信息</w:t>
            </w:r>
          </w:p>
        </w:tc>
        <w:tc>
          <w:tcPr>
            <w:tcW w:w="194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0F792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系统当前在做什么、计划做什么</w:t>
            </w:r>
          </w:p>
        </w:tc>
        <w:tc>
          <w:tcPr>
            <w:tcW w:w="505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6774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Selkowitz A R, Lakhmani S G, Chen J Y C. Using agent transparency to support situation awareness of the Autonomous Squad Member[J]. Cognitive Systems Research, 2017, 46: 13-25.</w:t>
            </w:r>
          </w:p>
        </w:tc>
      </w:tr>
      <w:tr w14:paraId="0A2D49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71374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可解释性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244D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系统得出判断所依据的证据与逻辑链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80E6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Selkowitz A R, Lakhmani S G, Chen J Y C. Using agent transparency to support situation awareness of the Autonomous Squad Member[J]. Cognitive Systems Research, 2017, 46: 13-25.</w:t>
            </w:r>
          </w:p>
        </w:tc>
      </w:tr>
      <w:tr w14:paraId="67BEA8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A9E28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预测性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21D67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若采纳建议</w:t>
            </w:r>
            <w:r>
              <w:rPr>
                <w:rFonts w:hint="eastAsia"/>
                <w:sz w:val="18"/>
                <w:lang w:val="en-US" w:eastAsia="zh-CN"/>
              </w:rPr>
              <w:t>，</w:t>
            </w:r>
            <w:r>
              <w:rPr>
                <w:sz w:val="18"/>
                <w:lang w:val="en-US"/>
              </w:rPr>
              <w:t>后续会发生什么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ECD1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Selkowitz A R, Lakhmani S G, Chen J Y C. Using agent transparency to support situation awareness of the Autonomous Squad Member[J]. Cognitive Systems Research, 2017, 46: 13-25.</w:t>
            </w:r>
          </w:p>
        </w:tc>
      </w:tr>
      <w:tr w14:paraId="1FA90B9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5D23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可靠性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F48E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系统过去同类任务的成功率统计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C781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信任三要素</w:t>
            </w:r>
            <w:r>
              <w:rPr>
                <w:rFonts w:hint="eastAsia"/>
                <w:sz w:val="18"/>
                <w:lang w:val="en-US" w:eastAsia="zh-CN"/>
              </w:rPr>
              <w:t>（</w:t>
            </w:r>
            <w:r>
              <w:rPr>
                <w:sz w:val="18"/>
                <w:lang w:val="en-US"/>
              </w:rPr>
              <w:t>purpose / process/ performance</w:t>
            </w:r>
            <w:r>
              <w:rPr>
                <w:rFonts w:hint="eastAsia"/>
                <w:sz w:val="18"/>
                <w:lang w:val="en-US" w:eastAsia="zh-CN"/>
              </w:rPr>
              <w:t>）</w:t>
            </w:r>
            <w:r>
              <w:rPr>
                <w:sz w:val="18"/>
                <w:lang w:val="en-US"/>
              </w:rPr>
              <w:t>：Lee, J. D., &amp; See, K. A. (2004). Trust in automation: Designing for appropriate reliance.</w:t>
            </w:r>
          </w:p>
        </w:tc>
      </w:tr>
      <w:tr w14:paraId="652A12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D660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置信度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02F20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系统对自身判断的置信度或误差范围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CBFE2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McGuirl, J. M., &amp; Sarter, N. B. (2006). Supporting trust calibration and the effective use of decision aids by presenting dynamic system confidence information. Human Factors</w:t>
            </w:r>
          </w:p>
        </w:tc>
      </w:tr>
      <w:tr w14:paraId="1649AD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AF03A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失效边界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EA5C8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系统在何种条件下可能失效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AB2CA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George, M. W., Hass, Z., &amp; Pitts, B. J. (2026). Do you trust what an automated vehicle shows you? The effects of presenting dynamic system certainty information on driver behavior. Applied Ergonomics, 134, 104719.</w:t>
            </w:r>
          </w:p>
        </w:tc>
      </w:tr>
      <w:tr w14:paraId="16F1ED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790F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环境信息</w:t>
            </w:r>
          </w:p>
        </w:tc>
        <w:tc>
          <w:tcPr>
            <w:tcW w:w="194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167D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当前任务难度、环境复杂度等情境线索</w:t>
            </w:r>
          </w:p>
        </w:tc>
        <w:tc>
          <w:tcPr>
            <w:tcW w:w="50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A671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Gao, Q., Chen, L., Shi, Y., Luo, Y., Shen, M., &amp; Gao, Z. (2024). Trust calibration through perceptual and predictive information of the external context in autonomous vehicle. Transportation Research Part F: Traffic Psychology and Behaviour, 107, 537–548.</w:t>
            </w:r>
          </w:p>
        </w:tc>
      </w:tr>
    </w:tbl>
    <w:p w14:paraId="5A2EED34">
      <w:pPr>
        <w:pStyle w:val="10"/>
        <w:rPr>
          <w:sz w:val="18"/>
          <w:lang w:val="en-US"/>
        </w:rPr>
      </w:pPr>
    </w:p>
    <w:p w14:paraId="554EC5F9">
      <w:pPr>
        <w:rPr>
          <w:rFonts w:ascii="Times New Roman" w:hAnsi="黑体" w:eastAsia="黑体" w:cs="Times New Roman"/>
          <w:snapToGrid w:val="0"/>
          <w:spacing w:val="-4"/>
          <w:kern w:val="0"/>
          <w:sz w:val="24"/>
        </w:rPr>
      </w:pP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</w:rPr>
        <w:t>1.2</w:t>
      </w:r>
      <w:r>
        <w:rPr>
          <w:rFonts w:ascii="Times New Roman" w:hAnsi="黑体" w:eastAsia="黑体" w:cs="Times New Roman"/>
          <w:snapToGrid w:val="0"/>
          <w:spacing w:val="-4"/>
          <w:kern w:val="0"/>
          <w:sz w:val="24"/>
        </w:rPr>
        <w:t>形式维度</w:t>
      </w:r>
    </w:p>
    <w:p w14:paraId="4A0DB261">
      <w:pPr>
        <w:pStyle w:val="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表</w:t>
      </w:r>
      <w:r>
        <w:rPr>
          <w:rFonts w:hint="eastAsia" w:ascii="Times New Roman" w:hAnsi="Times New Roman" w:cs="Times New Roman"/>
          <w:lang w:val="en-US"/>
        </w:rPr>
        <w:t>2 形式维度</w:t>
      </w:r>
      <w:r>
        <w:rPr>
          <w:rFonts w:ascii="Times New Roman" w:hAnsi="Times New Roman" w:cs="Times New Roman"/>
          <w:lang w:val="en-US"/>
        </w:rPr>
        <w:t>信任影响因素</w:t>
      </w:r>
    </w:p>
    <w:tbl>
      <w:tblPr>
        <w:tblStyle w:val="8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2340"/>
        <w:gridCol w:w="4569"/>
      </w:tblGrid>
      <w:tr w14:paraId="36A1AE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1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113AD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具体指标</w:t>
            </w:r>
          </w:p>
        </w:tc>
        <w:tc>
          <w:tcPr>
            <w:tcW w:w="23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C7E8F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定义说明</w:t>
            </w:r>
          </w:p>
        </w:tc>
        <w:tc>
          <w:tcPr>
            <w:tcW w:w="456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FFBF4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支撑文献</w:t>
            </w:r>
          </w:p>
        </w:tc>
      </w:tr>
      <w:tr w14:paraId="14F89D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D107F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颜色编码</w:t>
            </w:r>
          </w:p>
        </w:tc>
        <w:tc>
          <w:tcPr>
            <w:tcW w:w="23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EC04A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用红/黄/绿等颜色表示危险等级、敌我身份</w:t>
            </w:r>
          </w:p>
        </w:tc>
        <w:tc>
          <w:tcPr>
            <w:tcW w:w="456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9CF2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Song, Hayeong &amp; Cho, Aeree &amp; Xiong, Cindy &amp; Stasko, John. (2025). Visualizing Trust: How Chart Embellishments Influence Perceptions of Credibility. IEEE Transactions on Visualization and Computer Graphics.</w:t>
            </w:r>
          </w:p>
        </w:tc>
      </w:tr>
      <w:tr w14:paraId="14276C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CAFFF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形状编码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881B0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用不同的图标/形状代表不同类型的实体或状态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3EB51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Machida, M</w:t>
            </w:r>
            <w:r>
              <w:rPr>
                <w:rFonts w:hint="eastAsia"/>
                <w:sz w:val="18"/>
                <w:lang w:val="en-US" w:eastAsia="zh-CN"/>
              </w:rPr>
              <w:t>.</w:t>
            </w:r>
            <w:r>
              <w:rPr>
                <w:sz w:val="18"/>
                <w:lang w:val="en-US"/>
              </w:rPr>
              <w:t xml:space="preserve"> Murakami, M</w:t>
            </w:r>
            <w:r>
              <w:rPr>
                <w:rFonts w:hint="eastAsia"/>
                <w:sz w:val="18"/>
                <w:lang w:val="en-US" w:eastAsia="zh-CN"/>
              </w:rPr>
              <w:t>.</w:t>
            </w:r>
            <w:r>
              <w:rPr>
                <w:sz w:val="18"/>
                <w:lang w:val="en-US"/>
              </w:rPr>
              <w:t xml:space="preserve"> Goto, A. Differences in Data Trustworthiness and Risk Perception between Bar Graphs and Pictograms. Int. J. Environ. Res. Public Health 2022, 19, 4690. https://doi.org/10.3390/ijerph19084690</w:t>
            </w:r>
          </w:p>
        </w:tc>
      </w:tr>
      <w:tr w14:paraId="3B3199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C718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尺寸编码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C6FE1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用大小、粗细、线宽表示重要性或数值高低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D062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Zacks, Jeff &amp; Tversky, Barbara. (1999). Bars and lines: A study of graphic communication. Memory &amp; cognition. 27. 1073-9. 10.3758/BF03201236.</w:t>
            </w:r>
          </w:p>
        </w:tc>
      </w:tr>
      <w:tr w14:paraId="5FD90F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D77F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文字/数值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01738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以精确数字、标签或警告文本呈现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7AD1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https://www.tableau.com/blog/exploring-data-uncertainty-through-speech-text-and-visualization</w:t>
            </w:r>
          </w:p>
        </w:tc>
      </w:tr>
      <w:tr w14:paraId="2F66CEA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E8CB2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图表/图形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84775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以折线、柱状、雷达、空间态势图等呈现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A0F3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McKinley O G, Pandey S, Ottley A. Trustworthy by Design: The Viewer's Perspective on Trust in Data Visualization[C]//Proceedings of the 2025 CHI Conference on Human Factors in Computing Systems. 2025: 1-17.</w:t>
            </w:r>
          </w:p>
        </w:tc>
      </w:tr>
      <w:tr w14:paraId="76BF7F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1D6ED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动态/动画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EECCF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以脉冲、闪烁、流动等效果强调紧迫性或变化趋势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F8934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Turner S, Wylde J, Langham M, et al. Determining optimum flash patterns for emergency service vehicles: An experimental investigation using high definition film[J]. Applied ergonomics, 2014, 45(5): 1313-1319.</w:t>
            </w:r>
          </w:p>
        </w:tc>
      </w:tr>
      <w:tr w14:paraId="025A0B6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B37C0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拟人化程度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6829D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系统是否以拟人化形象/语气呈现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D8DE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Nissen A, Jahn K. Between anthropomorphism, trust, and the uncanny valley: A dual-processing perspective on perceived trustworthiness and its mediating effects on use intentions of social robots[J]. 2021.</w:t>
            </w:r>
          </w:p>
        </w:tc>
      </w:tr>
      <w:tr w14:paraId="229817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4F7AA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主动/被动推送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E0EE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系统主动弹出提示vs 操作员按需查询</w:t>
            </w:r>
          </w:p>
        </w:tc>
        <w:tc>
          <w:tcPr>
            <w:tcW w:w="456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E6BBD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Lu F, Xu Y, Xu X, et al. Exploring the impact of user and system factors on human-AI interactions in head-worn displays[C]//2023 IEEE International Symposium on Mixed and Augmented Reality (ISMAR). IEEE, 2023: 109-118.</w:t>
            </w:r>
          </w:p>
        </w:tc>
      </w:tr>
    </w:tbl>
    <w:p w14:paraId="32FFFE79">
      <w:pPr>
        <w:pStyle w:val="2"/>
        <w:widowControl/>
        <w:numPr>
          <w:ilvl w:val="0"/>
          <w:numId w:val="1"/>
        </w:numPr>
        <w:adjustRightInd w:val="0"/>
        <w:jc w:val="left"/>
        <w:textAlignment w:val="baseline"/>
        <w:rPr>
          <w:rFonts w:hAnsi="Times New Roman" w:cs="Times New Roman"/>
          <w:kern w:val="0"/>
          <w:sz w:val="28"/>
          <w:szCs w:val="20"/>
        </w:rPr>
      </w:pPr>
      <w:bookmarkStart w:id="1" w:name="_Toc32372"/>
      <w:r>
        <w:rPr>
          <w:rFonts w:hint="eastAsia" w:hAnsi="Times New Roman" w:cs="Times New Roman"/>
          <w:kern w:val="0"/>
          <w:sz w:val="28"/>
          <w:szCs w:val="20"/>
          <w:lang w:eastAsia="zh-CN"/>
        </w:rPr>
        <w:t>分</w:t>
      </w:r>
      <w:r>
        <w:rPr>
          <w:rFonts w:hAnsi="Times New Roman" w:cs="Times New Roman"/>
          <w:kern w:val="0"/>
          <w:sz w:val="28"/>
          <w:szCs w:val="20"/>
        </w:rPr>
        <w:t>任务实验设计方案</w:t>
      </w:r>
      <w:bookmarkEnd w:id="1"/>
    </w:p>
    <w:p w14:paraId="0FC0F3BC">
      <w:pPr>
        <w:rPr>
          <w:rFonts w:ascii="Times New Roman" w:hAnsi="黑体" w:eastAsia="黑体" w:cs="Times New Roman"/>
          <w:snapToGrid w:val="0"/>
          <w:spacing w:val="-4"/>
          <w:kern w:val="0"/>
          <w:sz w:val="24"/>
        </w:rPr>
      </w:pP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  <w:lang w:eastAsia="zh-CN"/>
        </w:rPr>
        <w:t xml:space="preserve">2.1 </w:t>
      </w:r>
      <w:r>
        <w:rPr>
          <w:rFonts w:ascii="Times New Roman" w:hAnsi="黑体" w:eastAsia="黑体" w:cs="Times New Roman"/>
          <w:snapToGrid w:val="0"/>
          <w:spacing w:val="-4"/>
          <w:kern w:val="0"/>
          <w:sz w:val="24"/>
        </w:rPr>
        <w:t>传感器控制</w:t>
      </w:r>
    </w:p>
    <w:p w14:paraId="1C80EBD6">
      <w:pPr>
        <w:pStyle w:val="6"/>
        <w:widowControl/>
        <w:spacing w:beforeAutospacing="0" w:afterAutospacing="0"/>
        <w:ind w:firstLine="420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目标：通过调整天线高度、根据目标在界面显示的位置和朝向，从混合目标中识别敌方（红色）与友方（绿色）。</w:t>
      </w: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br w:type="textWrapping"/>
      </w: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1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 xml:space="preserve">.1 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eastAsia="zh-CN"/>
        </w:rPr>
        <w:t>界面设计：</w:t>
      </w:r>
    </w:p>
    <w:p w14:paraId="18E43F6B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内容维度涉及因素：可靠性、置信度、可解释性</w:t>
      </w:r>
    </w:p>
    <w:p w14:paraId="0761BB13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形式维度设计因素：颜色编码、图表/图形、动态/动画</w:t>
      </w:r>
    </w:p>
    <w:p w14:paraId="4B527B27">
      <w:pPr>
        <w:pStyle w:val="6"/>
        <w:widowControl/>
        <w:spacing w:beforeAutospacing="0" w:afterAutospacing="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3612515" cy="6776720"/>
            <wp:effectExtent l="0" t="0" r="6985" b="5080"/>
            <wp:docPr id="3" name="图片 3" descr="已生成图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已生成图像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51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6A4D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图4 修改界面1</w:t>
      </w:r>
    </w:p>
    <w:p w14:paraId="0639CB5E">
      <w:pPr>
        <w:pStyle w:val="6"/>
        <w:widowControl/>
        <w:spacing w:beforeAutospacing="0" w:afterAutospacing="0"/>
        <w:jc w:val="center"/>
        <w:rPr>
          <w:rFonts w:hint="eastAsia" w:ascii="Times New Roman" w:hAnsi="Times New Roman" w:eastAsia="方正仿宋_GB2312"/>
          <w:color w:val="0F1115"/>
          <w:shd w:val="clear" w:color="auto" w:fill="FFFFFF"/>
          <w:lang w:eastAsia="zh-CN" w:bidi="ar"/>
        </w:rPr>
      </w:pPr>
      <w:r>
        <w:rPr>
          <w:rFonts w:hint="eastAsia" w:ascii="Times New Roman" w:hAnsi="Times New Roman" w:eastAsia="方正仿宋_GB2312"/>
          <w:color w:val="0F1115"/>
          <w:shd w:val="clear" w:color="auto" w:fill="FFFFFF"/>
          <w:lang w:eastAsia="zh-CN" w:bidi="ar"/>
        </w:rPr>
        <w:drawing>
          <wp:inline distT="0" distB="0" distL="114300" distR="114300">
            <wp:extent cx="3275965" cy="5818505"/>
            <wp:effectExtent l="0" t="0" r="635" b="10795"/>
            <wp:docPr id="4" name="图片 4" descr="exec-bc2675be-812e-4038-bdc7-ff02784d6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xec-bc2675be-812e-4038-bdc7-ff02784d66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7BE2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图5 修改界面2</w:t>
      </w:r>
    </w:p>
    <w:p w14:paraId="6F0C89C8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1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.2 需要收集的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eastAsia="zh-CN"/>
        </w:rPr>
        <w:t>数据：</w:t>
      </w:r>
    </w:p>
    <w:p w14:paraId="4F0EA116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行为模式：是否修改AI锁定目标、目标切换个数、适当信任率</w:t>
      </w:r>
    </w:p>
    <w:p w14:paraId="7F46A454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监督行为：是否点击人工复核、点击次数、查看时长</w:t>
      </w:r>
    </w:p>
    <w:p w14:paraId="541B1477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反应时间：AI给出锁定目标至用户锁定目标犹豫时长</w:t>
      </w:r>
    </w:p>
    <w:p w14:paraId="2DECED14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任务绩效：准确率、任务整体完成耗时</w:t>
      </w:r>
    </w:p>
    <w:p w14:paraId="754FD58E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生理数据：各区域的注视点、注视时长、注视次数、扫视路径</w:t>
      </w:r>
    </w:p>
    <w:p w14:paraId="12C098C2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主观数据：每试次信任量表评分</w:t>
      </w:r>
    </w:p>
    <w:p w14:paraId="01B0FACF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1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 xml:space="preserve">.3 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eastAsia="zh-CN"/>
        </w:rPr>
        <w:t>因变量：</w:t>
      </w:r>
    </w:p>
    <w:p w14:paraId="7D9290BE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 xml:space="preserve">适当信任成功率=N适当信任÷N总试次×100% </w:t>
      </w:r>
    </w:p>
    <w:p w14:paraId="7AC7B60B">
      <w:pPr>
        <w:pStyle w:val="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表</w:t>
      </w:r>
      <w:r>
        <w:rPr>
          <w:rFonts w:hint="eastAsia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/>
        </w:rPr>
        <w:t>信任判定规则</w:t>
      </w:r>
    </w:p>
    <w:tbl>
      <w:tblPr>
        <w:tblStyle w:val="7"/>
        <w:tblW w:w="64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745"/>
        <w:gridCol w:w="1635"/>
        <w:gridCol w:w="1139"/>
      </w:tblGrid>
      <w:tr w14:paraId="4F6F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9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A9FBFDA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AI锁定目标是否正确</w:t>
            </w:r>
          </w:p>
        </w:tc>
        <w:tc>
          <w:tcPr>
            <w:tcW w:w="17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8FF1C7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适当行为</w:t>
            </w:r>
          </w:p>
        </w:tc>
        <w:tc>
          <w:tcPr>
            <w:tcW w:w="16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3B2221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被试行为</w:t>
            </w:r>
          </w:p>
        </w:tc>
        <w:tc>
          <w:tcPr>
            <w:tcW w:w="11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9926BA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判定</w:t>
            </w:r>
          </w:p>
        </w:tc>
      </w:tr>
      <w:tr w14:paraId="32A0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9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9BB05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是</w:t>
            </w:r>
          </w:p>
        </w:tc>
        <w:tc>
          <w:tcPr>
            <w:tcW w:w="17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85B2C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6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9E9534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1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ECD25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适当信任</w:t>
            </w:r>
          </w:p>
        </w:tc>
      </w:tr>
      <w:tr w14:paraId="29D9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E8CEDF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是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53453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C542E6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436DE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欠信任</w:t>
            </w:r>
          </w:p>
        </w:tc>
      </w:tr>
      <w:tr w14:paraId="1B63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7AFA23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AC503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4FC0C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065124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适当信任</w:t>
            </w:r>
          </w:p>
        </w:tc>
      </w:tr>
      <w:tr w14:paraId="7430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6772C2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</w:t>
            </w:r>
          </w:p>
        </w:tc>
        <w:tc>
          <w:tcPr>
            <w:tcW w:w="17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AA7257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F142B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1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99D294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过度信任</w:t>
            </w:r>
          </w:p>
        </w:tc>
      </w:tr>
    </w:tbl>
    <w:p w14:paraId="7EBA01D4">
      <w:pPr>
        <w:pStyle w:val="6"/>
        <w:widowControl/>
        <w:spacing w:beforeAutospacing="0" w:afterAutospacing="0"/>
        <w:rPr>
          <w:rFonts w:ascii="Times New Roman" w:hAnsi="Times New Roman" w:eastAsia="方正仿宋_GB2312"/>
          <w:b/>
          <w:bCs/>
          <w:color w:val="0F1115"/>
          <w:shd w:val="clear" w:color="auto" w:fill="FFFFFF"/>
        </w:rPr>
      </w:pPr>
    </w:p>
    <w:p w14:paraId="40E51914">
      <w:pPr>
        <w:rPr>
          <w:rFonts w:ascii="Times New Roman" w:hAnsi="黑体" w:eastAsia="黑体" w:cs="Times New Roman"/>
          <w:snapToGrid w:val="0"/>
          <w:spacing w:val="-4"/>
          <w:kern w:val="0"/>
          <w:sz w:val="24"/>
        </w:rPr>
      </w:pP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</w:rPr>
        <w:t>2.</w:t>
      </w: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  <w:lang w:val="en-US" w:eastAsia="zh-CN"/>
        </w:rPr>
        <w:t xml:space="preserve">2 </w:t>
      </w:r>
      <w:r>
        <w:rPr>
          <w:rFonts w:ascii="Times New Roman" w:hAnsi="黑体" w:eastAsia="黑体" w:cs="Times New Roman"/>
          <w:snapToGrid w:val="0"/>
          <w:spacing w:val="-4"/>
          <w:kern w:val="0"/>
          <w:sz w:val="24"/>
        </w:rPr>
        <w:t>威胁排序</w:t>
      </w:r>
    </w:p>
    <w:p w14:paraId="2FFFDFDF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目标：根据威胁值（正比）与距离（反比）从多目标中选出最具威胁者。</w:t>
      </w:r>
    </w:p>
    <w:p w14:paraId="063C2C0E">
      <w:pPr>
        <w:pStyle w:val="6"/>
        <w:widowControl/>
        <w:spacing w:beforeAutospacing="0" w:afterAutospac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447030" cy="2585085"/>
            <wp:effectExtent l="0" t="0" r="1270" b="5715"/>
            <wp:docPr id="145357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771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D7D9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图6 初始界面</w:t>
      </w:r>
    </w:p>
    <w:p w14:paraId="49CF739A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2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.1  界面设计</w:t>
      </w:r>
    </w:p>
    <w:p w14:paraId="3692B7A2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内容维度涉及因素：可靠性、置信度、可解释性</w:t>
      </w:r>
    </w:p>
    <w:p w14:paraId="359B8FC7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形式维度设计因素：颜色编码、图表/图形、动态/动画</w:t>
      </w:r>
    </w:p>
    <w:p w14:paraId="2BE79B89">
      <w:pPr>
        <w:pStyle w:val="6"/>
        <w:widowControl/>
        <w:spacing w:beforeAutospacing="0" w:afterAutospacing="0"/>
      </w:pPr>
      <w:r>
        <w:drawing>
          <wp:inline distT="0" distB="0" distL="114300" distR="114300">
            <wp:extent cx="5272405" cy="12090400"/>
            <wp:effectExtent l="0" t="0" r="10795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B33A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图7 修改界面1</w:t>
      </w:r>
    </w:p>
    <w:p w14:paraId="0656BDD2">
      <w:pPr>
        <w:pStyle w:val="6"/>
        <w:widowControl/>
        <w:spacing w:beforeAutospacing="0" w:afterAutospacing="0"/>
      </w:pPr>
      <w:r>
        <w:drawing>
          <wp:inline distT="0" distB="0" distL="114300" distR="114300">
            <wp:extent cx="3819525" cy="8801735"/>
            <wp:effectExtent l="0" t="0" r="317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80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DD9B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图8 修改界面2</w:t>
      </w:r>
    </w:p>
    <w:p w14:paraId="108E659E">
      <w:pPr>
        <w:pStyle w:val="6"/>
        <w:widowControl/>
        <w:spacing w:beforeAutospacing="0" w:afterAutospacing="0"/>
        <w:ind w:firstLine="420"/>
        <w:rPr>
          <w:rFonts w:ascii="Times New Roman" w:hAnsi="Times New Roman" w:eastAsia="方正仿宋_GB2312"/>
          <w:color w:val="0F1115"/>
          <w:shd w:val="clear" w:color="auto" w:fill="FFFFFF"/>
        </w:rPr>
      </w:pPr>
    </w:p>
    <w:p w14:paraId="41DD1DDD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2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.2 需要收集的数据</w:t>
      </w:r>
    </w:p>
    <w:p w14:paraId="5ACF7B5A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行为模式：是否修改AI锁定目标、适当信任率</w:t>
      </w:r>
    </w:p>
    <w:p w14:paraId="64BC2441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监督行为：是否点击人工复核、点击次数、查看时长</w:t>
      </w:r>
    </w:p>
    <w:p w14:paraId="20C7B56C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反应时间： AI给出锁定目标至用户锁定目标犹豫时长</w:t>
      </w:r>
    </w:p>
    <w:p w14:paraId="2887A19D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任务绩效：准确率、任务整体完成耗时</w:t>
      </w:r>
    </w:p>
    <w:p w14:paraId="764FD268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生理数据：各区域的注视点、注视时长、注视次数、扫视路径</w:t>
      </w:r>
    </w:p>
    <w:p w14:paraId="0EA5AD06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主观数据：每试次信任量表评分</w:t>
      </w:r>
    </w:p>
    <w:p w14:paraId="3362D88E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2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.3 因变量</w:t>
      </w:r>
    </w:p>
    <w:p w14:paraId="721A81E5">
      <w:pPr>
        <w:ind w:firstLine="420"/>
        <w:rPr>
          <w:rFonts w:ascii="Times New Roman" w:hAnsi="Times New Roman" w:eastAsia="宋体" w:cs="Times New Roman"/>
          <w:snapToGrid w:val="0"/>
          <w:spacing w:val="-4"/>
          <w:kern w:val="0"/>
          <w:szCs w:val="20"/>
        </w:rPr>
      </w:pPr>
      <w:r>
        <w:rPr>
          <w:rFonts w:ascii="Times New Roman" w:hAnsi="Times New Roman" w:eastAsia="宋体" w:cs="Times New Roman"/>
          <w:snapToGrid w:val="0"/>
          <w:spacing w:val="-4"/>
          <w:kern w:val="0"/>
          <w:szCs w:val="20"/>
        </w:rPr>
        <w:t xml:space="preserve">适当信任成功率=N适当信任÷N总试次×100% </w:t>
      </w:r>
    </w:p>
    <w:p w14:paraId="7DF624E0">
      <w:pPr>
        <w:pStyle w:val="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表</w:t>
      </w:r>
      <w:r>
        <w:rPr>
          <w:rFonts w:hint="eastAsia"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/>
        </w:rPr>
        <w:t>信任判定规则</w:t>
      </w:r>
    </w:p>
    <w:tbl>
      <w:tblPr>
        <w:tblStyle w:val="7"/>
        <w:tblW w:w="64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745"/>
        <w:gridCol w:w="1635"/>
        <w:gridCol w:w="1139"/>
      </w:tblGrid>
      <w:tr w14:paraId="0A8E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9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6F19AC9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AI锁定目标是否正确</w:t>
            </w:r>
          </w:p>
        </w:tc>
        <w:tc>
          <w:tcPr>
            <w:tcW w:w="17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CC0322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适当行为</w:t>
            </w:r>
          </w:p>
        </w:tc>
        <w:tc>
          <w:tcPr>
            <w:tcW w:w="16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A121B0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被试行为</w:t>
            </w:r>
          </w:p>
        </w:tc>
        <w:tc>
          <w:tcPr>
            <w:tcW w:w="11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96642F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判定</w:t>
            </w:r>
          </w:p>
        </w:tc>
      </w:tr>
      <w:tr w14:paraId="61E8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9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103BC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是</w:t>
            </w:r>
          </w:p>
        </w:tc>
        <w:tc>
          <w:tcPr>
            <w:tcW w:w="17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D90A42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6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B39F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1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9C07E9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适当信任</w:t>
            </w:r>
          </w:p>
        </w:tc>
      </w:tr>
      <w:tr w14:paraId="34DB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36870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是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A443E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B8B0CD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637DBD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欠信任</w:t>
            </w:r>
          </w:p>
        </w:tc>
      </w:tr>
      <w:tr w14:paraId="7A534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3B25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E2AC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C9093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347B8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适当信任</w:t>
            </w:r>
          </w:p>
        </w:tc>
      </w:tr>
      <w:tr w14:paraId="02EA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2713E6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</w:t>
            </w:r>
          </w:p>
        </w:tc>
        <w:tc>
          <w:tcPr>
            <w:tcW w:w="17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335E75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BB8AA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1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C385A1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过度信任</w:t>
            </w:r>
          </w:p>
        </w:tc>
      </w:tr>
    </w:tbl>
    <w:p w14:paraId="76C67DE6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AFA52"/>
    <w:multiLevelType w:val="singleLevel"/>
    <w:tmpl w:val="907AFA5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04A1E"/>
    <w:rsid w:val="043D1681"/>
    <w:rsid w:val="06E655B1"/>
    <w:rsid w:val="10D04A1E"/>
    <w:rsid w:val="18374BDA"/>
    <w:rsid w:val="46ED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spacing w:before="240"/>
      <w:outlineLvl w:val="0"/>
    </w:pPr>
    <w:rPr>
      <w:rFonts w:ascii="Times New Roman"/>
      <w:snapToGrid w:val="0"/>
    </w:rPr>
  </w:style>
  <w:style w:type="paragraph" w:styleId="4">
    <w:name w:val="heading 3"/>
    <w:basedOn w:val="3"/>
    <w:next w:val="1"/>
    <w:semiHidden/>
    <w:unhideWhenUsed/>
    <w:qFormat/>
    <w:uiPriority w:val="0"/>
    <w:pPr>
      <w:spacing w:before="0"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GF报告一级标题"/>
    <w:basedOn w:val="1"/>
    <w:qFormat/>
    <w:uiPriority w:val="0"/>
    <w:pPr>
      <w:spacing w:before="360" w:line="360" w:lineRule="atLeast"/>
    </w:pPr>
    <w:rPr>
      <w:rFonts w:ascii="黑体" w:eastAsia="黑体"/>
    </w:rPr>
  </w:style>
  <w:style w:type="paragraph" w:styleId="5">
    <w:name w:val="caption"/>
    <w:basedOn w:val="1"/>
    <w:next w:val="1"/>
    <w:unhideWhenUsed/>
    <w:qFormat/>
    <w:uiPriority w:val="35"/>
    <w:pPr>
      <w:autoSpaceDE w:val="0"/>
      <w:autoSpaceDN w:val="0"/>
    </w:pPr>
    <w:rPr>
      <w:rFonts w:ascii="Arial" w:hAnsi="Arial" w:eastAsia="黑体" w:cs="楷体_GB2312"/>
      <w:sz w:val="20"/>
      <w:szCs w:val="22"/>
      <w:lang w:val="zh-CN" w:bidi="zh-CN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无格式"/>
    <w:autoRedefine/>
    <w:qFormat/>
    <w:uiPriority w:val="0"/>
    <w:pPr>
      <w:jc w:val="center"/>
    </w:pPr>
    <w:rPr>
      <w:rFonts w:ascii="Times New Roman" w:hAnsi="Times New Roman" w:eastAsia="宋体" w:cs="Times New Roman"/>
      <w:kern w:val="2"/>
      <w:sz w:val="21"/>
      <w:szCs w:val="18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ae720e6a-28c7-437a-af44-e73075b51d4d</errorID>
      <errorWord>1界面设计</errorWord>
      <group>L1_Format</group>
      <groupName>格式问题</groupName>
      <ability>L2_Ordinal</ability>
      <abilityName>序号格式</abilityName>
      <candidateList>
        <item>1. 界面设计</item>
      </candidateList>
      <explain>标题顺序错误，请检查标题顺序是否合理。</explain>
      <paraID>53A4E3EF</paraID>
      <start>0</start>
      <end>7</end>
      <status>modified</status>
      <modifiedWord>1. 界面设计</modifiedWord>
      <trackRevisions>false</trackRevisions>
    </reviewItem>
    <reviewItem>
      <errorID>bcbf04a0-f924-4f12-88f8-b3be4becb196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43421D67</paraID>
      <start>5</start>
      <end>6</end>
      <status>modified</status>
      <modifiedWord>，</modifiedWord>
      <trackRevisions>false</trackRevisions>
    </reviewItem>
    <reviewItem>
      <errorID>db755ccd-72b2-4e3b-b1d8-b7b69dca3c25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5B4C781E</paraID>
      <start>5</start>
      <end>6</end>
      <status>modified</status>
      <modifiedWord>（</modifiedWord>
      <trackRevisions>false</trackRevisions>
    </reviewItem>
    <reviewItem>
      <errorID>9fd0548f-8c6d-489e-adae-645760632eb0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5B4C781E</paraID>
      <start>36</start>
      <end>37</end>
      <status>modified</status>
      <modifiedWord>）</modifiedWord>
      <trackRevisions>false</trackRevisions>
    </reviewItem>
    <reviewItem>
      <errorID>b33fdde8-1f63-433f-8983-2142908c6e73</errorID>
      <errorWord>.;</errorWord>
      <group>L1_Punc</group>
      <groupName>标点问题</groupName>
      <ability>L2_Punc_CN</ability>
      <abilityName>标点符号问题</abilityName>
      <candidateList>
        <item>.</item>
      </candidateList>
      <explain/>
      <paraID>41C3EB51</paraID>
      <start>10</start>
      <end>11</end>
      <status>modified</status>
      <modifiedWord>.</modifiedWord>
      <trackRevisions>false</trackRevisions>
    </reviewItem>
    <reviewItem>
      <errorID>d4bcd8a6-3c74-46e7-bcfd-0b6dd74b1d8a</errorID>
      <errorWord>.;</errorWord>
      <group>L1_Punc</group>
      <groupName>标点问题</groupName>
      <ability>L2_Punc_CN</ability>
      <abilityName>标点符号问题</abilityName>
      <candidateList>
        <item>.</item>
      </candidateList>
      <explain/>
      <paraID>41C3EB51</paraID>
      <start>23</start>
      <end>24</end>
      <status>modified</status>
      <modifiedWord>.</modifiedWord>
      <trackRevisions>false</trackRevisions>
    </reviewItem>
    <reviewItem>
      <errorID>26e3cef4-e5e0-492e-912a-ca4c8ffa4ae8</errorID>
      <errorWord>2分</errorWord>
      <group>L1_Format</group>
      <groupName>格式问题</groupName>
      <ability>L2_Ordinal</ability>
      <abilityName>序号格式</abilityName>
      <candidateList>
        <item>2. 分</item>
      </candidateList>
      <explain>标题顺序错误，请检查标题顺序是否合理。</explain>
      <paraID>1C80EBD6</paraID>
      <start>0</start>
      <end>4</end>
      <status>modified</status>
      <modifiedWord>2. 分</modifiedWord>
      <trackRevisions>false</trackRevisions>
    </reviewItem>
    <reviewItem>
      <errorID>566cb349-2254-4abd-a958-41a5606a00d3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1C80EBD6</paraID>
      <start>18</start>
      <end>18</end>
      <status>modified</status>
      <modifiedWord/>
      <trackRevisions>false</trackRevisions>
    </reviewItem>
    <reviewItem>
      <errorID>f42d3a0d-a8c7-4d3d-a687-9a7bb98a91fd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541B1477</paraID>
      <start>5</start>
      <end>5</end>
      <status>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f5149c8f-b401-4626-8cbc-2fb33bc171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1468</Words>
  <Characters>3517</Characters>
  <Lines>0</Lines>
  <Paragraphs>0</Paragraphs>
  <TotalTime>103</TotalTime>
  <ScaleCrop>false</ScaleCrop>
  <LinksUpToDate>false</LinksUpToDate>
  <CharactersWithSpaces>3924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2026-07-17T07:15:00Z</dcterms:created>
  <dc:creator>aprnl</dc:creator>
  <cp:lastModifiedBy>安培蓉</cp:lastModifiedBy>
  <dcterms:modified xsi:type="dcterms:W3CDTF">2026-07-21T14:25:08Z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72E75BD73AD6422A9F1F4B670F9A20EF_13</vt:lpwstr>
  </property>
  <property fmtid="{D5CDD505-2E9C-101B-9397-08002B2CF9AE}" pid="4" name="KSOTemplateDocerSaveRecord">
    <vt:lpwstr>eyJoZGlkIjoiODVjZDhhNWIzOTljZjI1YzZjNDhjMzk0OWFkZTZiMWEiLCJ1c2VySWQiOiI4NDU4NDMyMTgifQ==</vt:lpwstr>
  </property>
</Properties>
</file>