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firstLine="0"/>
        <w:jc w:val="center"/>
      </w:pPr>
      <w:r>
        <w:t>AOI区域划分说明</w:t>
      </w:r>
    </w:p>
    <w:p>
      <w:pPr>
        <w:ind w:firstLine="480" w:firstLineChars="200"/>
      </w:pPr>
      <w:r>
        <w:t>界面按下列AOI划分，所有可见AOI之外的屏内部分统一归为other（其余区域）。</w:t>
      </w:r>
    </w:p>
    <w:p>
      <w:pPr>
        <w:ind w:firstLine="480" w:firstLineChars="200"/>
      </w:pPr>
      <w:r>
        <w:t>归一化坐标从左上角（0，0）到右下角（1，1），X向右、Y向下。表内依次列出左上、右下坐标；区域变化时使用对应时刻的记录。</w:t>
      </w:r>
    </w:p>
    <w:p>
      <w:pPr>
        <w:pStyle w:val="Heading1"/>
        <w:pageBreakBefore w:val="0"/>
        <w:ind w:firstLine="0"/>
      </w:pPr>
      <w:r>
        <w:t>一 雷达目标选择</w:t>
      </w:r>
    </w:p>
    <w:p>
      <w:pPr>
        <w:keepNext/>
        <w:spacing w:after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8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808080"/>
          <w:left w:val="single" w:sz="5" w:color="808080"/>
          <w:bottom w:val="single" w:sz="5" w:color="808080"/>
          <w:right w:val="single" w:sz="5" w:color="808080"/>
          <w:insideH w:val="single" w:sz="5" w:color="808080"/>
          <w:insideV w:val="single" w:sz="5" w:color="808080"/>
        </w:tblBorders>
      </w:tblPr>
      <w:tblGrid>
        <w:gridCol w:w="3231"/>
        <w:gridCol w:w="1361"/>
        <w:gridCol w:w="2381"/>
        <w:gridCol w:w="2665"/>
      </w:tblGrid>
      <w:tr>
        <w:trPr>
          <w:cantSplit/>
          <w:tblHeader/>
        </w:trPr>
        <w:tc>
          <w:tcPr>
            <w:tcW w:type="dxa" w:w="323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shd w:fill="E7E7E7"/>
          </w:tcPr>
          <w:p>
            <w:pPr>
              <w:spacing w:after="20" w:before="20" w:line="240" w:lineRule="auto"/>
              <w:ind w:firstLine="0"/>
            </w:pPr>
            <w:r>
              <w:rPr>
                <w:b/>
              </w:rPr>
              <w:t>区域标识</w:t>
            </w:r>
          </w:p>
        </w:tc>
        <w:tc>
          <w:tcPr>
            <w:tcW w:type="dxa" w:w="13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shd w:fill="E7E7E7"/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/>
              </w:rPr>
              <w:t>区域中文</w:t>
            </w:r>
          </w:p>
        </w:tc>
        <w:tc>
          <w:tcPr>
            <w:tcW w:type="dxa" w:w="238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shd w:fill="E7E7E7"/>
          </w:tcPr>
          <w:p>
            <w:pPr>
              <w:spacing w:after="20" w:before="20" w:line="240" w:lineRule="auto"/>
              <w:ind w:firstLine="0"/>
            </w:pPr>
            <w:r>
              <w:rPr>
                <w:b/>
              </w:rPr>
              <w:t>区域含义</w:t>
            </w:r>
          </w:p>
        </w:tc>
        <w:tc>
          <w:tcPr>
            <w:tcW w:type="dxa" w:w="2665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shd w:fill="E7E7E7"/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/>
              </w:rPr>
              <w:t>归一化坐标</w:t>
              <w:br/>
              <w:t>左上 / 右下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left_candidate_list</w:t>
            </w:r>
          </w:p>
        </w:tc>
        <w:tc>
          <w:tcPr>
            <w:tcW w:type="dxa" w:w="13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候选区域</w:t>
            </w:r>
          </w:p>
        </w:tc>
        <w:tc>
          <w:tcPr>
            <w:tcW w:type="dxa" w:w="238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左侧整个雷达目标显示区</w:t>
            </w:r>
          </w:p>
        </w:tc>
        <w:tc>
          <w:tcPr>
            <w:tcW w:type="dxa" w:w="2665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(0.1386, 0.2017)</w:t>
              <w:br/>
              <w:t>(0.5047, 0.8522)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left_ai_target</w:t>
            </w:r>
          </w:p>
        </w:tc>
        <w:tc>
          <w:tcPr>
            <w:tcW w:type="dxa" w:w="13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AI目标</w:t>
            </w:r>
          </w:p>
        </w:tc>
        <w:tc>
          <w:tcPr>
            <w:tcW w:type="dxa" w:w="238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雷达区内的 AI 推荐目标小框</w:t>
            </w:r>
          </w:p>
        </w:tc>
        <w:tc>
          <w:tcPr>
            <w:tcW w:type="dxa" w:w="2665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(0.3384, 0.5344)</w:t>
              <w:br/>
              <w:t>(0.3635, 0.5790)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right_ai_history_accuracy</w:t>
            </w:r>
          </w:p>
        </w:tc>
        <w:tc>
          <w:tcPr>
            <w:tcW w:type="dxa" w:w="13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AI准确率</w:t>
            </w:r>
          </w:p>
        </w:tc>
        <w:tc>
          <w:tcPr>
            <w:tcW w:type="dxa" w:w="238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右侧 AI 等级统计准确率信息</w:t>
            </w:r>
          </w:p>
        </w:tc>
        <w:tc>
          <w:tcPr>
            <w:tcW w:type="dxa" w:w="2665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(0.6402, 0.0539)</w:t>
              <w:br/>
              <w:t>(1.0000, 0.1506)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right_recommendation</w:t>
            </w:r>
          </w:p>
        </w:tc>
        <w:tc>
          <w:tcPr>
            <w:tcW w:type="dxa" w:w="13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AI推荐</w:t>
            </w:r>
          </w:p>
        </w:tc>
        <w:tc>
          <w:tcPr>
            <w:tcW w:type="dxa" w:w="238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右侧 AI 推荐结果及目标观测信息</w:t>
            </w:r>
          </w:p>
        </w:tc>
        <w:tc>
          <w:tcPr>
            <w:tcW w:type="dxa" w:w="2665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(0.6402, 0.1506)</w:t>
              <w:br/>
              <w:t>(1.0000, 0.3457)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right_candidate_list</w:t>
            </w:r>
          </w:p>
        </w:tc>
        <w:tc>
          <w:tcPr>
            <w:tcW w:type="dxa" w:w="13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候选摘要</w:t>
            </w:r>
          </w:p>
        </w:tc>
        <w:tc>
          <w:tcPr>
            <w:tcW w:type="dxa" w:w="238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右侧候选目标摘要列表</w:t>
            </w:r>
          </w:p>
        </w:tc>
        <w:tc>
          <w:tcPr>
            <w:tcW w:type="dxa" w:w="2665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(0.6402, 0.3457)</w:t>
              <w:br/>
              <w:t>(1.0000, 0.5725)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right_detail</w:t>
            </w:r>
          </w:p>
        </w:tc>
        <w:tc>
          <w:tcPr>
            <w:tcW w:type="dxa" w:w="13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目标详情</w:t>
            </w:r>
          </w:p>
        </w:tc>
        <w:tc>
          <w:tcPr>
            <w:tcW w:type="dxa" w:w="238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右侧目标详情与人工复核信息</w:t>
            </w:r>
          </w:p>
        </w:tc>
        <w:tc>
          <w:tcPr>
            <w:tcW w:type="dxa" w:w="2665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(0.6402, 0.5725)</w:t>
              <w:br/>
              <w:t>(1.0000, 0.6803)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right_comparison</w:t>
            </w:r>
          </w:p>
        </w:tc>
        <w:tc>
          <w:tcPr>
            <w:tcW w:type="dxa" w:w="13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人机对比</w:t>
            </w:r>
          </w:p>
        </w:tc>
        <w:tc>
          <w:tcPr>
            <w:tcW w:type="dxa" w:w="238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右侧 AI 与人工选择的观测对比</w:t>
            </w:r>
          </w:p>
        </w:tc>
        <w:tc>
          <w:tcPr>
            <w:tcW w:type="dxa" w:w="2665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(0.6402, 0.6803)</w:t>
              <w:br/>
              <w:t>(1.0000, 0.7612)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other</w:t>
            </w:r>
          </w:p>
        </w:tc>
        <w:tc>
          <w:tcPr>
            <w:tcW w:type="dxa" w:w="13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其余区域</w:t>
            </w:r>
          </w:p>
        </w:tc>
        <w:tc>
          <w:tcPr>
            <w:tcW w:type="dxa" w:w="238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上述可见区域之外的屏内部分</w:t>
            </w:r>
          </w:p>
        </w:tc>
        <w:tc>
          <w:tcPr>
            <w:tcW w:type="dxa" w:w="2665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其余可见AOI之外</w:t>
              <w:br/>
              <w:t>的屏内区域</w:t>
            </w:r>
          </w:p>
        </w:tc>
      </w:tr>
    </w:tbl>
    <w:p>
      <w:pPr>
        <w:ind w:firstLine="480" w:firstLineChars="200"/>
      </w:pPr>
      <w:r>
        <w:t>包含关系：left_ai_target 位于 left_candidate_list 内。</w:t>
      </w:r>
    </w:p>
    <w:p>
      <w:pPr>
        <w:pStyle w:val="Heading1"/>
        <w:pageBreakBefore/>
        <w:ind w:firstLine="0"/>
      </w:pPr>
      <w:r>
        <w:t>二 威胁响应</w:t>
      </w:r>
    </w:p>
    <w:p>
      <w:pPr>
        <w:keepNext/>
        <w:spacing w:after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2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285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808080"/>
          <w:left w:val="single" w:sz="5" w:color="808080"/>
          <w:bottom w:val="single" w:sz="5" w:color="808080"/>
          <w:right w:val="single" w:sz="5" w:color="808080"/>
          <w:insideH w:val="single" w:sz="5" w:color="808080"/>
          <w:insideV w:val="single" w:sz="5" w:color="808080"/>
        </w:tblBorders>
      </w:tblPr>
      <w:tblGrid>
        <w:gridCol w:w="3231"/>
        <w:gridCol w:w="1361"/>
        <w:gridCol w:w="2381"/>
        <w:gridCol w:w="2665"/>
      </w:tblGrid>
      <w:tr>
        <w:trPr>
          <w:cantSplit/>
          <w:tblHeader/>
        </w:trPr>
        <w:tc>
          <w:tcPr>
            <w:tcW w:type="dxa" w:w="323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shd w:fill="E7E7E7"/>
          </w:tcPr>
          <w:p>
            <w:pPr>
              <w:spacing w:after="20" w:before="20" w:line="240" w:lineRule="auto"/>
              <w:ind w:firstLine="0"/>
            </w:pPr>
            <w:r>
              <w:rPr>
                <w:b/>
              </w:rPr>
              <w:t>区域标识</w:t>
            </w:r>
          </w:p>
        </w:tc>
        <w:tc>
          <w:tcPr>
            <w:tcW w:type="dxa" w:w="13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shd w:fill="E7E7E7"/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/>
              </w:rPr>
              <w:t>区域中文</w:t>
            </w:r>
          </w:p>
        </w:tc>
        <w:tc>
          <w:tcPr>
            <w:tcW w:type="dxa" w:w="238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shd w:fill="E7E7E7"/>
          </w:tcPr>
          <w:p>
            <w:pPr>
              <w:spacing w:after="20" w:before="20" w:line="240" w:lineRule="auto"/>
              <w:ind w:firstLine="0"/>
            </w:pPr>
            <w:r>
              <w:rPr>
                <w:b/>
              </w:rPr>
              <w:t>区域含义</w:t>
            </w:r>
          </w:p>
        </w:tc>
        <w:tc>
          <w:tcPr>
            <w:tcW w:type="dxa" w:w="2665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shd w:fill="E7E7E7"/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/>
              </w:rPr>
              <w:t>归一化坐标</w:t>
              <w:br/>
              <w:t>左上 / 右下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left_target_area</w:t>
            </w:r>
          </w:p>
        </w:tc>
        <w:tc>
          <w:tcPr>
            <w:tcW w:type="dxa" w:w="13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目标总区</w:t>
            </w:r>
          </w:p>
        </w:tc>
        <w:tc>
          <w:tcPr>
            <w:tcW w:type="dxa" w:w="238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左侧上方整个目标态势显示区</w:t>
            </w:r>
          </w:p>
        </w:tc>
        <w:tc>
          <w:tcPr>
            <w:tcW w:type="dxa" w:w="2665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(0.1104, 0.1208)</w:t>
              <w:br/>
              <w:t>(0.5288, 0.6784)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left_ai_target</w:t>
            </w:r>
          </w:p>
        </w:tc>
        <w:tc>
          <w:tcPr>
            <w:tcW w:type="dxa" w:w="13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AI目标</w:t>
            </w:r>
          </w:p>
        </w:tc>
        <w:tc>
          <w:tcPr>
            <w:tcW w:type="dxa" w:w="238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目标态势区内的 AI 推荐目标小框</w:t>
            </w:r>
          </w:p>
        </w:tc>
        <w:tc>
          <w:tcPr>
            <w:tcW w:type="dxa" w:w="2665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(0.2960, 0.1822)</w:t>
              <w:br/>
              <w:t>(0.3253, 0.2342)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left_candidate_list</w:t>
            </w:r>
          </w:p>
        </w:tc>
        <w:tc>
          <w:tcPr>
            <w:tcW w:type="dxa" w:w="13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候选区域</w:t>
            </w:r>
          </w:p>
        </w:tc>
        <w:tc>
          <w:tcPr>
            <w:tcW w:type="dxa" w:w="238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左侧下方威胁列表与来袭列表，两张表合为一个区域</w:t>
            </w:r>
          </w:p>
        </w:tc>
        <w:tc>
          <w:tcPr>
            <w:tcW w:type="dxa" w:w="2665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(0.1104, 0.6868)</w:t>
              <w:br/>
              <w:t>(0.5288, 0.9387)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right_ai_history_accuracy</w:t>
            </w:r>
          </w:p>
        </w:tc>
        <w:tc>
          <w:tcPr>
            <w:tcW w:type="dxa" w:w="13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AI准确率</w:t>
            </w:r>
          </w:p>
        </w:tc>
        <w:tc>
          <w:tcPr>
            <w:tcW w:type="dxa" w:w="238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右侧 AI 等级统计准确率信息</w:t>
            </w:r>
          </w:p>
        </w:tc>
        <w:tc>
          <w:tcPr>
            <w:tcW w:type="dxa" w:w="2665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(0.6402, 0.0539)</w:t>
              <w:br/>
              <w:t>(1.0000, 0.1506)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right_recommendation</w:t>
            </w:r>
          </w:p>
        </w:tc>
        <w:tc>
          <w:tcPr>
            <w:tcW w:type="dxa" w:w="13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AI推荐</w:t>
            </w:r>
          </w:p>
        </w:tc>
        <w:tc>
          <w:tcPr>
            <w:tcW w:type="dxa" w:w="238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右侧 AI 推荐威胁及观测信息</w:t>
            </w:r>
          </w:p>
        </w:tc>
        <w:tc>
          <w:tcPr>
            <w:tcW w:type="dxa" w:w="2665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(0.6402, 0.1506)</w:t>
              <w:br/>
              <w:t>(1.0000, 0.3457)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right_detail</w:t>
            </w:r>
          </w:p>
        </w:tc>
        <w:tc>
          <w:tcPr>
            <w:tcW w:type="dxa" w:w="13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目标详情</w:t>
            </w:r>
          </w:p>
        </w:tc>
        <w:tc>
          <w:tcPr>
            <w:tcW w:type="dxa" w:w="238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右侧目标详情与人工复核信息</w:t>
            </w:r>
          </w:p>
        </w:tc>
        <w:tc>
          <w:tcPr>
            <w:tcW w:type="dxa" w:w="2665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(0.6402, 0.3457)</w:t>
              <w:br/>
              <w:t>(1.0000, 0.4535)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right_comparison</w:t>
            </w:r>
          </w:p>
        </w:tc>
        <w:tc>
          <w:tcPr>
            <w:tcW w:type="dxa" w:w="13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人机对比</w:t>
            </w:r>
          </w:p>
        </w:tc>
        <w:tc>
          <w:tcPr>
            <w:tcW w:type="dxa" w:w="238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右侧 AI 与人工选择的观测对比</w:t>
            </w:r>
          </w:p>
        </w:tc>
        <w:tc>
          <w:tcPr>
            <w:tcW w:type="dxa" w:w="2665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(0.6402, 0.4535)</w:t>
              <w:br/>
              <w:t>(1.0000, 0.5344)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other</w:t>
            </w:r>
          </w:p>
        </w:tc>
        <w:tc>
          <w:tcPr>
            <w:tcW w:type="dxa" w:w="13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其余区域</w:t>
            </w:r>
          </w:p>
        </w:tc>
        <w:tc>
          <w:tcPr>
            <w:tcW w:type="dxa" w:w="238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上述可见区域之外的屏内部分</w:t>
            </w:r>
          </w:p>
        </w:tc>
        <w:tc>
          <w:tcPr>
            <w:tcW w:type="dxa" w:w="2665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其余可见AOI之外</w:t>
              <w:br/>
              <w:t>的屏内区域</w:t>
            </w:r>
          </w:p>
        </w:tc>
      </w:tr>
    </w:tbl>
    <w:p>
      <w:pPr>
        <w:ind w:firstLine="480" w:firstLineChars="200"/>
      </w:pPr>
      <w:r>
        <w:t>包含关系：left_ai_target 位于 left_target_area 内；下方 left_candidate_list 独立于目标总区。SA 不单设右侧候选列表区域。</w:t>
      </w:r>
    </w:p>
    <w:p>
      <w:pPr>
        <w:pStyle w:val="Heading1"/>
        <w:pageBreakBefore/>
        <w:ind w:firstLine="0"/>
      </w:pPr>
      <w:r>
        <w:t>三 平台控制</w:t>
      </w:r>
    </w:p>
    <w:p>
      <w:pPr>
        <w:keepNext/>
        <w:spacing w:after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2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285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808080"/>
          <w:left w:val="single" w:sz="5" w:color="808080"/>
          <w:bottom w:val="single" w:sz="5" w:color="808080"/>
          <w:right w:val="single" w:sz="5" w:color="808080"/>
          <w:insideH w:val="single" w:sz="5" w:color="808080"/>
          <w:insideV w:val="single" w:sz="5" w:color="808080"/>
        </w:tblBorders>
      </w:tblPr>
      <w:tblGrid>
        <w:gridCol w:w="3231"/>
        <w:gridCol w:w="1361"/>
        <w:gridCol w:w="2381"/>
        <w:gridCol w:w="2665"/>
      </w:tblGrid>
      <w:tr>
        <w:trPr>
          <w:cantSplit/>
          <w:tblHeader/>
        </w:trPr>
        <w:tc>
          <w:tcPr>
            <w:tcW w:type="dxa" w:w="323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shd w:fill="E7E7E7"/>
          </w:tcPr>
          <w:p>
            <w:pPr>
              <w:spacing w:after="20" w:before="20" w:line="240" w:lineRule="auto"/>
              <w:ind w:firstLine="0"/>
            </w:pPr>
            <w:r>
              <w:rPr>
                <w:b/>
              </w:rPr>
              <w:t>区域标识</w:t>
            </w:r>
          </w:p>
        </w:tc>
        <w:tc>
          <w:tcPr>
            <w:tcW w:type="dxa" w:w="13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shd w:fill="E7E7E7"/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/>
              </w:rPr>
              <w:t>区域中文</w:t>
            </w:r>
          </w:p>
        </w:tc>
        <w:tc>
          <w:tcPr>
            <w:tcW w:type="dxa" w:w="238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shd w:fill="E7E7E7"/>
          </w:tcPr>
          <w:p>
            <w:pPr>
              <w:spacing w:after="20" w:before="20" w:line="240" w:lineRule="auto"/>
              <w:ind w:firstLine="0"/>
            </w:pPr>
            <w:r>
              <w:rPr>
                <w:b/>
              </w:rPr>
              <w:t>区域含义</w:t>
            </w:r>
          </w:p>
        </w:tc>
        <w:tc>
          <w:tcPr>
            <w:tcW w:type="dxa" w:w="2665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shd w:fill="E7E7E7"/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/>
              </w:rPr>
              <w:t>归一化坐标</w:t>
              <w:br/>
              <w:t>左上 / 右下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AIConfidence</w:t>
            </w:r>
          </w:p>
        </w:tc>
        <w:tc>
          <w:tcPr>
            <w:tcW w:type="dxa" w:w="13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AI置信度</w:t>
            </w:r>
          </w:p>
        </w:tc>
        <w:tc>
          <w:tcPr>
            <w:tcW w:type="dxa" w:w="238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右上方 AI 置信度信息</w:t>
            </w:r>
          </w:p>
        </w:tc>
        <w:tc>
          <w:tcPr>
            <w:tcW w:type="dxa" w:w="2665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(0.7458, 0.0556)</w:t>
              <w:br/>
              <w:t>(1.0000, 0.3076)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HistoricalResultRecord</w:t>
            </w:r>
          </w:p>
        </w:tc>
        <w:tc>
          <w:tcPr>
            <w:tcW w:type="dxa" w:w="13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历史结果</w:t>
            </w:r>
          </w:p>
        </w:tc>
        <w:tc>
          <w:tcPr>
            <w:tcW w:type="dxa" w:w="238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右侧中部历史结果记录</w:t>
            </w:r>
          </w:p>
        </w:tc>
        <w:tc>
          <w:tcPr>
            <w:tcW w:type="dxa" w:w="2665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(0.7458, 0.3196)</w:t>
              <w:br/>
              <w:t>(1.0000, 0.5511)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AIFlightTrajectory</w:t>
            </w:r>
          </w:p>
        </w:tc>
        <w:tc>
          <w:tcPr>
            <w:tcW w:type="dxa" w:w="13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AI飞行轨迹</w:t>
            </w:r>
          </w:p>
        </w:tc>
        <w:tc>
          <w:tcPr>
            <w:tcW w:type="dxa" w:w="238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右侧下方 AI 飞行轨迹</w:t>
            </w:r>
          </w:p>
        </w:tc>
        <w:tc>
          <w:tcPr>
            <w:tcW w:type="dxa" w:w="2665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(0.7812, 0.5679)</w:t>
              <w:br/>
              <w:t>(1.0000, 0.7901)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other</w:t>
            </w:r>
          </w:p>
        </w:tc>
        <w:tc>
          <w:tcPr>
            <w:tcW w:type="dxa" w:w="13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其余区域</w:t>
            </w:r>
          </w:p>
        </w:tc>
        <w:tc>
          <w:tcPr>
            <w:tcW w:type="dxa" w:w="238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上述可见区域之外的屏内部分</w:t>
            </w:r>
          </w:p>
        </w:tc>
        <w:tc>
          <w:tcPr>
            <w:tcW w:type="dxa" w:w="2665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其余可见AOI之外</w:t>
              <w:br/>
              <w:t>的屏内区域</w:t>
            </w:r>
          </w:p>
        </w:tc>
      </w:tr>
    </w:tbl>
    <w:p>
      <w:pPr>
        <w:pStyle w:val="Heading1"/>
        <w:pageBreakBefore/>
        <w:ind w:firstLine="0"/>
      </w:pPr>
      <w:r>
        <w:t>四 武器发射</w:t>
      </w:r>
    </w:p>
    <w:p>
      <w:pPr>
        <w:keepNext/>
        <w:spacing w:after="10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22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285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808080"/>
          <w:left w:val="single" w:sz="5" w:color="808080"/>
          <w:bottom w:val="single" w:sz="5" w:color="808080"/>
          <w:right w:val="single" w:sz="5" w:color="808080"/>
          <w:insideH w:val="single" w:sz="5" w:color="808080"/>
          <w:insideV w:val="single" w:sz="5" w:color="808080"/>
        </w:tblBorders>
      </w:tblPr>
      <w:tblGrid>
        <w:gridCol w:w="3231"/>
        <w:gridCol w:w="1361"/>
        <w:gridCol w:w="2381"/>
        <w:gridCol w:w="2665"/>
      </w:tblGrid>
      <w:tr>
        <w:trPr>
          <w:cantSplit/>
          <w:tblHeader/>
        </w:trPr>
        <w:tc>
          <w:tcPr>
            <w:tcW w:type="dxa" w:w="323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shd w:fill="E7E7E7"/>
          </w:tcPr>
          <w:p>
            <w:pPr>
              <w:spacing w:after="20" w:before="20" w:line="240" w:lineRule="auto"/>
              <w:ind w:firstLine="0"/>
            </w:pPr>
            <w:r>
              <w:rPr>
                <w:b/>
              </w:rPr>
              <w:t>区域标识</w:t>
            </w:r>
          </w:p>
        </w:tc>
        <w:tc>
          <w:tcPr>
            <w:tcW w:type="dxa" w:w="13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shd w:fill="E7E7E7"/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/>
              </w:rPr>
              <w:t>区域中文</w:t>
            </w:r>
          </w:p>
        </w:tc>
        <w:tc>
          <w:tcPr>
            <w:tcW w:type="dxa" w:w="238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shd w:fill="E7E7E7"/>
          </w:tcPr>
          <w:p>
            <w:pPr>
              <w:spacing w:after="20" w:before="20" w:line="240" w:lineRule="auto"/>
              <w:ind w:firstLine="0"/>
            </w:pPr>
            <w:r>
              <w:rPr>
                <w:b/>
              </w:rPr>
              <w:t>区域含义</w:t>
            </w:r>
          </w:p>
        </w:tc>
        <w:tc>
          <w:tcPr>
            <w:tcW w:type="dxa" w:w="2665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shd w:fill="E7E7E7"/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/>
              </w:rPr>
              <w:t>归一化坐标</w:t>
              <w:br/>
              <w:t>左上 / 右下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TrustHistory</w:t>
            </w:r>
          </w:p>
        </w:tc>
        <w:tc>
          <w:tcPr>
            <w:tcW w:type="dxa" w:w="13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右上信息区</w:t>
            </w:r>
          </w:p>
        </w:tc>
        <w:tc>
          <w:tcPr>
            <w:tcW w:type="dxa" w:w="238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右上方信息窗口</w:t>
            </w:r>
          </w:p>
        </w:tc>
        <w:tc>
          <w:tcPr>
            <w:tcW w:type="dxa" w:w="2665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(0.7458, 0.0556)</w:t>
              <w:br/>
              <w:t>(1.0000, 0.3076)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TrustStatePanel</w:t>
            </w:r>
          </w:p>
        </w:tc>
        <w:tc>
          <w:tcPr>
            <w:tcW w:type="dxa" w:w="13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右侧状态区</w:t>
            </w:r>
          </w:p>
        </w:tc>
        <w:tc>
          <w:tcPr>
            <w:tcW w:type="dxa" w:w="238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右侧中部状态窗口</w:t>
            </w:r>
          </w:p>
        </w:tc>
        <w:tc>
          <w:tcPr>
            <w:tcW w:type="dxa" w:w="2665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(0.7458, 0.3196)</w:t>
              <w:br/>
              <w:t>(1.0000, 0.5511)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SHOOT</w:t>
            </w:r>
          </w:p>
        </w:tc>
        <w:tc>
          <w:tcPr>
            <w:tcW w:type="dxa" w:w="13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发射区</w:t>
            </w:r>
          </w:p>
        </w:tc>
        <w:tc>
          <w:tcPr>
            <w:tcW w:type="dxa" w:w="238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画面右下部的发射相关区域</w:t>
            </w:r>
          </w:p>
        </w:tc>
        <w:tc>
          <w:tcPr>
            <w:tcW w:type="dxa" w:w="2665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(0.6703, 0.8048)</w:t>
              <w:br/>
              <w:t>(0.7255, 0.8409)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Title</w:t>
            </w:r>
          </w:p>
        </w:tc>
        <w:tc>
          <w:tcPr>
            <w:tcW w:type="dxa" w:w="13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提示区</w:t>
            </w:r>
          </w:p>
        </w:tc>
        <w:tc>
          <w:tcPr>
            <w:tcW w:type="dxa" w:w="238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屏幕右下角提示区域</w:t>
            </w:r>
          </w:p>
        </w:tc>
        <w:tc>
          <w:tcPr>
            <w:tcW w:type="dxa" w:w="2665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(0.8438, 0.8750)</w:t>
              <w:br/>
              <w:t>(1.0000, 1.0000)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other</w:t>
            </w:r>
          </w:p>
        </w:tc>
        <w:tc>
          <w:tcPr>
            <w:tcW w:type="dxa" w:w="13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其余区域</w:t>
            </w:r>
          </w:p>
        </w:tc>
        <w:tc>
          <w:tcPr>
            <w:tcW w:type="dxa" w:w="238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</w:pPr>
            <w:r>
              <w:rPr>
                <w:b w:val="0"/>
              </w:rPr>
              <w:t>上述可见区域之外的屏内部分</w:t>
            </w:r>
          </w:p>
        </w:tc>
        <w:tc>
          <w:tcPr>
            <w:tcW w:type="dxa" w:w="2665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</w:tcPr>
          <w:p>
            <w:pPr>
              <w:spacing w:after="20" w:before="20" w:line="240" w:lineRule="auto"/>
              <w:ind w:firstLine="0"/>
              <w:jc w:val="center"/>
            </w:pPr>
            <w:r>
              <w:rPr>
                <w:b w:val="0"/>
              </w:rPr>
              <w:t>其余可见AOI之外</w:t>
              <w:br/>
              <w:t>的屏内区域</w:t>
            </w:r>
          </w:p>
        </w:tc>
      </w:tr>
    </w:tbl>
    <w:p>
      <w:pPr>
        <w:ind w:firstLine="480" w:firstLineChars="200"/>
      </w:pPr>
      <w:r>
        <w:t>状态说明：提示出现前，仅有右上和右侧中部两个区域，标识分别为AIConfidence、HistoricalResultRecord。提示出现后，两处边界不变，标识变为TrustHistory、TrustStatePanel，并增加SHOOT和Title。图表展示提示出现后的划分；提示出现前，新增两区所在位置归入other。</w:t>
      </w:r>
    </w:p>
    <w:p>
      <w:pPr>
        <w:pStyle w:val="Heading1"/>
        <w:pageBreakBefore/>
        <w:ind w:firstLine="0"/>
      </w:pPr>
      <w:r>
        <w:t>五 统一解释</w:t>
      </w:r>
    </w:p>
    <w:p>
      <w:pPr>
        <w:ind w:firstLine="480" w:firstLineChars="200"/>
      </w:pPr>
      <w:r>
        <w:t>other：整屏减去所有可见 AOI 的并集。多块不连续的剩余部分合为同一类别，可包含按钮、日志、其他任务信息和留白。</w:t>
      </w:r>
    </w:p>
    <w:p>
      <w:pPr>
        <w:ind w:firstLine="480" w:firstLineChars="200"/>
      </w:pPr>
      <w:r>
        <w:t>条件区域：人机选择不一致时显示对比区；未显示时，其位置若未被其他可见 AOI 覆盖，就归为 other。</w:t>
      </w:r>
    </w:p>
    <w:p>
      <w:pPr>
        <w:ind w:firstLine="480" w:firstLineChars="200"/>
      </w:pPr>
      <w:r>
        <w:t>详情区域：无目标详情、TDC 聚焦详情和人工复核属于同一 right_detail 区域的不同内容状态。</w:t>
      </w:r>
    </w:p>
    <w:p>
      <w:pPr>
        <w:ind w:firstLine="480" w:firstLineChars="200"/>
      </w:pPr>
      <w:r>
        <w:t>父子区域：AI 推荐目标小框与其总区可同时命中，统计总时间时不能重复相加。</w:t>
      </w:r>
    </w:p>
    <w:p>
      <w:pPr>
        <w:ind w:firstLine="480" w:firstLineChars="200"/>
      </w:pPr>
      <w:r>
        <w:t>任务差异：RADAR 的 left_candidate_list 是整个雷达目标区，SA 的同名区域是下方列表，不应按名称直接视为相同内容。</w:t>
      </w:r>
    </w:p>
    <w:p>
      <w:pPr>
        <w:ind w:firstLine="480" w:firstLineChars="200"/>
      </w:pPr>
      <w:r>
        <w:t>有效范围：无效眼动、屏外点和无法确定区域的点不归入 other。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60" w:lineRule="auto"/>
    </w:pPr>
    <w:rPr>
      <w:rFonts w:ascii="宋体" w:hAnsi="宋体" w:eastAsia="宋体" w:cs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360" w:lineRule="auto"/>
      <w:outlineLvl w:val="0"/>
    </w:pPr>
    <w:rPr>
      <w:rFonts w:ascii="宋体" w:hAnsi="宋体" w:eastAsia="宋体" w:cs="宋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360" w:lineRule="auto"/>
      <w:outlineLvl w:val="1"/>
    </w:pPr>
    <w:rPr>
      <w:rFonts w:ascii="宋体" w:hAnsi="宋体" w:eastAsia="宋体" w:cs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60" w:lineRule="auto" w:before="0"/>
      <w:contextualSpacing/>
    </w:pPr>
    <w:rPr>
      <w:rFonts w:ascii="宋体" w:hAnsi="宋体" w:eastAsia="宋体" w:cs="宋体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before="0" w:after="120"/>
    </w:pPr>
    <w:rPr>
      <w:rFonts w:ascii="宋体" w:hAnsi="宋体" w:eastAsia="宋体" w:cs="宋体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AOI区域划分说明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